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85090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81915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3" w:lineRule="exact"/>
        <w:rPr>
          <w:sz w:val="24"/>
          <w:szCs w:val="24"/>
          <w:color w:val="auto"/>
        </w:rPr>
      </w:pPr>
    </w:p>
    <w:p>
      <w:pPr>
        <w:ind w:left="3740" w:right="1860" w:hanging="3115"/>
        <w:spacing w:after="0" w:line="385" w:lineRule="auto"/>
        <w:tabs>
          <w:tab w:leader="none" w:pos="1252"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spacing w:after="0" w:line="159" w:lineRule="exact"/>
        <w:rPr>
          <w:sz w:val="24"/>
          <w:szCs w:val="24"/>
          <w:color w:val="auto"/>
        </w:rPr>
      </w:pPr>
    </w:p>
    <w:p>
      <w:pPr>
        <w:ind w:left="1260" w:hanging="635"/>
        <w:spacing w:after="0"/>
        <w:tabs>
          <w:tab w:leader="none" w:pos="1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3300" w:type="dxa"/>
        <w:tblCellMar>
          <w:top w:w="0" w:type="dxa"/>
          <w:left w:w="0" w:type="dxa"/>
          <w:bottom w:w="0" w:type="dxa"/>
          <w:right w:w="0" w:type="dxa"/>
        </w:tblCellMar>
      </w:tblPr>
      <w:tr>
        <w:trPr>
          <w:trHeight w:val="161"/>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For the transition period from</w:t>
            </w:r>
          </w:p>
        </w:tc>
        <w:tc>
          <w:tcPr>
            <w:tcW w:w="720" w:type="dxa"/>
            <w:vAlign w:val="bottom"/>
            <w:tcBorders>
              <w:bottom w:val="single" w:sz="8" w:color="auto"/>
            </w:tcBorders>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w:t>
            </w:r>
          </w:p>
        </w:tc>
        <w:tc>
          <w:tcPr>
            <w:tcW w:w="720" w:type="dxa"/>
            <w:vAlign w:val="bottom"/>
            <w:tcBorders>
              <w:bottom w:val="single" w:sz="8" w:color="auto"/>
            </w:tcBorders>
          </w:tcPr>
          <w:p>
            <w:pPr>
              <w:spacing w:after="0"/>
              <w:rPr>
                <w:sz w:val="13"/>
                <w:szCs w:val="13"/>
                <w:color w:val="auto"/>
              </w:rPr>
            </w:pPr>
          </w:p>
        </w:tc>
      </w:tr>
      <w:tr>
        <w:trPr>
          <w:trHeight w:val="213"/>
        </w:trPr>
        <w:tc>
          <w:tcPr>
            <w:tcW w:w="336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Commission File Number: 001-37359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74930</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93345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1" w:lineRule="exact"/>
        <w:rPr>
          <w:sz w:val="24"/>
          <w:szCs w:val="24"/>
          <w:color w:val="auto"/>
        </w:rPr>
      </w:pPr>
    </w:p>
    <w:tbl>
      <w:tblPr>
        <w:tblLayout w:type="fixed"/>
        <w:tblInd w:w="1460" w:type="dxa"/>
        <w:tblCellMar>
          <w:top w:w="0" w:type="dxa"/>
          <w:left w:w="0" w:type="dxa"/>
          <w:bottom w:w="0" w:type="dxa"/>
          <w:right w:w="0" w:type="dxa"/>
        </w:tblCellMar>
      </w:tblPr>
      <w:tr>
        <w:trPr>
          <w:trHeight w:val="176"/>
        </w:trPr>
        <w:tc>
          <w:tcPr>
            <w:tcW w:w="4000" w:type="dxa"/>
            <w:vAlign w:val="bottom"/>
          </w:tcPr>
          <w:p>
            <w:pPr>
              <w:jc w:val="center"/>
              <w:ind w:right="16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26-3632015</w:t>
            </w:r>
          </w:p>
        </w:tc>
        <w:tc>
          <w:tcPr>
            <w:tcW w:w="0" w:type="dxa"/>
            <w:vAlign w:val="bottom"/>
          </w:tcPr>
          <w:p>
            <w:pPr>
              <w:spacing w:after="0"/>
              <w:rPr>
                <w:sz w:val="1"/>
                <w:szCs w:val="1"/>
                <w:color w:val="auto"/>
              </w:rPr>
            </w:pPr>
          </w:p>
        </w:tc>
      </w:tr>
      <w:tr>
        <w:trPr>
          <w:trHeight w:val="176"/>
        </w:trPr>
        <w:tc>
          <w:tcPr>
            <w:tcW w:w="4000" w:type="dxa"/>
            <w:vAlign w:val="bottom"/>
          </w:tcPr>
          <w:p>
            <w:pPr>
              <w:jc w:val="center"/>
              <w:ind w:right="1688"/>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2820" w:type="dxa"/>
            <w:vAlign w:val="bottom"/>
          </w:tcPr>
          <w:p>
            <w:pPr>
              <w:jc w:val="center"/>
              <w:ind w:left="1668"/>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89"/>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2820" w:type="dxa"/>
            <w:vAlign w:val="bottom"/>
          </w:tcPr>
          <w:p>
            <w:pPr>
              <w:jc w:val="center"/>
              <w:ind w:left="1688"/>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176"/>
        </w:trPr>
        <w:tc>
          <w:tcPr>
            <w:tcW w:w="4000" w:type="dxa"/>
            <w:vAlign w:val="bottom"/>
          </w:tcPr>
          <w:p>
            <w:pPr>
              <w:jc w:val="center"/>
              <w:ind w:right="1688"/>
              <w:spacing w:after="0"/>
              <w:rPr>
                <w:sz w:val="20"/>
                <w:szCs w:val="20"/>
                <w:color w:val="auto"/>
              </w:rPr>
            </w:pPr>
            <w:r>
              <w:rPr>
                <w:rFonts w:ascii="Times New Roman" w:cs="Times New Roman" w:eastAsia="Times New Roman" w:hAnsi="Times New Roman"/>
                <w:sz w:val="14"/>
                <w:szCs w:val="14"/>
                <w:b w:val="1"/>
                <w:bCs w:val="1"/>
                <w:color w:val="auto"/>
              </w:rPr>
              <w:t>45 Sidney Street</w:t>
            </w:r>
          </w:p>
        </w:tc>
        <w:tc>
          <w:tcPr>
            <w:tcW w:w="2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02139</w:t>
            </w:r>
          </w:p>
        </w:tc>
        <w:tc>
          <w:tcPr>
            <w:tcW w:w="0" w:type="dxa"/>
            <w:vAlign w:val="bottom"/>
          </w:tcPr>
          <w:p>
            <w:pPr>
              <w:spacing w:after="0"/>
              <w:rPr>
                <w:sz w:val="1"/>
                <w:szCs w:val="1"/>
                <w:color w:val="auto"/>
              </w:rPr>
            </w:pPr>
          </w:p>
        </w:tc>
      </w:tr>
      <w:tr>
        <w:trPr>
          <w:trHeight w:val="162"/>
        </w:trPr>
        <w:tc>
          <w:tcPr>
            <w:tcW w:w="4000" w:type="dxa"/>
            <w:vAlign w:val="bottom"/>
          </w:tcPr>
          <w:p>
            <w:pPr>
              <w:jc w:val="center"/>
              <w:ind w:right="1688"/>
              <w:spacing w:after="0"/>
              <w:rPr>
                <w:sz w:val="20"/>
                <w:szCs w:val="20"/>
                <w:color w:val="auto"/>
              </w:rPr>
            </w:pPr>
            <w:r>
              <w:rPr>
                <w:rFonts w:ascii="Times New Roman" w:cs="Times New Roman" w:eastAsia="Times New Roman" w:hAnsi="Times New Roman"/>
                <w:sz w:val="14"/>
                <w:szCs w:val="14"/>
                <w:b w:val="1"/>
                <w:bCs w:val="1"/>
                <w:color w:val="auto"/>
              </w:rPr>
              <w:t>Cambridge, MA</w:t>
            </w: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00" w:type="dxa"/>
            <w:vAlign w:val="bottom"/>
          </w:tcPr>
          <w:p>
            <w:pPr>
              <w:jc w:val="center"/>
              <w:ind w:right="1668"/>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820" w:type="dxa"/>
            <w:vAlign w:val="bottom"/>
          </w:tcPr>
          <w:p>
            <w:pPr>
              <w:jc w:val="center"/>
              <w:ind w:left="166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bl>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 xml:space="preserve">Registrant’s telephone number, including area code: </w:t>
      </w:r>
      <w:r>
        <w:rPr>
          <w:rFonts w:ascii="Times New Roman" w:cs="Times New Roman" w:eastAsia="Times New Roman" w:hAnsi="Times New Roman"/>
          <w:sz w:val="14"/>
          <w:szCs w:val="14"/>
          <w:b w:val="1"/>
          <w:bCs w:val="1"/>
          <w:color w:val="auto"/>
        </w:rPr>
        <w:t>(617) 374-7580</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Securities registered pursuant to Section 12(b) of the Act:</w:t>
      </w:r>
    </w:p>
    <w:p>
      <w:pPr>
        <w:spacing w:after="0" w:line="81" w:lineRule="exact"/>
        <w:rPr>
          <w:sz w:val="24"/>
          <w:szCs w:val="24"/>
          <w:color w:val="auto"/>
        </w:rPr>
      </w:pPr>
    </w:p>
    <w:tbl>
      <w:tblPr>
        <w:tblLayout w:type="fixed"/>
        <w:tblInd w:w="1500" w:type="dxa"/>
        <w:tblCellMar>
          <w:top w:w="0" w:type="dxa"/>
          <w:left w:w="0" w:type="dxa"/>
          <w:bottom w:w="0" w:type="dxa"/>
          <w:right w:w="0" w:type="dxa"/>
        </w:tblCellMar>
      </w:tblPr>
      <w:tr>
        <w:trPr>
          <w:trHeight w:val="189"/>
        </w:trPr>
        <w:tc>
          <w:tcPr>
            <w:tcW w:w="2940" w:type="dxa"/>
            <w:vAlign w:val="bottom"/>
          </w:tcPr>
          <w:p>
            <w:pPr>
              <w:jc w:val="center"/>
              <w:ind w:right="228"/>
              <w:spacing w:after="0"/>
              <w:rPr>
                <w:sz w:val="20"/>
                <w:szCs w:val="20"/>
                <w:color w:val="auto"/>
              </w:rPr>
            </w:pPr>
            <w:r>
              <w:rPr>
                <w:rFonts w:ascii="Times New Roman" w:cs="Times New Roman" w:eastAsia="Times New Roman" w:hAnsi="Times New Roman"/>
                <w:sz w:val="14"/>
                <w:szCs w:val="14"/>
                <w:i w:val="1"/>
                <w:iCs w:val="1"/>
                <w:color w:val="auto"/>
              </w:rPr>
              <w:t>Title of Class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Trading Symbols</w:t>
            </w:r>
          </w:p>
        </w:tc>
        <w:tc>
          <w:tcPr>
            <w:tcW w:w="2640" w:type="dxa"/>
            <w:vAlign w:val="bottom"/>
          </w:tcPr>
          <w:p>
            <w:pPr>
              <w:jc w:val="center"/>
              <w:ind w:left="248"/>
              <w:spacing w:after="0"/>
              <w:rPr>
                <w:sz w:val="20"/>
                <w:szCs w:val="20"/>
                <w:color w:val="auto"/>
              </w:rPr>
            </w:pPr>
            <w:r>
              <w:rPr>
                <w:rFonts w:ascii="Times New Roman" w:cs="Times New Roman" w:eastAsia="Times New Roman" w:hAnsi="Times New Roman"/>
                <w:sz w:val="14"/>
                <w:szCs w:val="14"/>
                <w:i w:val="1"/>
                <w:iCs w:val="1"/>
                <w:color w:val="auto"/>
              </w:rPr>
              <w:t>Name of Exchange on Which Registered</w:t>
            </w:r>
          </w:p>
        </w:tc>
      </w:tr>
      <w:tr>
        <w:trPr>
          <w:trHeight w:val="190"/>
        </w:trPr>
        <w:tc>
          <w:tcPr>
            <w:tcW w:w="29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BPMC</w:t>
            </w:r>
          </w:p>
        </w:tc>
        <w:tc>
          <w:tcPr>
            <w:tcW w:w="26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703580</wp:posOffset>
            </wp:positionH>
            <wp:positionV relativeFrom="paragraph">
              <wp:posOffset>-233045</wp:posOffset>
            </wp:positionV>
            <wp:extent cx="5083175" cy="248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83175" cy="248920"/>
                    </a:xfrm>
                    <a:prstGeom prst="rect">
                      <a:avLst/>
                    </a:prstGeom>
                    <a:noFill/>
                  </pic:spPr>
                </pic:pic>
              </a:graphicData>
            </a:graphic>
          </wp:anchor>
        </w:drawing>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76200</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41" w:lineRule="exact"/>
        <w:rPr>
          <w:sz w:val="24"/>
          <w:szCs w:val="24"/>
          <w:color w:val="auto"/>
        </w:rPr>
      </w:pPr>
    </w:p>
    <w:p>
      <w:pPr>
        <w:ind w:left="320" w:right="1980"/>
        <w:spacing w:after="0" w:line="21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80" w:firstLine="324"/>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324"/>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324"/>
        <w:spacing w:after="0" w:line="26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ind w:left="1840"/>
        <w:spacing w:after="0" w:line="161" w:lineRule="exact"/>
        <w:tabs>
          <w:tab w:leader="none" w:pos="70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31" w:lineRule="exact"/>
        <w:rPr>
          <w:sz w:val="24"/>
          <w:szCs w:val="24"/>
          <w:color w:val="auto"/>
        </w:rPr>
      </w:pPr>
    </w:p>
    <w:p>
      <w:pPr>
        <w:ind w:left="1860"/>
        <w:spacing w:after="0" w:line="161" w:lineRule="exact"/>
        <w:tabs>
          <w:tab w:leader="none" w:pos="672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ind w:left="67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8" w:lineRule="exact"/>
        <w:rPr>
          <w:sz w:val="24"/>
          <w:szCs w:val="24"/>
          <w:color w:val="auto"/>
        </w:rPr>
      </w:pPr>
    </w:p>
    <w:p>
      <w:pPr>
        <w:ind w:right="380" w:firstLine="324"/>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324"/>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320"/>
        <w:spacing w:after="0" w:line="161" w:lineRule="exact"/>
        <w:tabs>
          <w:tab w:leader="none" w:pos="68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33" w:lineRule="exact"/>
        <w:rPr>
          <w:sz w:val="24"/>
          <w:szCs w:val="24"/>
          <w:color w:val="auto"/>
        </w:rPr>
      </w:pPr>
    </w:p>
    <w:p>
      <w:pPr>
        <w:ind w:right="40" w:firstLine="324"/>
        <w:spacing w:after="0" w:line="269" w:lineRule="auto"/>
        <w:rPr>
          <w:sz w:val="20"/>
          <w:szCs w:val="20"/>
          <w:color w:val="auto"/>
        </w:rPr>
      </w:pPr>
      <w:r>
        <w:rPr>
          <w:rFonts w:ascii="Times New Roman" w:cs="Times New Roman" w:eastAsia="Times New Roman" w:hAnsi="Times New Roman"/>
          <w:sz w:val="14"/>
          <w:szCs w:val="14"/>
          <w:color w:val="auto"/>
        </w:rPr>
        <w:t>As of June 30, 2023, the aggregate market value of the voting and non-voting common equity held by non-affiliates of the registrant, based on the last reported sales price for the registrant’s common stock, par value $0.001 per share, on the Nasdaq Global Select Market on such date, was approximately $3,802,927,596.</w:t>
      </w:r>
    </w:p>
    <w:p>
      <w:pPr>
        <w:spacing w:after="0" w:line="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Number of shares of the registrant’s common stock, par value $0.001 per share, outstanding on February 13, 2024: 61,232,297</w:t>
      </w:r>
    </w:p>
    <w:p>
      <w:pPr>
        <w:spacing w:after="0" w:line="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7" w:lineRule="exact"/>
        <w:rPr>
          <w:sz w:val="24"/>
          <w:szCs w:val="24"/>
          <w:color w:val="auto"/>
        </w:rPr>
      </w:pPr>
    </w:p>
    <w:p>
      <w:pPr>
        <w:ind w:firstLine="324"/>
        <w:spacing w:after="0" w:line="273"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2024 Annual Meeting of Stockholders, which the registrant intends to file with the Securities and Exchange Commission pursuant to Regulation 14A within 120 days after the end of the registrant’s fiscal year ended December 31, 2023, are incorporated by reference into Part III of this Annual Report on Form 10-K.</w:t>
      </w:r>
    </w:p>
    <w:p>
      <w:pPr>
        <w:spacing w:after="0" w:line="2" w:lineRule="exact"/>
        <w:rPr>
          <w:sz w:val="24"/>
          <w:szCs w:val="24"/>
          <w:color w:val="auto"/>
        </w:rPr>
      </w:pPr>
    </w:p>
    <w:p>
      <w:pPr>
        <w:spacing w:after="0"/>
        <w:tabs>
          <w:tab w:leader="none" w:pos="1220" w:val="left"/>
          <w:tab w:leader="none" w:pos="2900" w:val="left"/>
          <w:tab w:leader="none" w:pos="4140" w:val="left"/>
          <w:tab w:leader="none" w:pos="6220" w:val="left"/>
          <w:tab w:leader="none" w:pos="7580" w:val="left"/>
        </w:tabs>
        <w:rPr>
          <w:sz w:val="20"/>
          <w:szCs w:val="20"/>
          <w:color w:val="auto"/>
        </w:rPr>
      </w:pPr>
      <w:r>
        <w:rPr>
          <w:rFonts w:ascii="Times New Roman" w:cs="Times New Roman" w:eastAsia="Times New Roman" w:hAnsi="Times New Roman"/>
          <w:sz w:val="13"/>
          <w:szCs w:val="13"/>
          <w:color w:val="auto"/>
        </w:rPr>
        <w:t>Auditor Firm Id:</w:t>
      </w:r>
      <w:r>
        <w:rPr>
          <w:sz w:val="20"/>
          <w:szCs w:val="20"/>
          <w:color w:val="auto"/>
        </w:rPr>
        <w:tab/>
      </w: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3"/>
          <w:szCs w:val="13"/>
          <w:color w:val="auto"/>
        </w:rPr>
        <w:t>Auditor Name:</w:t>
      </w:r>
      <w:r>
        <w:rPr>
          <w:sz w:val="20"/>
          <w:szCs w:val="20"/>
          <w:color w:val="auto"/>
        </w:rPr>
        <w:tab/>
      </w:r>
      <w:r>
        <w:rPr>
          <w:rFonts w:ascii="Times New Roman" w:cs="Times New Roman" w:eastAsia="Times New Roman" w:hAnsi="Times New Roman"/>
          <w:sz w:val="13"/>
          <w:szCs w:val="13"/>
          <w:color w:val="auto"/>
        </w:rPr>
        <w:t>Ernst &amp; Young LLP</w:t>
      </w:r>
      <w:r>
        <w:rPr>
          <w:sz w:val="20"/>
          <w:szCs w:val="20"/>
          <w:color w:val="auto"/>
        </w:rPr>
        <w:tab/>
      </w:r>
      <w:r>
        <w:rPr>
          <w:rFonts w:ascii="Times New Roman" w:cs="Times New Roman" w:eastAsia="Times New Roman" w:hAnsi="Times New Roman"/>
          <w:sz w:val="13"/>
          <w:szCs w:val="13"/>
          <w:color w:val="auto"/>
        </w:rPr>
        <w:t>Auditor Location:</w:t>
      </w:r>
      <w:r>
        <w:rPr>
          <w:sz w:val="20"/>
          <w:szCs w:val="20"/>
          <w:color w:val="auto"/>
        </w:rPr>
        <w:tab/>
      </w:r>
      <w:r>
        <w:rPr>
          <w:rFonts w:ascii="Times New Roman" w:cs="Times New Roman" w:eastAsia="Times New Roman" w:hAnsi="Times New Roman"/>
          <w:sz w:val="12"/>
          <w:szCs w:val="12"/>
          <w:color w:val="auto"/>
        </w:rPr>
        <w:t>Boston, Massachusetts,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490855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105410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88265</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96"/>
              </w:rPr>
              <w:t>Table of Contents</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97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20"/>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7"/>
          </w:tcPr>
          <w:p>
            <w:pPr>
              <w:jc w:val="center"/>
              <w:ind w:right="372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0" w:type="dxa"/>
            <w:vAlign w:val="bottom"/>
          </w:tcPr>
          <w:p>
            <w:pPr>
              <w:spacing w:after="0"/>
              <w:rPr>
                <w:sz w:val="24"/>
                <w:szCs w:val="24"/>
                <w:color w:val="auto"/>
              </w:rPr>
            </w:pPr>
          </w:p>
        </w:tc>
        <w:tc>
          <w:tcPr>
            <w:tcW w:w="67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Item1A.</w:t>
            </w:r>
          </w:p>
        </w:tc>
        <w:tc>
          <w:tcPr>
            <w:tcW w:w="40" w:type="dxa"/>
            <w:vAlign w:val="bottom"/>
          </w:tcPr>
          <w:p>
            <w:pPr>
              <w:spacing w:after="0"/>
              <w:rPr>
                <w:sz w:val="17"/>
                <w:szCs w:val="17"/>
                <w:color w:val="auto"/>
              </w:rPr>
            </w:pPr>
          </w:p>
        </w:tc>
        <w:tc>
          <w:tcPr>
            <w:tcW w:w="67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40" w:type="dxa"/>
            <w:vAlign w:val="bottom"/>
          </w:tcPr>
          <w:p>
            <w:pPr>
              <w:spacing w:after="0"/>
              <w:rPr>
                <w:sz w:val="17"/>
                <w:szCs w:val="17"/>
                <w:color w:val="auto"/>
              </w:rPr>
            </w:pPr>
          </w:p>
        </w:tc>
        <w:tc>
          <w:tcPr>
            <w:tcW w:w="20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472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40" w:type="dxa"/>
            <w:vAlign w:val="bottom"/>
          </w:tcPr>
          <w:p>
            <w:pPr>
              <w:spacing w:after="0"/>
              <w:rPr>
                <w:sz w:val="17"/>
                <w:szCs w:val="17"/>
                <w:color w:val="auto"/>
              </w:rPr>
            </w:pPr>
          </w:p>
        </w:tc>
        <w:tc>
          <w:tcPr>
            <w:tcW w:w="1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5760" w:type="dxa"/>
            <w:vAlign w:val="bottom"/>
            <w:gridSpan w:val="2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6040" w:type="dxa"/>
            <w:vAlign w:val="bottom"/>
            <w:gridSpan w:val="3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0" w:type="dxa"/>
            <w:vAlign w:val="bottom"/>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440" w:type="dxa"/>
            <w:vAlign w:val="bottom"/>
            <w:gridSpan w:val="2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0" w:type="dxa"/>
            <w:vAlign w:val="bottom"/>
          </w:tcPr>
          <w:p>
            <w:pPr>
              <w:spacing w:after="0"/>
              <w:rPr>
                <w:sz w:val="17"/>
                <w:szCs w:val="17"/>
                <w:color w:val="auto"/>
              </w:rPr>
            </w:pPr>
          </w:p>
        </w:tc>
        <w:tc>
          <w:tcPr>
            <w:tcW w:w="67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72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40" w:type="dxa"/>
            <w:vAlign w:val="bottom"/>
          </w:tcPr>
          <w:p>
            <w:pPr>
              <w:spacing w:after="0"/>
              <w:rPr>
                <w:sz w:val="24"/>
                <w:szCs w:val="24"/>
                <w:color w:val="auto"/>
              </w:rPr>
            </w:pPr>
          </w:p>
        </w:tc>
        <w:tc>
          <w:tcPr>
            <w:tcW w:w="660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w:t>
            </w:r>
          </w:p>
        </w:tc>
        <w:tc>
          <w:tcPr>
            <w:tcW w:w="18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of Equity Securities</w:t>
            </w:r>
          </w:p>
        </w:tc>
        <w:tc>
          <w:tcPr>
            <w:tcW w:w="5340" w:type="dxa"/>
            <w:vAlign w:val="bottom"/>
            <w:gridSpan w:val="25"/>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40" w:type="dxa"/>
            <w:vAlign w:val="bottom"/>
          </w:tcPr>
          <w:p>
            <w:pPr>
              <w:spacing w:after="0"/>
              <w:rPr>
                <w:sz w:val="17"/>
                <w:szCs w:val="17"/>
                <w:color w:val="auto"/>
              </w:rPr>
            </w:pPr>
          </w:p>
        </w:tc>
        <w:tc>
          <w:tcPr>
            <w:tcW w:w="67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40" w:type="dxa"/>
            <w:vAlign w:val="bottom"/>
          </w:tcPr>
          <w:p>
            <w:pPr>
              <w:spacing w:after="0"/>
              <w:rPr>
                <w:sz w:val="17"/>
                <w:szCs w:val="17"/>
                <w:color w:val="auto"/>
              </w:rPr>
            </w:pPr>
          </w:p>
        </w:tc>
        <w:tc>
          <w:tcPr>
            <w:tcW w:w="646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2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0" w:type="dxa"/>
            <w:vAlign w:val="bottom"/>
          </w:tcPr>
          <w:p>
            <w:pPr>
              <w:spacing w:after="0"/>
              <w:rPr>
                <w:sz w:val="17"/>
                <w:szCs w:val="17"/>
                <w:color w:val="auto"/>
              </w:rPr>
            </w:pPr>
          </w:p>
        </w:tc>
        <w:tc>
          <w:tcPr>
            <w:tcW w:w="436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42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0" w:type="dxa"/>
            <w:vAlign w:val="bottom"/>
          </w:tcPr>
          <w:p>
            <w:pPr>
              <w:spacing w:after="0"/>
              <w:rPr>
                <w:sz w:val="17"/>
                <w:szCs w:val="17"/>
                <w:color w:val="auto"/>
              </w:rPr>
            </w:pPr>
          </w:p>
        </w:tc>
        <w:tc>
          <w:tcPr>
            <w:tcW w:w="67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40" w:type="dxa"/>
            <w:vAlign w:val="bottom"/>
          </w:tcPr>
          <w:p>
            <w:pPr>
              <w:spacing w:after="0"/>
              <w:rPr>
                <w:sz w:val="17"/>
                <w:szCs w:val="17"/>
                <w:color w:val="auto"/>
              </w:rPr>
            </w:pPr>
          </w:p>
        </w:tc>
        <w:tc>
          <w:tcPr>
            <w:tcW w:w="67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Change in and Disagreements with Accountants on Accounting and Financial Disclosure.</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40" w:type="dxa"/>
            <w:vAlign w:val="bottom"/>
          </w:tcPr>
          <w:p>
            <w:pPr>
              <w:spacing w:after="0"/>
              <w:rPr>
                <w:sz w:val="17"/>
                <w:szCs w:val="17"/>
                <w:color w:val="auto"/>
              </w:rPr>
            </w:pPr>
          </w:p>
        </w:tc>
        <w:tc>
          <w:tcPr>
            <w:tcW w:w="644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34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4"/>
          </w:tcPr>
          <w:p>
            <w:pPr>
              <w:spacing w:after="0"/>
              <w:rPr>
                <w:sz w:val="17"/>
                <w:szCs w:val="17"/>
                <w:color w:val="auto"/>
              </w:rPr>
            </w:pPr>
          </w:p>
        </w:tc>
        <w:tc>
          <w:tcPr>
            <w:tcW w:w="5020" w:type="dxa"/>
            <w:vAlign w:val="bottom"/>
            <w:gridSpan w:val="2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0" w:type="dxa"/>
            <w:vAlign w:val="bottom"/>
          </w:tcPr>
          <w:p>
            <w:pPr>
              <w:spacing w:after="0"/>
              <w:rPr>
                <w:sz w:val="17"/>
                <w:szCs w:val="17"/>
                <w:color w:val="auto"/>
              </w:rPr>
            </w:pPr>
          </w:p>
        </w:tc>
        <w:tc>
          <w:tcPr>
            <w:tcW w:w="49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1880" w:type="dxa"/>
            <w:vAlign w:val="bottom"/>
            <w:gridSpan w:val="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bottom w:val="single" w:sz="8" w:color="0000EE"/>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III</w:t>
            </w:r>
          </w:p>
        </w:tc>
        <w:tc>
          <w:tcPr>
            <w:tcW w:w="368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0" w:type="dxa"/>
            <w:vAlign w:val="bottom"/>
          </w:tcPr>
          <w:p>
            <w:pPr>
              <w:spacing w:after="0"/>
              <w:rPr>
                <w:sz w:val="24"/>
                <w:szCs w:val="24"/>
                <w:color w:val="auto"/>
              </w:rPr>
            </w:pPr>
          </w:p>
        </w:tc>
        <w:tc>
          <w:tcPr>
            <w:tcW w:w="41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268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0" w:type="dxa"/>
            <w:vAlign w:val="bottom"/>
          </w:tcPr>
          <w:p>
            <w:pPr>
              <w:spacing w:after="0"/>
              <w:rPr>
                <w:sz w:val="17"/>
                <w:szCs w:val="17"/>
                <w:color w:val="auto"/>
              </w:rPr>
            </w:pPr>
          </w:p>
        </w:tc>
        <w:tc>
          <w:tcPr>
            <w:tcW w:w="67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40" w:type="dxa"/>
            <w:vAlign w:val="bottom"/>
          </w:tcPr>
          <w:p>
            <w:pPr>
              <w:spacing w:after="0"/>
              <w:rPr>
                <w:sz w:val="17"/>
                <w:szCs w:val="17"/>
                <w:color w:val="auto"/>
              </w:rPr>
            </w:pPr>
          </w:p>
        </w:tc>
        <w:tc>
          <w:tcPr>
            <w:tcW w:w="67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Matters</w:t>
            </w:r>
          </w:p>
        </w:tc>
        <w:tc>
          <w:tcPr>
            <w:tcW w:w="6140" w:type="dxa"/>
            <w:vAlign w:val="bottom"/>
            <w:tcBorders>
              <w:top w:val="single" w:sz="8" w:color="0000EE"/>
            </w:tcBorders>
            <w:gridSpan w:val="32"/>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40" w:type="dxa"/>
            <w:vAlign w:val="bottom"/>
          </w:tcPr>
          <w:p>
            <w:pPr>
              <w:spacing w:after="0"/>
              <w:rPr>
                <w:sz w:val="17"/>
                <w:szCs w:val="17"/>
                <w:color w:val="auto"/>
              </w:rPr>
            </w:pPr>
          </w:p>
        </w:tc>
        <w:tc>
          <w:tcPr>
            <w:tcW w:w="546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32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40" w:type="dxa"/>
            <w:vAlign w:val="bottom"/>
          </w:tcPr>
          <w:p>
            <w:pPr>
              <w:spacing w:after="0"/>
              <w:rPr>
                <w:sz w:val="17"/>
                <w:szCs w:val="17"/>
                <w:color w:val="auto"/>
              </w:rPr>
            </w:pPr>
          </w:p>
        </w:tc>
        <w:tc>
          <w:tcPr>
            <w:tcW w:w="28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Accounting Fees and Services</w:t>
            </w:r>
          </w:p>
        </w:tc>
        <w:tc>
          <w:tcPr>
            <w:tcW w:w="3900" w:type="dxa"/>
            <w:vAlign w:val="bottom"/>
            <w:gridSpan w:val="1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8"/>
          </w:tcPr>
          <w:p>
            <w:pPr>
              <w:jc w:val="center"/>
              <w:ind w:right="3700"/>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8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2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40" w:type="dxa"/>
            <w:vAlign w:val="bottom"/>
          </w:tcPr>
          <w:p>
            <w:pPr>
              <w:spacing w:after="0"/>
              <w:rPr>
                <w:sz w:val="24"/>
                <w:szCs w:val="24"/>
                <w:color w:val="auto"/>
              </w:rPr>
            </w:pPr>
          </w:p>
        </w:tc>
        <w:tc>
          <w:tcPr>
            <w:tcW w:w="67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40" w:type="dxa"/>
            <w:vAlign w:val="bottom"/>
          </w:tcPr>
          <w:p>
            <w:pPr>
              <w:spacing w:after="0"/>
              <w:rPr>
                <w:sz w:val="17"/>
                <w:szCs w:val="17"/>
                <w:color w:val="auto"/>
              </w:rPr>
            </w:pPr>
          </w:p>
        </w:tc>
        <w:tc>
          <w:tcPr>
            <w:tcW w:w="31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362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243"/>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stated, all references to “us,” “our,” “Blueprint,” “Blueprint Medicines,” “we,” the “Company” and similar designations in this Annual Report on Form 10-K refer to Blueprint Medicines Corporation and its consolidated subsidiaries. Blueprint Medicines, AYVAKIT®, AYVAKYT® and associated logos are trademarks of Blueprint Medicines Corporation. Other brands, names and trademarks contained in this Annual Report on Form 10-K are the property of their respective owners.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under the heading “Risk Factors” and should be carefully considered, together with other information in this Annual Report on Form 10-K in its entirety before making investment decisions regarding our common stock.</w:t>
      </w:r>
    </w:p>
    <w:p>
      <w:pPr>
        <w:spacing w:after="0" w:line="189" w:lineRule="exact"/>
        <w:rPr>
          <w:sz w:val="20"/>
          <w:szCs w:val="20"/>
          <w:color w:val="auto"/>
        </w:rPr>
      </w:pPr>
    </w:p>
    <w:p>
      <w:pPr>
        <w:ind w:left="1380" w:right="21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growing as a commercial company and the marketing and sale of AYVAKIT® (avapritinib) (marketed in Europe under the brand name AYVAKYT®) or any future approved drugs may be unsuccessful or less successful than anticipated.</w:t>
      </w:r>
    </w:p>
    <w:p>
      <w:pPr>
        <w:spacing w:after="0" w:line="175" w:lineRule="exact"/>
        <w:rPr>
          <w:rFonts w:ascii="Times New Roman" w:cs="Times New Roman" w:eastAsia="Times New Roman" w:hAnsi="Times New Roman"/>
          <w:sz w:val="18"/>
          <w:szCs w:val="18"/>
          <w:color w:val="auto"/>
        </w:rPr>
      </w:pPr>
    </w:p>
    <w:p>
      <w:pPr>
        <w:ind w:left="1380" w:right="799" w:hanging="331"/>
        <w:spacing w:after="0" w:line="312"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our current and future drugs will depend upon the degree of market acceptance by physicians, patients, third-party payors and others in the medical community.</w:t>
      </w:r>
    </w:p>
    <w:p>
      <w:pPr>
        <w:spacing w:after="0" w:line="139" w:lineRule="exact"/>
        <w:rPr>
          <w:rFonts w:ascii="Times New Roman" w:cs="Times New Roman" w:eastAsia="Times New Roman" w:hAnsi="Times New Roman"/>
          <w:sz w:val="17"/>
          <w:szCs w:val="17"/>
          <w:color w:val="auto"/>
        </w:rPr>
      </w:pPr>
    </w:p>
    <w:p>
      <w:pPr>
        <w:jc w:val="both"/>
        <w:ind w:left="1380" w:right="1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approved drugs or drug candidates are smaller than we estimate or if any approval that we obtain is based on a narrower definition of the patient population, our revenue and ability to achieve profitability may be adversely affected.</w:t>
      </w:r>
    </w:p>
    <w:p>
      <w:pPr>
        <w:spacing w:after="0" w:line="175" w:lineRule="exact"/>
        <w:rPr>
          <w:rFonts w:ascii="Times New Roman" w:cs="Times New Roman" w:eastAsia="Times New Roman" w:hAnsi="Times New Roman"/>
          <w:sz w:val="18"/>
          <w:szCs w:val="18"/>
          <w:color w:val="auto"/>
        </w:rPr>
      </w:pPr>
    </w:p>
    <w:p>
      <w:pPr>
        <w:ind w:left="1380" w:right="11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our commercial opportunity being reduced or limited by others commercializing, developing or discovering drugs before or more successfully than we do.</w:t>
      </w:r>
    </w:p>
    <w:p>
      <w:pPr>
        <w:spacing w:after="0" w:line="175" w:lineRule="exact"/>
        <w:rPr>
          <w:rFonts w:ascii="Times New Roman" w:cs="Times New Roman" w:eastAsia="Times New Roman" w:hAnsi="Times New Roman"/>
          <w:sz w:val="18"/>
          <w:szCs w:val="18"/>
          <w:color w:val="auto"/>
        </w:rPr>
      </w:pPr>
    </w:p>
    <w:p>
      <w:pPr>
        <w:ind w:left="1380" w:right="73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could limit commercialization of any of our approved drugs or drug candidates that we may develop.</w:t>
      </w:r>
    </w:p>
    <w:p>
      <w:pPr>
        <w:spacing w:after="0" w:line="161"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regulatory approval for our drug candidates (including for avapritinib in additional geographies) and ultimately commercialize them, or experience significant delays in doing so, our business may be materially harmed.</w:t>
      </w:r>
    </w:p>
    <w:p>
      <w:pPr>
        <w:spacing w:after="0" w:line="175" w:lineRule="exact"/>
        <w:rPr>
          <w:rFonts w:ascii="Times New Roman" w:cs="Times New Roman" w:eastAsia="Times New Roman" w:hAnsi="Times New Roman"/>
          <w:sz w:val="18"/>
          <w:szCs w:val="18"/>
          <w:color w:val="auto"/>
        </w:rPr>
      </w:pPr>
    </w:p>
    <w:p>
      <w:pPr>
        <w:ind w:left="1380" w:right="63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161"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drug candidates, we will not be able to commercialize, or may be delayed in commercializing, such drug candidates, and our ability to generate revenue will be materially impaired.</w:t>
      </w:r>
    </w:p>
    <w:p>
      <w:pPr>
        <w:spacing w:after="0" w:line="175"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drugs and drug candidates may cause undesirable side effects that could delay or prevent their regulatory approval, limit the commercial profile of an approved label, result in restrictive distribution or result in other negative consequences following marketing approval, if any.</w:t>
      </w:r>
    </w:p>
    <w:p>
      <w:pPr>
        <w:spacing w:after="0" w:line="175" w:lineRule="exact"/>
        <w:rPr>
          <w:rFonts w:ascii="Times New Roman" w:cs="Times New Roman" w:eastAsia="Times New Roman" w:hAnsi="Times New Roman"/>
          <w:sz w:val="18"/>
          <w:szCs w:val="18"/>
          <w:color w:val="auto"/>
        </w:rPr>
      </w:pPr>
    </w:p>
    <w:p>
      <w:pPr>
        <w:ind w:left="1380" w:right="21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preclinical data, individual case report presentations, and interim or early or clinical results for our drug candidates may not be indicative of future results and may not evolve into final clinical data that supports continued clinical development or into registration-enabling data.</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drug candidates.</w:t>
      </w:r>
    </w:p>
    <w:p>
      <w:pPr>
        <w:spacing w:after="0" w:line="225" w:lineRule="exact"/>
        <w:rPr>
          <w:rFonts w:ascii="Times New Roman" w:cs="Times New Roman" w:eastAsia="Times New Roman" w:hAnsi="Times New Roman"/>
          <w:sz w:val="18"/>
          <w:szCs w:val="18"/>
          <w:color w:val="auto"/>
        </w:rPr>
      </w:pPr>
    </w:p>
    <w:p>
      <w:pPr>
        <w:jc w:val="both"/>
        <w:ind w:left="1380" w:right="479" w:hanging="331"/>
        <w:spacing w:after="0" w:line="312"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comply with comprehensive and ongoing regulatory requirements for any of our current or future approved drugs, including conducting confirmatory clinical trials for any drug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359"/>
        <w:spacing w:after="0" w:line="266" w:lineRule="auto"/>
        <w:rPr>
          <w:sz w:val="20"/>
          <w:szCs w:val="20"/>
          <w:color w:val="auto"/>
        </w:rPr>
      </w:pPr>
      <w:r>
        <w:rPr>
          <w:rFonts w:ascii="Times New Roman" w:cs="Times New Roman" w:eastAsia="Times New Roman" w:hAnsi="Times New Roman"/>
          <w:sz w:val="18"/>
          <w:szCs w:val="18"/>
          <w:color w:val="auto"/>
        </w:rPr>
        <w:t>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76" w:lineRule="exact"/>
        <w:rPr>
          <w:sz w:val="20"/>
          <w:szCs w:val="20"/>
          <w:color w:val="auto"/>
        </w:rPr>
      </w:pPr>
    </w:p>
    <w:p>
      <w:pPr>
        <w:ind w:left="1380" w:right="17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operating losses since our inception and anticipate that we will incur continued losses for the foreseeable future.</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89"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57" w:lineRule="exact"/>
        <w:rPr>
          <w:rFonts w:ascii="Times New Roman" w:cs="Times New Roman" w:eastAsia="Times New Roman" w:hAnsi="Times New Roman"/>
          <w:sz w:val="17"/>
          <w:szCs w:val="17"/>
          <w:color w:val="auto"/>
        </w:rPr>
      </w:pPr>
    </w:p>
    <w:p>
      <w:pPr>
        <w:ind w:left="1380" w:right="99" w:hanging="331"/>
        <w:spacing w:after="0" w:line="261"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66" w:lineRule="exact"/>
        <w:rPr>
          <w:rFonts w:ascii="Times New Roman" w:cs="Times New Roman" w:eastAsia="Times New Roman" w:hAnsi="Times New Roman"/>
          <w:sz w:val="18"/>
          <w:szCs w:val="18"/>
          <w:color w:val="auto"/>
        </w:rPr>
      </w:pPr>
    </w:p>
    <w:p>
      <w:pPr>
        <w:ind w:left="1380" w:right="159" w:hanging="331"/>
        <w:spacing w:after="0" w:line="281"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50" w:lineRule="exact"/>
        <w:rPr>
          <w:rFonts w:ascii="Times New Roman" w:cs="Times New Roman" w:eastAsia="Times New Roman" w:hAnsi="Times New Roman"/>
          <w:sz w:val="17"/>
          <w:szCs w:val="17"/>
          <w:color w:val="auto"/>
        </w:rPr>
      </w:pPr>
    </w:p>
    <w:p>
      <w:pPr>
        <w:ind w:left="1380" w:right="339" w:hanging="331"/>
        <w:spacing w:after="0" w:line="258"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9" w:lineRule="exact"/>
        <w:rPr>
          <w:rFonts w:ascii="Times New Roman" w:cs="Times New Roman" w:eastAsia="Times New Roman" w:hAnsi="Times New Roman"/>
          <w:sz w:val="18"/>
          <w:szCs w:val="18"/>
          <w:color w:val="auto"/>
        </w:rPr>
      </w:pPr>
    </w:p>
    <w:p>
      <w:pPr>
        <w:ind w:left="1380" w:right="13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9"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57" w:lineRule="exact"/>
        <w:rPr>
          <w:rFonts w:ascii="Times New Roman" w:cs="Times New Roman" w:eastAsia="Times New Roman" w:hAnsi="Times New Roman"/>
          <w:sz w:val="17"/>
          <w:szCs w:val="17"/>
          <w:color w:val="auto"/>
        </w:rPr>
      </w:pPr>
    </w:p>
    <w:p>
      <w:pPr>
        <w:ind w:left="1380" w:hanging="331"/>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may in the future be volatile and fluctuate substantially.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70"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All statements, other than statements of historical facts, contained in this Annual Report on Form 10-K are forward-looking statements. In some cases, you can identify forward-looking statements by words such as “aim,” “anticipate,” “believe,” “contemplate,” “continue,” “could,” “estimate,” “expect,” “intend,” “may,” “plan,” “potential,” “predict,” “project,” “seek,” “should,” “target,” “will,” “would” or the variation or the negative of these words or other comparable terminology, although not all forward-looking statements contain these identifying words.</w:t>
      </w: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forward-looking statements in this Annual Report on Form 10-K include, but are not limited to, statements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about:</w:t>
      </w:r>
    </w:p>
    <w:p>
      <w:pPr>
        <w:spacing w:after="0" w:line="207" w:lineRule="exact"/>
        <w:rPr>
          <w:sz w:val="20"/>
          <w:szCs w:val="20"/>
          <w:color w:val="auto"/>
        </w:rPr>
      </w:pPr>
    </w:p>
    <w:p>
      <w:pPr>
        <w:ind w:left="1380" w:right="199" w:hanging="331"/>
        <w:spacing w:after="0" w:line="296" w:lineRule="auto"/>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or likelihood of regulatory actions, filings and approvals for our current and future drug candidates, including our ability to obtain marketing approval for avapritinib in additional geographies;</w:t>
      </w:r>
    </w:p>
    <w:p>
      <w:pPr>
        <w:spacing w:after="0" w:line="165" w:lineRule="exact"/>
        <w:rPr>
          <w:rFonts w:ascii="Times New Roman" w:cs="Times New Roman" w:eastAsia="Times New Roman" w:hAnsi="Times New Roman"/>
          <w:sz w:val="17"/>
          <w:szCs w:val="17"/>
          <w:color w:val="auto"/>
        </w:rPr>
      </w:pPr>
    </w:p>
    <w:p>
      <w:pPr>
        <w:ind w:left="1380" w:right="79" w:hanging="331"/>
        <w:spacing w:after="0" w:line="258"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plans in continuing to build out our commercial infrastructure and successfully launching, marketing and selling AYVAKIT (avapritinib) (marketed in Europe under the brand name AYVAKYT) and any current and future drug candidates for which we receive marketing approval;</w:t>
      </w:r>
    </w:p>
    <w:p>
      <w:pPr>
        <w:spacing w:after="0" w:line="196" w:lineRule="exact"/>
        <w:rPr>
          <w:rFonts w:ascii="Times New Roman" w:cs="Times New Roman" w:eastAsia="Times New Roman" w:hAnsi="Times New Roman"/>
          <w:sz w:val="18"/>
          <w:szCs w:val="18"/>
          <w:color w:val="auto"/>
        </w:rPr>
      </w:pPr>
    </w:p>
    <w:p>
      <w:pPr>
        <w:ind w:left="1380" w:right="31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of AYVAKIT/AYVAKYT and any current and future drug candidates in treating patients with indolent SM and advanced SM;</w:t>
      </w:r>
    </w:p>
    <w:p>
      <w:pPr>
        <w:spacing w:after="0" w:line="189" w:lineRule="exact"/>
        <w:rPr>
          <w:rFonts w:ascii="Times New Roman" w:cs="Times New Roman" w:eastAsia="Times New Roman" w:hAnsi="Times New Roman"/>
          <w:sz w:val="18"/>
          <w:szCs w:val="18"/>
          <w:color w:val="auto"/>
        </w:rPr>
      </w:pPr>
    </w:p>
    <w:p>
      <w:pPr>
        <w:ind w:left="1380" w:right="47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AYVAKIT/AYVAKYT and any current and future drug candidates for which we receive marketing approval;</w:t>
      </w:r>
    </w:p>
    <w:p>
      <w:pPr>
        <w:spacing w:after="0" w:line="189" w:lineRule="exact"/>
        <w:rPr>
          <w:rFonts w:ascii="Times New Roman" w:cs="Times New Roman" w:eastAsia="Times New Roman" w:hAnsi="Times New Roman"/>
          <w:sz w:val="18"/>
          <w:szCs w:val="18"/>
          <w:color w:val="auto"/>
        </w:rPr>
      </w:pPr>
    </w:p>
    <w:p>
      <w:pPr>
        <w:ind w:left="1380" w:right="13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AYVAKIT/AYVAKYT and any current and future drug candidates for which we receive marketing approval;</w:t>
      </w:r>
    </w:p>
    <w:p>
      <w:pPr>
        <w:spacing w:after="0" w:line="189" w:lineRule="exact"/>
        <w:rPr>
          <w:rFonts w:ascii="Times New Roman" w:cs="Times New Roman" w:eastAsia="Times New Roman" w:hAnsi="Times New Roman"/>
          <w:sz w:val="18"/>
          <w:szCs w:val="18"/>
          <w:color w:val="auto"/>
        </w:rPr>
      </w:pPr>
    </w:p>
    <w:p>
      <w:pPr>
        <w:ind w:left="1380" w:right="119" w:hanging="331"/>
        <w:spacing w:after="0" w:line="255"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the termination of our collaboration with F. Hoffmann-La Roche Ltd and Genentech, Inc. to develop and commercialize pralsetinib globally (excluding Greater China), our expectations concerning the transition process with F. Hoffmann-La Roche Ltd and Genentech, Inc., and our plans to repartner GAVRETO for future development and commercialization;</w:t>
      </w:r>
    </w:p>
    <w:p>
      <w:pPr>
        <w:spacing w:after="0" w:line="186" w:lineRule="exact"/>
        <w:rPr>
          <w:rFonts w:ascii="Times New Roman" w:cs="Times New Roman" w:eastAsia="Times New Roman" w:hAnsi="Times New Roman"/>
          <w:sz w:val="18"/>
          <w:szCs w:val="18"/>
          <w:color w:val="auto"/>
        </w:rPr>
      </w:pPr>
    </w:p>
    <w:p>
      <w:pPr>
        <w:jc w:val="both"/>
        <w:ind w:left="1380" w:right="479" w:hanging="331"/>
        <w:spacing w:after="0" w:line="258"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including our ongoing clinical trials and any planned clinical trials for our current and future drug candidates and research and development programs;</w:t>
      </w:r>
    </w:p>
    <w:p>
      <w:pPr>
        <w:spacing w:after="0" w:line="19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58"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196" w:lineRule="exact"/>
        <w:rPr>
          <w:rFonts w:ascii="Times New Roman" w:cs="Times New Roman" w:eastAsia="Times New Roman" w:hAnsi="Times New Roman"/>
          <w:sz w:val="18"/>
          <w:szCs w:val="18"/>
          <w:color w:val="auto"/>
        </w:rPr>
      </w:pPr>
    </w:p>
    <w:p>
      <w:pPr>
        <w:ind w:left="1380" w:right="27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drugs, drug candidates, platform and technology;</w:t>
      </w:r>
    </w:p>
    <w:p>
      <w:pPr>
        <w:spacing w:after="0" w:line="189" w:lineRule="exact"/>
        <w:rPr>
          <w:rFonts w:ascii="Times New Roman" w:cs="Times New Roman" w:eastAsia="Times New Roman" w:hAnsi="Times New Roman"/>
          <w:sz w:val="18"/>
          <w:szCs w:val="18"/>
          <w:color w:val="auto"/>
        </w:rPr>
      </w:pPr>
    </w:p>
    <w:p>
      <w:pPr>
        <w:ind w:left="1380" w:right="29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length of protection we are able to establish and maintain for intellectual property rights covering our current and future drugs, drug candidates and technology;</w:t>
      </w:r>
    </w:p>
    <w:p>
      <w:pPr>
        <w:spacing w:after="0" w:line="189" w:lineRule="exact"/>
        <w:rPr>
          <w:rFonts w:ascii="Times New Roman" w:cs="Times New Roman" w:eastAsia="Times New Roman" w:hAnsi="Times New Roman"/>
          <w:sz w:val="18"/>
          <w:szCs w:val="18"/>
          <w:color w:val="auto"/>
        </w:rPr>
      </w:pPr>
    </w:p>
    <w:p>
      <w:pPr>
        <w:ind w:left="1380" w:right="179" w:hanging="331"/>
        <w:spacing w:after="0" w:line="253"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collaboration with CStone Pharmaceuticals (CStone) to develop and commercialize avapritinib, pralsetinib and fisogatinib in Greater China, our collaboration with Zai Lab to develop and commercialize BLU-525, BLU-945, and any back-up and other forms thereof, as inhibitors of epidermal growth factor receptor (EGFR) in Greater China, our collaboration with VantAI, Inc. (VantAI) and Oncopia Therapeutics, Inc., d/b/a SK Life Science Labs (formerly known as Proteovant Therapeutics, Inc. (Proteovant)), to research and advance novel targeted protein degrader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679"/>
        <w:spacing w:after="0" w:line="282" w:lineRule="auto"/>
        <w:rPr>
          <w:sz w:val="20"/>
          <w:szCs w:val="20"/>
          <w:color w:val="auto"/>
        </w:rPr>
      </w:pPr>
      <w:r>
        <w:rPr>
          <w:rFonts w:ascii="Times New Roman" w:cs="Times New Roman" w:eastAsia="Times New Roman" w:hAnsi="Times New Roman"/>
          <w:sz w:val="18"/>
          <w:szCs w:val="18"/>
          <w:color w:val="auto"/>
        </w:rPr>
        <w:t>therapies, as well as our ability to maintain these collaborations and establish additional strategic collaborations;</w:t>
      </w:r>
    </w:p>
    <w:p>
      <w:pPr>
        <w:spacing w:after="0" w:line="162" w:lineRule="exact"/>
        <w:rPr>
          <w:sz w:val="20"/>
          <w:szCs w:val="20"/>
          <w:color w:val="auto"/>
        </w:rPr>
      </w:pPr>
    </w:p>
    <w:p>
      <w:pPr>
        <w:ind w:left="1380" w:right="79" w:hanging="331"/>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exclusive license agreement with Clementia Pharmaceuticals, Inc., a wholly-owned subsidiary of Ipsen S.A. (Clementia), to develop and commercialize BLU-782 for fibrodysplasia ossificans progressiva;</w:t>
      </w:r>
    </w:p>
    <w:p>
      <w:pPr>
        <w:spacing w:after="0" w:line="175"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 of our strategic financing transaction with Garnich Adjacent Investments S.a.r.l. and Tao Talents, LLC, both affiliates of Sixth Street Partners and the potential acceleration of our commercial products and pipeline resulting from the non-dilutive growth capital;</w:t>
      </w:r>
    </w:p>
    <w:p>
      <w:pPr>
        <w:spacing w:after="0" w:line="175" w:lineRule="exact"/>
        <w:rPr>
          <w:rFonts w:ascii="Times New Roman" w:cs="Times New Roman" w:eastAsia="Times New Roman" w:hAnsi="Times New Roman"/>
          <w:sz w:val="18"/>
          <w:szCs w:val="18"/>
          <w:color w:val="auto"/>
        </w:rPr>
      </w:pPr>
    </w:p>
    <w:p>
      <w:pPr>
        <w:ind w:left="1380" w:right="219" w:hanging="331"/>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of the collaboration compounds retained by us following the mutual termination of our cancer immunotherapy collaboration with F. Hoffmann-La Roche Ltd and Hoffman-La Roche Inc.;</w:t>
      </w:r>
    </w:p>
    <w:p>
      <w:pPr>
        <w:spacing w:after="0" w:line="175" w:lineRule="exact"/>
        <w:rPr>
          <w:rFonts w:ascii="Times New Roman" w:cs="Times New Roman" w:eastAsia="Times New Roman" w:hAnsi="Times New Roman"/>
          <w:sz w:val="18"/>
          <w:szCs w:val="18"/>
          <w:color w:val="auto"/>
        </w:rPr>
      </w:pPr>
    </w:p>
    <w:p>
      <w:pPr>
        <w:ind w:left="1380" w:right="299" w:hanging="331"/>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license agreement with IDRx, Inc. (IDRx) to develop our development candidate-stage KIT exon 13 inhibitor, IDRX-73, for the treatment of drug-resistant mutations of non-PDGFR-driven gastrointestinal stromal tumor (GIST);</w:t>
      </w:r>
    </w:p>
    <w:p>
      <w:pPr>
        <w:spacing w:after="0" w:line="175"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estimates of our revenues, expenses and capital requirements and our needs for future financing, including our ability to achieve a self-sustainable financial profile;</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225" w:lineRule="exact"/>
        <w:rPr>
          <w:rFonts w:ascii="Times New Roman" w:cs="Times New Roman" w:eastAsia="Times New Roman" w:hAnsi="Times New Roman"/>
          <w:sz w:val="18"/>
          <w:szCs w:val="18"/>
          <w:color w:val="auto"/>
        </w:rPr>
      </w:pPr>
    </w:p>
    <w:p>
      <w:pPr>
        <w:ind w:left="1380" w:right="319" w:hanging="331"/>
        <w:spacing w:after="0" w:line="28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potential benefits of designations granted by U.S. Food and Drug Administration (FDA), such as orphan drug, fast track and breakthrough therapy designation or priority review.</w:t>
      </w:r>
    </w:p>
    <w:p>
      <w:pPr>
        <w:spacing w:after="0" w:line="16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Annual Report on Form 10-K,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90"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9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purposes of this Annual Report on Form 10-K, including the footnotes to our consolidated financial statements, (i) with respect to our collaboration for pralsetinib, Roche means F. Hoffmann-La Roche Ltd and Genentech, Inc., (ii) with respect to our terminated cancer immunotherapy collaboration, Roche means F. Hoffmann-La Roche Ltd and Hoffmann-La Roche Inc., (iii) with respect to our financing transactions with Sixth Street Partners, Sixth Street Partners means Garnich Adjacent Investments S.a.r.l. and/or Tao Talents, LLC, and (iv) with respect to our targeted protein degrader therapies collaboration, Proteovant means Oncopia Therapeutics, Inc., d/b/a SK Life Science Labs (formerly known as Proteovant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a fully-integrated, commercial-stage, global biopharmaceutical company that invents life-changing medicines in two core, strategic areas of allergy/inflammation and oncology/hematology. We pursue discovery, development, and commercialization of therapies that potently and selectively target primary drivers of disease, with focused investment in therapeutic areas where we can leverage our core expertise and business infrastructure to bring scale to our science. We are bringing AYVAKIT®/AYVAKYT® (avapritinib) to people living with systemic mastocytosis (SM) and PDGFRA Exon 18 mutant GIST in the U.S. and Europe. Additionally, we have a pipeline of research and development programs that range from early science to advanced clinical trials in mast cell-mediated diseases, including SM and chronic urticaria, breast cancer, and other solid tumors vulnerable to CDK2 inhibition.</w:t>
      </w:r>
    </w:p>
    <w:p>
      <w:pPr>
        <w:spacing w:after="0" w:line="192"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Since 2011, we have advanced a drug discovery approach that combines evolving biological insights with our proprietary research platform and drug design capabilities, which currently includes kinase inhibition and targeted protein degradation. We aim to rapidly and reproducibly translate science into durable clinical benefit for broad populations of patients with significant medical needs, including patients with mast cell-mediated diseases, breast cancer and other solid tumors. Our focused business model integrates our research engine with robust clinical development and commercial capabilities in allergy/inflammation and solid tumors to create a sustainable cycle of innovation.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Oncology/Hematology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Mast Cell-mediated Diseases — AYVAKIT®/AYVAKYT® (avapritinib), Elenestinib (BLU-263), and BLU-808</w:t>
      </w:r>
    </w:p>
    <w:p>
      <w:pPr>
        <w:spacing w:after="0" w:line="21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Mast cells are core drivers of biology in a range of inflammatory diseases. KIT-mediated signaling plays a central role in survival, proliferation, and activation of mast cells and KIT is a clinically validated mast cell target. The KIT receptor regulates growth, proliferation, and activation of mast cells – characterized by the release of inflammatory molecules like cytokines, histamine, tryptase, and heparin in a process called degranulation. Under normal conditions, these molecules mediate the normal physiological response to an inflammatory stimulus – leading to symptoms like sneezing, swelling, itching, and gastrointestinal effects.</w:t>
      </w:r>
    </w:p>
    <w:p>
      <w:pPr>
        <w:spacing w:after="0" w:line="174"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There are many disease states caused by increased activation of mast cells. In addition to diseases caused by a KIT receptor mutation, there are also diseases that may be treated by dialing down mast cell activation. SM is a disorder of mast cells driven by the KIT D816V mutation in nearly all cases, as is monoclonal mast cell activation syndrome (MCAS).</w:t>
      </w:r>
    </w:p>
    <w:p>
      <w:pPr>
        <w:spacing w:after="0" w:line="1" w:lineRule="exact"/>
        <w:rPr>
          <w:sz w:val="20"/>
          <w:szCs w:val="20"/>
          <w:color w:val="auto"/>
        </w:rPr>
      </w:pPr>
    </w:p>
    <w:p>
      <w:pPr>
        <w:jc w:val="both"/>
        <w:ind w:left="60" w:right="179"/>
        <w:spacing w:after="0" w:line="255" w:lineRule="auto"/>
        <w:rPr>
          <w:sz w:val="20"/>
          <w:szCs w:val="20"/>
          <w:color w:val="auto"/>
        </w:rPr>
      </w:pPr>
      <w:r>
        <w:rPr>
          <w:rFonts w:ascii="Times New Roman" w:cs="Times New Roman" w:eastAsia="Times New Roman" w:hAnsi="Times New Roman"/>
          <w:sz w:val="18"/>
          <w:szCs w:val="18"/>
          <w:color w:val="auto"/>
        </w:rPr>
        <w:t>Other mast cell disorders, including chronic urticaria, asthma and other skin, respiratory, and gastrointestinal disorders are characterized by generalized mast cell dysregulation, which has been shown to be modifiable with inhibition of wild-type KIT.</w:t>
      </w:r>
    </w:p>
    <w:p>
      <w:pPr>
        <w:spacing w:after="0" w:line="172"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We continue to build a mast cell-mediated disease franchise, based on our deep understanding of mast cell biology and the KIT pathway. We are commercializing our first KIT D816V inhibitor, AYVAKIT/AYVAKYT globally for the treatment of advanced SM and indolent SM. We are developing elenestinib, or BLU-263, an investigational, orally available, potent and highly selective KIT D816V inhibitor, for the treatment of indolent SM and other mast cell disorders. Additionally, we are advancing our development candidate BLU-808, a potent and selective wild-type KIT inhibitor, for mast cell disorders, including chronic urticaria. AYVAKIT is the proof point that successful inhibition of mutated KIT with a highly potent and specific molecule delivers the first and only disease modifying therapy for SM. Through AYVAKIT development, we have amassed considerable data on mast cell biology and a strong clinical understanding of disease areas connected to mast cell activation, which is helping to drive our efforts to extend our position in SM and expand into other mast cell disorders. We are doing this by leveraging our deep understanding of mast cell biology to drive scientific innovation; bringing that innovation to patients with our clinical and regulatory know-how; and driving compelling top-line revenue growth through commercial execution.</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Systemic Mastocytosis (SM)</w:t>
      </w:r>
    </w:p>
    <w:p>
      <w:pPr>
        <w:spacing w:after="0" w:line="22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SM is a disorder of the mast cells, the key effector cells of allergic inflammation, which have several physiologic roles including wound healing, regulation of vascular and epithelial permeability and immune cell recruitment. The signature of SM is the overproduction of mast cells and the accumulation of mast cells in the bone marrow and other organs, including the liver, spleen, gastrointestinal tract and bones. Mast cell activation and histamine release can lead to severe allergic symptoms ranging from a skin rash to hives, fever and anaphylaxis, while mast cell accumulation in advanced cases of SM can eventually lead to organ dysfunction and failure.</w:t>
      </w:r>
    </w:p>
    <w:p>
      <w:pPr>
        <w:spacing w:after="0" w:line="14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SM comprises a spectrum of disease, with nearly all patients (approximately 95 percent) having a KIT D816V mutation as the underlying driver of the disease, and is generally characterized by indolent and advanced subtypes. Indolent SM, which represents the vast majority of non-advanced SM cases and is the most common form of SM, is characterized by often severe, unpredictable and debilitating symptoms due to mast cell activation. Symptoms may include hypersensitivity reactions, including unpredictable anaphylaxis, gastrointestinal distress including severe nausea, vomiting and diarrhea, and extensive skin rashes that cause pain, discomfort and social isolation. Advanced SM is a rarer form of SM associated with mast cell infiltration of organ systems resulting in an increasingly severe impact on life expectancy, and includes three subsets: aggressive SM (ASM), SM with an associated hematological neoplasm (SM-AHN) and mast cell leukemia (MCL). These advanced forms of SM have historically had a median overall survival (OS) of less than six months to 3.5 years and are characterized by prominent organopathy and dysfunction, as well as the debilitating symptoms of mast cell activation.</w:t>
      </w:r>
    </w:p>
    <w:p>
      <w:pPr>
        <w:spacing w:after="0" w:line="17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Advanced SM accounts for approximately 5-10 percent of patients, or about 5,800 patients in the U.S. and European Union. Non-advanced SM, including indolent SM and an intermediate form referred to as smoldering SM, account for the remaining 90-95 percent of patients, or about 71,000 patients in the U.S. and European Union. Population studies estimate the prevalence rate of all subtypes of SM is approximately 9.6 per 100,000 people.</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current treatment paradigm for SM varies by disease subtype. Currently, there are no approved targeted therapies other than AYVAKIT designed to potently and selectively inhibit the KIT D816V mutation. There are two approved therapies for advanced SM: midostaurin and imatinib. Midostaurin is a multi-kinase inhibitor with limited KIT D816V inhibitory activity. Imatinib is approved only for patients with the ASM subtype who do not harbor the KIT D816V mutation, or who have an unknown mutation status. Other treatments used in advanced SM include interferon alpha or cytoreductive agents to reduce mast cell burden, or treatments aimed at addressing the associated blood disorder.</w:t>
      </w:r>
    </w:p>
    <w:p>
      <w:pPr>
        <w:spacing w:after="0" w:line="21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For patients with non-advanced SM, management is symptom-directed and includes avoidance of triggers of mast cell activation (such as insect stings). Treatments for non-advanced SM include histamine blockers, cromolyn, epinephrine, corticosteroids, and, in cases of refractory patients, cytoreductive agents. Patients often take multiple symptom-directed treatments to manage their disease, and a reduction in polypharmacy burden is an important treatment goal. Within non-advanced SM, key opinion leaders see the greatest degree of medical need for a significant portion of patients who have a heavy symptom burden that current therapies fail to address.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AYVAKIT®/AYVAKYT® (avapritinib)</w:t>
      </w:r>
    </w:p>
    <w:p>
      <w:pPr>
        <w:spacing w:after="0" w:line="270"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We are commercializing avapritinib for the treatment of advanced SM and indolent SM. The FDA approved avapritinib under the brand name AYVAKIT for the treatment of adult patients with advanced SM, including ASM, SM-AHN, and MCL in June 2021, and for adult patients with indolent SM in May 2023. In March 2022, the European Commission approved the marketing authorization for AYVAKYT for the treatment of adult patients with ASM, SM-AHN, or MCL, after at least one systemic therapy. In December 2023, the European Commission approved AYVAKYT for the treatment of adult patients with indolent SM with moderate to severe symptoms inadequately controlled on symptomatic treatment. These approvals in advanced SM were supported by our ongoing Phase 1 clinical trial in advanced SM, which we refer to as our EXPLORER trial, and our ongoing Phase 2 clinical trial in advanced SM, which we refer to as our PATHFINDER trial. The FDA’s approval of AYVAKIT for the treatment of patients with indolent SM, was supported by data from our ongoing Phase 2 clinical trial in indolent SM, which we refer to as the PIONEER trial. We plan to present long-term safety and efficacy data from PIONEER trial in ISM in the first half of 2024.</w:t>
      </w:r>
    </w:p>
    <w:p>
      <w:pPr>
        <w:spacing w:after="0" w:line="234" w:lineRule="exact"/>
        <w:rPr>
          <w:sz w:val="20"/>
          <w:szCs w:val="20"/>
          <w:color w:val="auto"/>
        </w:rPr>
      </w:pPr>
    </w:p>
    <w:p>
      <w:pPr>
        <w:ind w:left="60" w:right="559" w:firstLine="648"/>
        <w:spacing w:after="0" w:line="312" w:lineRule="auto"/>
        <w:rPr>
          <w:sz w:val="20"/>
          <w:szCs w:val="20"/>
          <w:color w:val="auto"/>
        </w:rPr>
      </w:pPr>
      <w:r>
        <w:rPr>
          <w:rFonts w:ascii="Times New Roman" w:cs="Times New Roman" w:eastAsia="Times New Roman" w:hAnsi="Times New Roman"/>
          <w:sz w:val="17"/>
          <w:szCs w:val="17"/>
          <w:color w:val="auto"/>
        </w:rPr>
        <w:t>The FDA has granted breakthrough therapy designation to avapritinib for (i) the treatment of advanced SM, including the subtypes of ASM, SM-AHN and MCL, and (ii) the treatment of moderate to severe indolent SM. In</w:t>
      </w:r>
    </w:p>
    <w:p>
      <w:pPr>
        <w:sectPr>
          <w:pgSz w:w="11900" w:h="16838" w:orient="portrait"/>
          <w:cols w:equalWidth="0" w:num="1">
            <w:col w:w="9019"/>
          </w:cols>
          <w:pgMar w:left="1440" w:top="513" w:right="1440"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312" w:lineRule="auto"/>
        <w:rPr>
          <w:sz w:val="20"/>
          <w:szCs w:val="20"/>
          <w:color w:val="auto"/>
        </w:rPr>
      </w:pPr>
      <w:r>
        <w:rPr>
          <w:rFonts w:ascii="Times New Roman" w:cs="Times New Roman" w:eastAsia="Times New Roman" w:hAnsi="Times New Roman"/>
          <w:sz w:val="17"/>
          <w:szCs w:val="17"/>
          <w:color w:val="auto"/>
        </w:rPr>
        <w:t>addition, the FDA has granted orphan drug designation to avapritinib for the treatment of mastocytosis, and the European Commission has granted orphan medicinal product designation to avapritinib for the treatment of mastocytosis.</w:t>
      </w:r>
    </w:p>
    <w:p>
      <w:pPr>
        <w:spacing w:after="0" w:line="18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Avapritinib is also approved in the U.S. under the brand name AYVAKIT for the treatment of adults with unresectable or metastatic GIST harboring a PDGFRA exon 18 mutation, including PDGFRA D842V mutations, and is approved in Europe with conditional marketing authorization under the brand name AYVAKYT as a monotherapy for the treatment of adult patients with unresectable or metastatic GIST harboring a PDGFRA D842V mutation. Currently, AYVAKIT is the only FDA-approved treatment for patients with D842V mutant PDGFRA-driven GIST. Through our collaboration with CStone, China’s National Medicinal Products Administration (NMPA) approved AYVAKIT for the treatment of adults with unresectable or metastatic GIST harboring a PDGFRA exon 18 mutation, including PDGFRA D842V mutations. AYVAKIT also received accelerated approval from the Taiwan Food and Drug Administration (TFDA) and approval in Hong Kong, both for adults with unresectable or metastatic GIST harboring PDGFRA D842V mutations. 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Avapritinib Clinical Data in SM</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Phase 2 PIONEER Trial in Indolent SM</w:t>
      </w:r>
    </w:p>
    <w:p>
      <w:pPr>
        <w:spacing w:after="0" w:line="26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 xml:space="preserve">PIONEER is a randomized, double-blind, placebo-controlled, registration-enabling trial evaluating avapritinib in patients with indolent SM. The trial includes three parts: dose-finding Part 1, registration-enabling Part 2 and long-term treatment Part 3. All patients who completed Parts 1 or 2 had an opportunity to receive treatment with avapritinib in Part 3. Key trial endpoints include the change in patient-reported disease symptoms as measured by the Indolent SM Symptom Assessment Form </w:t>
      </w:r>
      <w:r>
        <w:rPr>
          <w:rFonts w:ascii="Times New Roman" w:cs="Times New Roman" w:eastAsia="Times New Roman" w:hAnsi="Times New Roman"/>
          <w:sz w:val="18"/>
          <w:szCs w:val="18"/>
          <w:color w:val="0A0A0A"/>
        </w:rPr>
        <w:t>Total Symptom Score, or</w:t>
      </w:r>
      <w:r>
        <w:rPr>
          <w:rFonts w:ascii="Times New Roman" w:cs="Times New Roman" w:eastAsia="Times New Roman" w:hAnsi="Times New Roman"/>
          <w:sz w:val="18"/>
          <w:szCs w:val="18"/>
          <w:color w:val="auto"/>
        </w:rPr>
        <w:t xml:space="preserve"> ISM-SAF TSS, quantitative measures of mast cell burden and safety.</w:t>
      </w:r>
    </w:p>
    <w:p>
      <w:pPr>
        <w:spacing w:after="0" w:line="228"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August 2022 we presented top-line data from PIONEER Part 2 and in February 2023 we presented more fulsome results from PIONEER Part 2 at the American Academy of Allergy, Asthma, and Immunology (AAAAI) Annual Meeting.</w:t>
      </w:r>
    </w:p>
    <w:p>
      <w:pPr>
        <w:spacing w:after="0" w:line="221" w:lineRule="exact"/>
        <w:rPr>
          <w:sz w:val="20"/>
          <w:szCs w:val="20"/>
          <w:color w:val="auto"/>
        </w:rPr>
      </w:pPr>
    </w:p>
    <w:p>
      <w:pPr>
        <w:ind w:left="700" w:right="579"/>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Data Presented at the American Academy of Allergy, Asthma, and Immunology (AAAAI) Annual Meeting in February 2023</w:t>
      </w:r>
    </w:p>
    <w:p>
      <w:pPr>
        <w:spacing w:after="0" w:line="18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the randomized, double-blind, placebo-controlled part of the PIONEER trial, 141 patients received AYVAKIT 25 mg once daily plus best supportive care and 71 patients received placebo plus best supportive care (placebo) at 49 sites in 13 countries. The study included adults with an indolent SM diagnosis confirmed by central pathology review, and moderate-to-severe symptom burden despite an optimized regimen of best supportive care. All patients were able to continue symptom-directed therapy throughout the trial and, following completion of the 24-week treatment period, had the option to receive AYVAKIT in an open-label extension study. Baseline patient demographics were balanced between treatment arms and reflected significant disease burden. Disease symptoms were assessed using the Indolent SM Symptom Assessment Form (ISM-SAF). Results were reported as of a data cutoff date of June 23, 2022.</w:t>
      </w:r>
    </w:p>
    <w:p>
      <w:pPr>
        <w:spacing w:after="0" w:line="230"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Clinical Activity Data. </w:t>
      </w:r>
      <w:r>
        <w:rPr>
          <w:rFonts w:ascii="Times New Roman" w:cs="Times New Roman" w:eastAsia="Times New Roman" w:hAnsi="Times New Roman"/>
          <w:sz w:val="17"/>
          <w:szCs w:val="17"/>
          <w:color w:val="auto"/>
        </w:rPr>
        <w:t>Part 2 of the PIONEER study showed clinically meaningful and highly significant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improvements across the primary and all key secondary endpoints, including patient-reported symptoms and objective measures of disease burden. For the avapritinib arm relative to the control arm, the trial achieved the primary endpoint with a highly significant difference in the mean change in TSS at 24 weeks (p=0.003). The avapritinib arm had a reduction of</w:t>
      </w:r>
    </w:p>
    <w:p>
      <w:pPr>
        <w:spacing w:after="0" w:line="1" w:lineRule="exact"/>
        <w:rPr>
          <w:sz w:val="20"/>
          <w:szCs w:val="20"/>
          <w:color w:val="auto"/>
        </w:rPr>
      </w:pPr>
    </w:p>
    <w:p>
      <w:pPr>
        <w:jc w:val="both"/>
        <w:ind w:left="60" w:right="139"/>
        <w:spacing w:after="0" w:line="255" w:lineRule="auto"/>
        <w:rPr>
          <w:sz w:val="20"/>
          <w:szCs w:val="20"/>
          <w:color w:val="auto"/>
        </w:rPr>
      </w:pPr>
      <w:r>
        <w:rPr>
          <w:rFonts w:ascii="Times New Roman" w:cs="Times New Roman" w:eastAsia="Times New Roman" w:hAnsi="Times New Roman"/>
          <w:sz w:val="18"/>
          <w:szCs w:val="18"/>
          <w:color w:val="auto"/>
        </w:rPr>
        <w:t>15.6 points in mean TSS at 24 weeks, which continued to deepen to 20.2 points at 48 weeks in patients who rolled over to the Part 3 open-label extension study. At 24 weeks, the control arm had a reduction of 9.2 points in mean TSS. In addition, the trial met all key secondary endpoints, including significant improvements across measures of mast</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cell burden. More than half of AYVAKIT-treated patients had a greater than or equal to 50 percent reduction of serum tryptase, compared to no patients in the control arm (53.9% vs. 0%; p&lt;0.0001).</w:t>
      </w:r>
    </w:p>
    <w:p>
      <w:pPr>
        <w:spacing w:after="0" w:line="20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Safety Data</w:t>
      </w:r>
      <w:r>
        <w:rPr>
          <w:rFonts w:ascii="Times New Roman" w:cs="Times New Roman" w:eastAsia="Times New Roman" w:hAnsi="Times New Roman"/>
          <w:sz w:val="18"/>
          <w:szCs w:val="18"/>
          <w:color w:val="auto"/>
        </w:rPr>
        <w:t>. Avapritinib had a favorable safety profile compared to the control arm. The rate of adverse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(AEs) was 90.8 percent in the avapritinib arm and 93.0 percent in the control arm. Serious AEs occurred in 5.0 percent of avapritinib-treated patients, compared to 11.3 percent of patients in the control arm. Discontinuations due to treatment-related AEs occurred in 0.7 percent of avapritinib-treated patients and 0 percent of patients in the placebo arm. The avapritinib arm had a lower rate of cognitive AEs than the control arm - 2.8% avapritinib vs. 4.2% control – and there were no intracranial bleeding events. Treatment-related AEs reported in at least three patients in either arm and at least 5 percent of avapritinib-treated patients included headache, nausea, peripheral edema and periorbital edema.</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Phase 1 EXPLORER Trial and Phase 2 PATHFINDER Trial in Advanced SM</w:t>
      </w:r>
    </w:p>
    <w:p>
      <w:pPr>
        <w:spacing w:after="0" w:line="254"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EXPLORER trial is an open-label, single-arm Phase 1 trial. The PATHFINDER trial is an open-label, single-arm Phase 2 trial. Both trials have completed enrollment. For both the EXPLORER and PATHFINDER trials, key endpoints include overall response rate (ORR), duration of response (DOR), quantitative measures of mast cell burden, patient-reported outcomes and safety.</w:t>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Data Presented at the European Hematology Association Annual Meeting in June 2022</w:t>
      </w:r>
    </w:p>
    <w:p>
      <w:pPr>
        <w:spacing w:after="0" w:line="268" w:lineRule="exact"/>
        <w:rPr>
          <w:sz w:val="20"/>
          <w:szCs w:val="20"/>
          <w:color w:val="auto"/>
        </w:rPr>
      </w:pPr>
    </w:p>
    <w:p>
      <w:pPr>
        <w:jc w:val="both"/>
        <w:ind w:left="60" w:right="199" w:firstLine="648"/>
        <w:spacing w:after="0" w:line="275" w:lineRule="auto"/>
        <w:rPr>
          <w:sz w:val="20"/>
          <w:szCs w:val="20"/>
          <w:color w:val="auto"/>
        </w:rPr>
      </w:pPr>
      <w:r>
        <w:rPr>
          <w:rFonts w:ascii="Times New Roman" w:cs="Times New Roman" w:eastAsia="Times New Roman" w:hAnsi="Times New Roman"/>
          <w:sz w:val="17"/>
          <w:szCs w:val="17"/>
          <w:color w:val="auto"/>
        </w:rPr>
        <w:t>In the EXPLORER and PATHINDER trials, 176 patients with advanced SM received avapritinib across doses as of an April 20, 2021 data cutoff date. Pooled data from these patients were indirectly compared to clinical outcomes from patients who received best available therapy in real-world clinical practice, including 94 midostaurin-treated patients and 44 cladribine-treated patients. The confidence interval, or CI, represents the confidence interval of the reported endpoints.</w:t>
      </w:r>
    </w:p>
    <w:p>
      <w:pPr>
        <w:spacing w:after="0" w:line="209" w:lineRule="exact"/>
        <w:rPr>
          <w:sz w:val="20"/>
          <w:szCs w:val="20"/>
          <w:color w:val="auto"/>
        </w:rPr>
      </w:pPr>
    </w:p>
    <w:p>
      <w:pPr>
        <w:jc w:val="both"/>
        <w:ind w:left="60" w:right="219" w:firstLine="648"/>
        <w:spacing w:after="0" w:line="270" w:lineRule="auto"/>
        <w:rPr>
          <w:sz w:val="20"/>
          <w:szCs w:val="20"/>
          <w:color w:val="auto"/>
        </w:rPr>
      </w:pPr>
      <w:r>
        <w:rPr>
          <w:rFonts w:ascii="Times New Roman" w:cs="Times New Roman" w:eastAsia="Times New Roman" w:hAnsi="Times New Roman"/>
          <w:sz w:val="17"/>
          <w:szCs w:val="17"/>
          <w:i w:val="1"/>
          <w:iCs w:val="1"/>
          <w:color w:val="auto"/>
        </w:rPr>
        <w:t>Clinical Activity Data</w:t>
      </w:r>
      <w:r>
        <w:rPr>
          <w:rFonts w:ascii="Times New Roman" w:cs="Times New Roman" w:eastAsia="Times New Roman" w:hAnsi="Times New Roman"/>
          <w:sz w:val="17"/>
          <w:szCs w:val="17"/>
          <w:color w:val="auto"/>
        </w:rPr>
        <w:t>. Avapritinib improved clinical outcomes when retrospectively compared to best available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therapies, including midostaurin and cladribine, in the real-world study cohort. The median OS was not reached (95% CI:</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46.9 months, not estimated) for avapritinib, 28.6 months (95% CI: 18.2, 44.6) for midostaurin and 23.4 months (95% CI:</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14.8, 40.6) for cladribine.</w:t>
      </w:r>
    </w:p>
    <w:p>
      <w:pPr>
        <w:spacing w:after="0" w:line="2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Data Presented at the American Society of Hematology Annual Meeting in December 2022</w:t>
      </w:r>
    </w:p>
    <w:p>
      <w:pPr>
        <w:spacing w:after="0" w:line="254"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Twenty-five treatment-naïve patients from the PATHFINDER trial and 57 patients from the EXPLORER trial – regardless of line of therapy – received avapritinib and were evaluable for response as of the data cutoff dates. ORR was defined as complete remission with full or partial recovery of peripheral blood counts, or CR/CRh, partial remission or clinical improvement. Response assessments were completed per central review, and all reported clinical responses were confirmed.</w:t>
      </w:r>
    </w:p>
    <w:p>
      <w:pPr>
        <w:spacing w:after="0" w:line="208" w:lineRule="exact"/>
        <w:rPr>
          <w:sz w:val="20"/>
          <w:szCs w:val="20"/>
          <w:color w:val="auto"/>
        </w:rPr>
      </w:pPr>
    </w:p>
    <w:p>
      <w:pPr>
        <w:ind w:left="60" w:right="13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Clinical Activity Data</w:t>
      </w:r>
      <w:r>
        <w:rPr>
          <w:rFonts w:ascii="Times New Roman" w:cs="Times New Roman" w:eastAsia="Times New Roman" w:hAnsi="Times New Roman"/>
          <w:sz w:val="18"/>
          <w:szCs w:val="18"/>
          <w:color w:val="auto"/>
        </w:rPr>
        <w:t>. In treatment-naïve patients from the PATHFINDER trial, the ORR was 84 percent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CR/CRh rate was 32 percent as of a data cutoff date of April 20, 2021. The median DOR has not been reached, and the estimated 24-month OS rate was 88 percent. In 19 response-evaluable patients with SM-AHN, the ORR was 95 percent, the CR/CRh rate was 37 percent and the estimated 24-month OS rate was 86 percent. In patients across lines of therapy from the EXPLORER trial, the ORR was 77 percent as of the data cutoff date of April 5, 2022. Median DOR and OS were not reached in patients followed for up for six years.</w:t>
      </w:r>
    </w:p>
    <w:p>
      <w:pPr>
        <w:spacing w:after="0" w:line="20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Safety Data. </w:t>
      </w:r>
      <w:r>
        <w:rPr>
          <w:rFonts w:ascii="Times New Roman" w:cs="Times New Roman" w:eastAsia="Times New Roman" w:hAnsi="Times New Roman"/>
          <w:sz w:val="18"/>
          <w:szCs w:val="18"/>
          <w:color w:val="auto"/>
        </w:rPr>
        <w:t>Avapritinib showed a favorable benefit-risk profile in 38 treatment-naïve patients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EXPLORER trial and 69 patients across lines of therapy from the EXPLORER trial, with safety results consistent with previously reported data and the FDA approved labeling for avapritinib. The most common treatment-related AEs included periorbital edema, thrombocytopenia, peripheral edema, anemia and nausea. Discontinuations due to treatment-related AEs occurred in four treatment-naïve patients, or 11 percent, since the initiation of the PATHFINDER trial in 2018, and seven patients across lines of therapy, or 10 percent, since the initiation of the EXPLORER trial in 2016.</w:t>
      </w: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Elenestinib (BLU-263)</w:t>
      </w:r>
    </w:p>
    <w:p>
      <w:pPr>
        <w:spacing w:after="0" w:line="270"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We are developing elenestinib an investigational, orally available, potent and highly selective KIT inhibitor, for the treatment of indolent SM and other mast cell disorders. Elenestinib is designed to have equivalent potency as avapritinib, with low off-target activity and lower penetration of the central nervous system (CNS) relative to avapritinib based on preclinical data.</w:t>
      </w:r>
    </w:p>
    <w:p>
      <w:pPr>
        <w:spacing w:after="0" w:line="207"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We are evaluating elenestinib in an ongoing Phase 2/3 clinical trial in indolent SM, which we refer to as our HARBOR trial. In December 2022, we announced top-line, 12-week data from the dose-finding Part 1 of the HARBOR trial. In December 2023, we presented HARBOR Part 1 trial data for elenestinib in indolent SM at the 65th American Society of Hematology (ASH) Annual Meeting and Exposition. We plan to initiate the registration-enabling Part 2 of the HARBOR trial of elenestinib in indolent SM in the second half of 2024.</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Elenestinib Clinical Data in Indolent SM</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Phase 2/3 HARBOR Trial in Indolent SM</w:t>
      </w:r>
    </w:p>
    <w:p>
      <w:pPr>
        <w:spacing w:after="0" w:line="254"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HARBOR is a randomized, double-blind, placebo-controlled trial evaluating elenestinib in patients with indolent SM. The trial includes multiple parts including dose-finding Part 1, registration-enabling Part 2 and long-term treatment Part 3. All patients who complete Parts 1 or 2 will have an opportunity to receive treatment with elenestinib in Part 3. Key trial endpoints include the change in patient-reported disease symptoms as measured by the ISM-SAF TSS, quantitative measures of mast cell burden and safety.</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Data Presented at the American Society of Hematology Annual Meeting in December 2023</w:t>
      </w:r>
    </w:p>
    <w:p>
      <w:pPr>
        <w:spacing w:after="0" w:line="268"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Part 1 of the HARBOR trial enrolled 29 patients who received elenestinib plus best available care, including 10 patients at 25 mg once daily, 10 patients at 50 mg once daily and nine patients at 100 mg once daily, and 10 patients who received placebo plus best available care. Baseline patient and disease characteristics were similar to those reported for the general ISM population. Results were reported as of a data cutoff date of October 17, 2022.</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Clinical Activity Data. </w:t>
      </w:r>
      <w:r>
        <w:rPr>
          <w:rFonts w:ascii="Times New Roman" w:cs="Times New Roman" w:eastAsia="Times New Roman" w:hAnsi="Times New Roman"/>
          <w:sz w:val="18"/>
          <w:szCs w:val="18"/>
          <w:color w:val="auto"/>
        </w:rPr>
        <w:t>12-week results from Part 1 of the HARBOR study showed elenestinib treatment 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rapid improvements in patient-reported symptoms, or TSS as measured by the ISM-SAF, as well as objective measures of mast cell burden. The elenestinib arms saw a mean percent reduction from baseline TSS of 28.5% at 25 mg, 31.8% at 50 mg, and 33.6% at 100 mg at 12 weeks, compared to a mean percent reduction from baseline TSS of 22.2% in the control arm. In addition, patients receiving elenestinib at doses of 25 mg, 50 mg, and 100 mg demonstrated dose-dependent mean percent reductions from baseline in serum tryptase levels, KIT D816V variant allele fraction (VAF), and bone marrow mast cells versus placebo.</w:t>
      </w:r>
    </w:p>
    <w:p>
      <w:pPr>
        <w:spacing w:after="0" w:line="21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Safety Data</w:t>
      </w:r>
      <w:r>
        <w:rPr>
          <w:rFonts w:ascii="Times New Roman" w:cs="Times New Roman" w:eastAsia="Times New Roman" w:hAnsi="Times New Roman"/>
          <w:sz w:val="18"/>
          <w:szCs w:val="18"/>
          <w:color w:val="auto"/>
        </w:rPr>
        <w:t>. Elenestinib safety results were consistent with its preclinical profile and a completed Phase 1 healthy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volunteer trial. Elenestinib was generally well-tolerated at all dose levels with most AEs reported as Grade 1–2, and there were no discontinuations due to AEs. At the time of data cut-off, median treatment duration was 22 weeks and there were no grade 4 or 5 AEs, no treatment-related SAEs, no AEs that led to drug discontinuation, and all patients were still on treatment.</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BLU-808</w:t>
      </w:r>
    </w:p>
    <w:p>
      <w:pPr>
        <w:spacing w:after="0" w:line="27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the first half of 2023, we nominated the development candidate BLU-808 from our discovery programs, an oral, highly potent and selective wild-type KIT inhibitor. We plan to develop BLU-808 as a potential first- and best-in-class treatment for mast cell disorders, including chronic urticaria, a debilitating inflammatory skin disorder characterized by wheals (hives), and sleep disruption, stress and anxiety due to severe itching are major contributors to disease burden, as well as other potential related allergic-inflammatory indications. There are approximately 680,000 people living with chronic urticaria who are refractory to treatment with antihistamines visible in claims data across the U.S. and EU4 (France, Germany, Italy, Spain). Wild-type KIT inhibition has an established proof-of-concept in chronic urticaria, and BLU-808 represents a small molecule TKI approach with the opportunity to drive market expansion with an oral regimen.</w:t>
      </w:r>
    </w:p>
    <w:p>
      <w:pPr>
        <w:sectPr>
          <w:pgSz w:w="11900" w:h="16838" w:orient="portrait"/>
          <w:cols w:equalWidth="0" w:num="1">
            <w:col w:w="9019"/>
          </w:cols>
          <w:pgMar w:left="1440" w:top="513" w:right="1440" w:bottom="1440" w:gutter="0" w:footer="0" w:header="0"/>
        </w:sect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January 2024, we presented for the first time the preclinical attributes of BLU-808 that demonstrate its potency, selectivity, low potential for drug-drug interactions, and peripheral restriction. We plan to submit an investigational new drug (IND) application for BLU-808 in the second quarter of 2024, and subsequently initiate a Phase 1 study in healthy volunteers.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Oncology/Hematology</w:t>
      </w:r>
    </w:p>
    <w:p>
      <w:pPr>
        <w:spacing w:after="0" w:line="256"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oncology research program has delivered a number of innovative therapies and continues to be an active area of discovery. Based on early clinical success, we plan to accelerate development of BLU-222 as well as continue to advance discovery research targeting the cell cycle in 2024.</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HR+/HER2- Breast Cancer and Other Solid Tumors– BLU-222, BLU-956 and additional research programs</w:t>
      </w:r>
    </w:p>
    <w:p>
      <w:pPr>
        <w:spacing w:after="0" w:line="270"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We are advancing multiple therapeutic candidates and research programs targeting the cell cycle as potential treatments for patients with hormone-receptor-positive/human epidermal growth receptor 2 negative (HR+/HER2-) breast cancer and other solid tumors. Our lead therapy in this area, BLU-222, targets CDK2, a cell cycle regulator and an important cancer target, with relevance across multiple malignancies, including HR+/HER2- breast cancer and other cancers, such as subsets of ovarian and endometrial cancer. Across multiple cancer types, aberrant CCNE1 hyperactivates CDK2, resulting in cell cycle dysregulation and tumor proliferation. Aberrant CCNE1 has been observed as a primary driver of disease, as well as a mechanism of resistance to CDK4/6 inhibitors and other therapies. Strategic partnership discussions are ongoing to maximize the potential of BLU-222 as a backbone combination therapy in HR+/HER2- breast cancer and other CDK2-vulnerable cancers. Our additional programs in this area include BLU-956, a next generation CDK2 inhibitor development candidate nominated in 2023, a CDK2 targeted protein degradation research program, and an additional undisclosed research program.</w:t>
      </w:r>
    </w:p>
    <w:p>
      <w:pPr>
        <w:spacing w:after="0" w:line="234"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7"/>
          <w:szCs w:val="17"/>
          <w:color w:val="auto"/>
        </w:rPr>
        <w:t>In the first quarter of 2022, we initiated the Phase 1/2 trial of BLU-222 in cancers vulnerable to CDK2 inhibition, which we refer to as our VELA trial. BLU-222 is being developed as monotherapy and in combination with other agents, including CDK4/6 inhibitors and estrogen receptors, antagonists, in hormone-receptor-positive, HER2-negative breast cancer (HR+/HER2- BC), and as a single agent and in combination in CCNE1-amplified tumor types. In June 2023, we presented initial clinical data from the VELA trial at the ASCO Annual Meeting, showing that BLU-222 was generally well-tolerated with evidence of cell cycle pathway modulation and a confirmed partial response in a monotherapy-treated patient with HR+/HER2- metastatic breast cancer who previously received five lines of therapy, including the CDK4/6 inhibitors palbociclib and abemaciclib. Treatment-related hematologic AEs commonly seen with CDK4/6 inhibitors were generally mild and primarily reported in patients with a history of low blood cell counts. No cardiac AEs or QTc prolongation were observed. We are continuing monotherapy dose escalation to identify a maximum tolerated dose and have initiated dose escalation of BLU-222 in combination with the CDK4/6 inhibitor, ribociclib, and the estrogen receptor antagonist, fulvestrant, in patients with HR+/HER2- metastatic breast cancer and plan to present data for BLU-222 in combination with ribociclib and fulvestrant in patients with HR+/HER2- breast cancer in the first half of 2024.</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Solid Tumors: RET-Altered Cancers — GAVRETO® (pralsetinib</w:t>
      </w:r>
      <w:r>
        <w:rPr>
          <w:rFonts w:ascii="Times New Roman" w:cs="Times New Roman" w:eastAsia="Times New Roman" w:hAnsi="Times New Roman"/>
          <w:sz w:val="18"/>
          <w:szCs w:val="18"/>
          <w:i w:val="1"/>
          <w:iCs w:val="1"/>
          <w:color w:val="auto"/>
        </w:rPr>
        <w:t>)</w:t>
      </w:r>
    </w:p>
    <w:p>
      <w:pPr>
        <w:spacing w:after="0" w:line="256"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RET is a receptor tyrosine kinase that activates multiple downstream pathways involved in cell proliferation and survival. RET can be activated by mutation or when a portion of the RET gene that encodes the kinase domain is joined to part of another gene creating a fusion gene that encodes an aberrantly activated RET fusion protein. RET activating mutations are implicated in advanced metastatic RET-mutant medullary thyroid cancer (MTC) (approximately 90 percent of patients), and RET fusions are implicated in several cancers, including papillary thyroid carcinoma (approximately 10-20 percent of patients) and non-small cell lung cancer (NSCLC) (1-2 percent of patients). In addition, oncogenic RET alterations are observed at low frequencies in colorectal, breast, pancreatic and other cancers, providing a therapeutic</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rationale for the use of RET inhibitors in multiple patient subpopulations.</w:t>
      </w:r>
    </w:p>
    <w:p>
      <w:pPr>
        <w:spacing w:after="0" w:line="266" w:lineRule="exact"/>
        <w:rPr>
          <w:sz w:val="20"/>
          <w:szCs w:val="20"/>
          <w:color w:val="auto"/>
        </w:rPr>
      </w:pPr>
    </w:p>
    <w:p>
      <w:pPr>
        <w:ind w:left="60" w:right="299" w:firstLine="648"/>
        <w:spacing w:after="0" w:line="281" w:lineRule="auto"/>
        <w:rPr>
          <w:sz w:val="20"/>
          <w:szCs w:val="20"/>
          <w:color w:val="auto"/>
        </w:rPr>
      </w:pPr>
      <w:r>
        <w:rPr>
          <w:rFonts w:ascii="Times New Roman" w:cs="Times New Roman" w:eastAsia="Times New Roman" w:hAnsi="Times New Roman"/>
          <w:sz w:val="17"/>
          <w:szCs w:val="17"/>
          <w:color w:val="auto"/>
        </w:rPr>
        <w:t>We developed and commercialized pralsetinib for the treatment of RET fusion-positive NSCLC, and for the treatment of RET-altered thyroid carcinoma. We also developed pralsetinib for the treatment of other RET-altered solid tumors. We granted exclusive licenses to Roche and CStone to develop and commercialize pralsetinib in their respective territories. In February 2023, we received written notice from Roche of their election to terminate for convenience the</w:t>
      </w:r>
    </w:p>
    <w:p>
      <w:pPr>
        <w:sectPr>
          <w:pgSz w:w="11900" w:h="16838" w:orient="portrait"/>
          <w:cols w:equalWidth="0" w:num="1">
            <w:col w:w="9019"/>
          </w:cols>
          <w:pgMar w:left="1440" w:top="513"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Roche pralsetinib collaboration agreement. The termination will become effective in February 22, 2024. After we received the termination notice from Roche, we initiated a process to re-partner GAVRETO because we do not have global infrastructure in lung and thyroid cancer. Through this process, we identified a potential alternate partner to assume commercialization of GAVRETO in the U.S., and we are continuing to work with the involved parties to define a scenario that enables continued availability of GAVRETO in the U.S. We have decided to discontinue global development and marketing of GAVRETO in territories other than the U.S. and Greater China due to the lack of an alternate partner in these regions, and we are continuing to work with Roche on transition and wind-down activities anticipated to begin in the first quarter of 2024.</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Solid Tumors: EGFR-Mutated NSCLC – BLU-945, BLU-451, and BLU-525</w:t>
      </w:r>
    </w:p>
    <w:p>
      <w:pPr>
        <w:spacing w:after="0" w:line="270"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Among the 80 to 85 percent of lung cancers classified as NSCLC, it is estimated that about 10-15 percent of cases in the U.S. and Europe, and about 40-50 percent of cases in Asia are caused by activating epidermal growth factor receptor, or EGFR, mutations.</w:t>
      </w:r>
    </w:p>
    <w:p>
      <w:pPr>
        <w:spacing w:after="0" w:line="183"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Until January 2024, we were developing a portfolio of investigational EGFR inhibitors, including BLU-945, BLU-451 and BLU-525, with the potential to address a spectrum of common and uncommon EGFR activating mutations. In January 2024, based on the evolving external landscape and emerging clinical data, we announced that we would discontinue further investment in these early clinical-stage therapies for EGFR-mutant NSCLC globally (other than with respect to Greater China for BLU-525 and BLU-945, which remain licensed to Zai Lab for that territory) and explore strategic options, including potential out-licensing.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Discovery Platform</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continue to leverage our discovery platform to systematically and reproducibly identify kinases that are drivers of diseases in genomically defined patient populations, and craft drug candidates that potently and selectively target these kinases. In addition, we are expanding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 Beyond the discovery programs described above, we have multiple pre-development candidate programs for undisclosed kinase targets.</w:t>
      </w:r>
    </w:p>
    <w:p>
      <w:pPr>
        <w:spacing w:after="0" w:line="187"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Since 2022, we have started six early degrader research programs: four internal programs and two under our targeted protein degradation collaboration with Proteovant, which was replaced in its entirety by the A&amp;R Agreement (as defined below) entered into with VantAI, Inc. (VantAI) and Proteovant in December 2023. Through the collaboration with VantAI, we plan to research and advance three novel protein degrader programs, with the option, at our discretion, to expand the collaboration to include a fourth novel protein degrader target program. See “—</w:t>
      </w:r>
      <w:r>
        <w:rPr>
          <w:rFonts w:ascii="Times New Roman" w:cs="Times New Roman" w:eastAsia="Times New Roman" w:hAnsi="Times New Roman"/>
          <w:sz w:val="18"/>
          <w:szCs w:val="18"/>
          <w:i w:val="1"/>
          <w:iCs w:val="1"/>
          <w:color w:val="auto"/>
        </w:rPr>
        <w:t>Collaborations and Licenses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below.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Licenses Summary</w:t>
      </w:r>
    </w:p>
    <w:p>
      <w:pPr>
        <w:spacing w:after="0" w:line="227"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Roche—Immunotherapy Collaboration. </w:t>
      </w:r>
      <w:r>
        <w:rPr>
          <w:rFonts w:ascii="Times New Roman" w:cs="Times New Roman" w:eastAsia="Times New Roman" w:hAnsi="Times New Roman"/>
          <w:sz w:val="18"/>
          <w:szCs w:val="18"/>
          <w:color w:val="auto"/>
        </w:rPr>
        <w:t>In March 2016, we entered into a collaboration with Roche (the Roche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immunotherapy agreement) to discover, develop and commercialize small molecule therapeutics targeting specified kinases, including the kinase target MAP4K1. On April 30, 2023, we entered into a mutual termination agreement with Roche, which we refer to as the Termination Agreement, pursuant to which the parties mutually agreed to terminate the Roche immunotherapy agreement and we retained the rights to any and all compounds developed under the collaboration. Further, we retain the flexibility to research, develop, manufacture, commercialize and otherwise exploit the assets developed under the collaboration. We have deprioritized advancement of the program and are exploring opportunities to re-partner the asset for future development.</w:t>
      </w:r>
    </w:p>
    <w:p>
      <w:pPr>
        <w:spacing w:after="0" w:line="18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Roche—Pralsetinib Collaboration. </w:t>
      </w:r>
      <w:r>
        <w:rPr>
          <w:rFonts w:ascii="Times New Roman" w:cs="Times New Roman" w:eastAsia="Times New Roman" w:hAnsi="Times New Roman"/>
          <w:sz w:val="18"/>
          <w:szCs w:val="18"/>
          <w:color w:val="auto"/>
        </w:rPr>
        <w:t>In July 2020, we entered into a collaboration with Roche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pralsetinib for the treatment of RET-altered cancers. Under the collaboration, we and Genentech are co-commercializing GAVRETO in the U.S., and Roche was granted exclusive commercialization rights for pralsetinib outside of the U.S., excluding Mainland China, Hong Kong, Macau and Taiwan (each a CStone region and, collectively, the CStone Territory). In February 2023, we received written notice from Roche of their election to terminate for convenience the Roche pralsetinib collaboration agreement. The termination will become effective in February 22, 2024. After we received the termination notice from Roche, we initiated a process to repartner GAVRETO because we do not</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have global infrastructure in lung and thyroid cancer. Through this process, we identified a potential alternate partner to assume commercialization of GAVRETO in the U.S., and we are continuing to work with the involved parties to define a scenario that enables continued availability of GAVRETO in the U.S. We have decided to discontinue global development and marketing of GAVRETO in territories excluding the U.S. and Greater China due to the lack of an alternate partner in these regions, and we are continuing to work with Roche on transition and wind-down activities anticipated to begin in the first quarter of 2024.</w:t>
      </w:r>
    </w:p>
    <w:p>
      <w:pPr>
        <w:spacing w:after="0" w:line="185" w:lineRule="exact"/>
        <w:rPr>
          <w:sz w:val="20"/>
          <w:szCs w:val="20"/>
          <w:color w:val="auto"/>
        </w:rPr>
      </w:pPr>
    </w:p>
    <w:p>
      <w:pPr>
        <w:ind w:left="60" w:right="119"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CStone. </w:t>
      </w:r>
      <w:r>
        <w:rPr>
          <w:rFonts w:ascii="Times New Roman" w:cs="Times New Roman" w:eastAsia="Times New Roman" w:hAnsi="Times New Roman"/>
          <w:sz w:val="18"/>
          <w:szCs w:val="18"/>
          <w:color w:val="auto"/>
        </w:rPr>
        <w:t>In June 2018, we entered into a collaboration with CStone to develop and commercialize avapritinib,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pralsetinib and fisogatinib, as well as any back-up and other forms thereof, in the CStone Territory either as a monotherapy or as part of a combination therapy.</w:t>
      </w:r>
    </w:p>
    <w:p>
      <w:pPr>
        <w:spacing w:after="0" w:line="180"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Clementia. </w:t>
      </w:r>
      <w:r>
        <w:rPr>
          <w:rFonts w:ascii="Times New Roman" w:cs="Times New Roman" w:eastAsia="Times New Roman" w:hAnsi="Times New Roman"/>
          <w:sz w:val="18"/>
          <w:szCs w:val="18"/>
          <w:color w:val="auto"/>
        </w:rPr>
        <w:t>In October 2019, we entered into a license agreement with Clementia. Under the collaboration,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Clementia an exclusive, worldwide, royalty-bearing license to develop and commercialize BLU-782, as well as specified other compounds related to the BLU-782 program. BLU-782 is an investigational, orally available, potent and highly selective inhibitor that targets mutant activin-like kinase 2 (ALK2) in development for the treatment of fibrodysplasia ossificans progressiva (FOP). The FDA has granted a rare pediatric disease designation, orphan drug designation and fast track designation to BLU-782, each for the treatment of FOP. Clementia initiated patient dosing in a Phase 2 clinical trial of BLU-782, now referred to as fidrisertib, in the first quarter of 2022.</w:t>
      </w:r>
    </w:p>
    <w:p>
      <w:pPr>
        <w:spacing w:after="0" w:line="187"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Zai Lab. </w:t>
      </w:r>
      <w:r>
        <w:rPr>
          <w:rFonts w:ascii="Times New Roman" w:cs="Times New Roman" w:eastAsia="Times New Roman" w:hAnsi="Times New Roman"/>
          <w:sz w:val="18"/>
          <w:szCs w:val="18"/>
          <w:color w:val="auto"/>
        </w:rPr>
        <w:t>In November 2021, we entered into a collaboration with Zai Lab to develop and commercialize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products for the treatment of EGFR-driven NSCLC in Greater China, including Mainland China, Hong Kong, Macau and Taiwan. The collaboration aims to accelerate and expand global development of the licensed products, which currently includes BLU-945 and BLU-525. In January 2024 at the J.P. Morgan Healthcare Conference (JPM Conference), we announced that we will discontinue further investment in early clinical-stage therapies for EGFR-mutant NSCLC globally, which includes BLU-945 and BLU-525; however, Zai Lab retains its rights to BLU-945 and BLU-525 under the agreement.</w:t>
      </w:r>
    </w:p>
    <w:p>
      <w:pPr>
        <w:spacing w:after="0" w:line="187"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VantAI. </w:t>
      </w:r>
      <w:r>
        <w:rPr>
          <w:rFonts w:ascii="Times New Roman" w:cs="Times New Roman" w:eastAsia="Times New Roman" w:hAnsi="Times New Roman"/>
          <w:sz w:val="17"/>
          <w:szCs w:val="17"/>
          <w:color w:val="auto"/>
        </w:rPr>
        <w:t>In February 2022, we entered into an exclusive collaboration agreement with Proteovant (the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Agreement) to jointly research and advance certain protein degrader therapies into development candidates, with VantAI performing certain services on behalf of Proteovant under the agreement. </w:t>
      </w:r>
      <w:r>
        <w:rPr>
          <w:rFonts w:ascii="Times New Roman" w:cs="Times New Roman" w:eastAsia="Times New Roman" w:hAnsi="Times New Roman"/>
          <w:sz w:val="17"/>
          <w:szCs w:val="17"/>
          <w:color w:val="212529"/>
        </w:rPr>
        <w:t>In December 2023, we entered into an Amended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and Restated Collaboration and License Agreement (the A&amp;R Agreement) with VantAI and Proteovant, which replaced the 2022 Agreement</w:t>
      </w:r>
      <w:r>
        <w:rPr>
          <w:rFonts w:ascii="Times New Roman" w:cs="Times New Roman" w:eastAsia="Times New Roman" w:hAnsi="Times New Roman"/>
          <w:sz w:val="17"/>
          <w:szCs w:val="17"/>
          <w:color w:val="000000"/>
        </w:rPr>
        <w:t>. Under the A&amp;R Agreement, VantAI will directly provide us with expanded computational support,</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including computational biology and expanded computational chemistry, to jointly research and advance three novel protein degrader programs, with the option, at our discretion, to expand the collaboration to include a fourth novel protein degrader target program. Additionally, under the A&amp;R Agreement, Proteovant ceased its role in the collaboration and transitioned its activities and any know-how and patent applications Proteovant developed under the 2022 Agreement to us.</w:t>
      </w:r>
    </w:p>
    <w:p>
      <w:pPr>
        <w:spacing w:after="0" w:line="161" w:lineRule="exact"/>
        <w:rPr>
          <w:sz w:val="20"/>
          <w:szCs w:val="20"/>
          <w:color w:val="auto"/>
        </w:rPr>
      </w:pPr>
    </w:p>
    <w:p>
      <w:pPr>
        <w:ind w:left="60" w:right="27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IDRx. </w:t>
      </w:r>
      <w:r>
        <w:rPr>
          <w:rFonts w:ascii="Times New Roman" w:cs="Times New Roman" w:eastAsia="Times New Roman" w:hAnsi="Times New Roman"/>
          <w:sz w:val="17"/>
          <w:szCs w:val="17"/>
          <w:color w:val="auto"/>
        </w:rPr>
        <w:t>In August 2022, we entered into a license agreement with IDRx, Inc., or IDRx, which we refer to 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IDRx License Agreement. Pursuant to the IDRx License Agreement, we granted IDRx an exclusive, worldwide, royalty-bearing license to exploit our internally discovered development candidate-stage KIT exon 13 inhibitor, IDRX-73.</w:t>
      </w:r>
    </w:p>
    <w:p>
      <w:pPr>
        <w:spacing w:after="0" w:line="15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IDRx License Agreement, we also entered into a stock purchase agreement with IDRx, which we refer to as the IDRx Stock Purchase Agreement, pursuant to which we received 4,509,105 shares of IDRx’s Series A preferred stock and the right to receive additional shares of IDRx’s Series A preferred stock through an anti-dilution provision subject to a defined financing cap and the eligibility to receive up to $217.5 million in contingent cash payments, including specified development, regulatory and sales-based milestone payments and tiered royalty payments. In July 2023, we received an additional 192,282 shares of Series A preferred stock pursuant to the anti-dilution provision in the IDRx Stock Purchase Agreement.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Mergers &amp; Acquisitions Summary</w:t>
      </w:r>
    </w:p>
    <w:p>
      <w:pPr>
        <w:spacing w:after="0" w:line="227" w:lineRule="exact"/>
        <w:rPr>
          <w:sz w:val="20"/>
          <w:szCs w:val="20"/>
          <w:color w:val="auto"/>
        </w:rPr>
      </w:pPr>
    </w:p>
    <w:p>
      <w:pPr>
        <w:ind w:left="60" w:right="13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Lengo Therapeutics</w:t>
      </w:r>
      <w:r>
        <w:rPr>
          <w:rFonts w:ascii="Times New Roman" w:cs="Times New Roman" w:eastAsia="Times New Roman" w:hAnsi="Times New Roman"/>
          <w:sz w:val="18"/>
          <w:szCs w:val="18"/>
          <w:color w:val="auto"/>
        </w:rPr>
        <w:t>. In December 2021, we completed our acquisition of Lengo Therapeutics, Inc., along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 compound LNG-451, now known as BLU-451, which is in development for the treatment of NSCLC in patients with EGFR exon 20 insertion mutations. In January 2024, we announced that, based on the evolving market landscape and emerging clinical data for BLU-451, we have discontinued further investment in BLU-451 and are exploring strategic options, including potential out-licensing, to maximize the value for the program and allow us to leverage the expertise of strategic partners and licensors.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 Summary</w:t>
      </w:r>
    </w:p>
    <w:p>
      <w:pPr>
        <w:spacing w:after="0" w:line="268"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Royalty Purchase Agreement. </w:t>
      </w:r>
      <w:r>
        <w:rPr>
          <w:rFonts w:ascii="Times New Roman" w:cs="Times New Roman" w:eastAsia="Times New Roman" w:hAnsi="Times New Roman"/>
          <w:sz w:val="18"/>
          <w:szCs w:val="18"/>
          <w:color w:val="auto"/>
        </w:rPr>
        <w:t>In June 2022, we entered into a purchase and sale agreement, which we refer 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Royalty Purchase Agreement, with Royalty Pharma Investments 2019 ICAV (Royalty Pharma). Pursuant to this Royalty Purchase Agreement, we received an upfront cash payment of $175.0 million and the right to receive up to $165.0 million in certain milestone payments, subject to the achievement of specified net sales milestones by Roche, in exchange for all of our existing rights to receive royalty payments on the net sales of GAVRETO worldwide, excluding the CStone Territory and U.S. territory under the terms of the Roche pralsetinib collaboration agreement. However, in February 2023, Roche provided written notice of its election to terminate the Roche pralsetinib collaboration agreement for convenience. The termination will become effective in February 22, 2024. The termination of the Roche pralsetinib collaboration agreement will not affect the upfront cash payment we received from Royalty Pharma.</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 xml:space="preserve">Synthetic Royalty Facility. </w:t>
      </w:r>
      <w:r>
        <w:rPr>
          <w:rFonts w:ascii="Times New Roman" w:cs="Times New Roman" w:eastAsia="Times New Roman" w:hAnsi="Times New Roman"/>
          <w:sz w:val="18"/>
          <w:szCs w:val="18"/>
          <w:color w:val="auto"/>
        </w:rPr>
        <w:t>In June 2022, we entered into a purchase and sale agreement, which we refer to as the</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Revenue Purchase Agreement, with Sixth Street Partners. In July 2022, upon the closing of the transaction pursuant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Future Revenue Purchase Agreement, we received gross proceeds of $250.0 million in exchange for future royalty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payments at a rate of 9.75% on up to $900 million each year of (i) aggregate worldwide annual net product sales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AYVAKIT/AYVAKYT (avapritinib) and (ii) if it is approved, aggregate worldwide annual net product sales of elenestinib,</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but excluding sales in Greater China, subject to a cumulative cap of 1.45 times the upfront invested capital or a total of</w:t>
      </w:r>
    </w:p>
    <w:p>
      <w:pPr>
        <w:ind w:left="60"/>
        <w:spacing w:after="0"/>
        <w:rPr>
          <w:sz w:val="20"/>
          <w:szCs w:val="20"/>
          <w:color w:val="auto"/>
        </w:rPr>
      </w:pPr>
      <w:r>
        <w:rPr>
          <w:rFonts w:ascii="Times New Roman" w:cs="Times New Roman" w:eastAsia="Times New Roman" w:hAnsi="Times New Roman"/>
          <w:sz w:val="18"/>
          <w:szCs w:val="18"/>
          <w:color w:val="auto"/>
        </w:rPr>
        <w:t>$362.5 million. In the event that certain revenue targets are not achieved by specified dates, the royalty rate and cumulative</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 shall be increased to 15% and 1.85 times the invested capital (or $462.5 million), respectively.</w:t>
      </w:r>
    </w:p>
    <w:p>
      <w:pPr>
        <w:spacing w:after="0" w:line="20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Debt Facility. </w:t>
      </w:r>
      <w:r>
        <w:rPr>
          <w:rFonts w:ascii="Times New Roman" w:cs="Times New Roman" w:eastAsia="Times New Roman" w:hAnsi="Times New Roman"/>
          <w:sz w:val="18"/>
          <w:szCs w:val="18"/>
          <w:color w:val="auto"/>
        </w:rPr>
        <w:t>In June 2022, we entered into a Financing Agreement for up to $660.0 million with Sixth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The Financing Agreement provides for (i) a senior secured term loan facility of up to $150.0 million and (ii) a senior secured delayed draw term loan facility of up to $250.0 million to be funded in two tranches at our choice. The loans will mature on June 30, 2028 and bear interest at a variable rate equal to either the Secured Overnight Financing Rate (SOFR) plus 6.50% or the base rate plus 5.50%, subject to a floor of 1% and 2% with respect to the SOFR and base rate, respectively. We received initial gross proceeds of $150.0 million as part of a term loan in July 2022. In August 2023, we received gross proceeds of $100.0 million through the first tranche of the senior secured delayed draw term loan facility. In addition, we may at any time request an incremental term loan in an amount not to exceed $260.0 million on terms to be agreed and subject to the consent of the lenders providing such incremental term loan.</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182880</wp:posOffset>
            </wp:positionV>
            <wp:extent cx="5580380" cy="2503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038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5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fully-integrated, commercial-stage, global biopharmaceutical company that invents life-changing medicines in two core, strategic areas of allergy/inflammation and oncology/hematology, our goal is to pursue discovery, development, and commercialization of therapies that potently and selectively target known drivers of disease, with focused investment in therapeutic areas where we can leverage our core expertise and business infrastructure to bring scale to our science, to bring the benefit of Blueprint therapies to as many patients as possible. To achieve this goal, key elements of our strategy are as follows:</w:t>
      </w:r>
    </w:p>
    <w:p>
      <w:pPr>
        <w:spacing w:after="0" w:line="230" w:lineRule="exact"/>
        <w:rPr>
          <w:sz w:val="20"/>
          <w:szCs w:val="20"/>
          <w:color w:val="auto"/>
        </w:rPr>
      </w:pPr>
    </w:p>
    <w:p>
      <w:pPr>
        <w:jc w:val="both"/>
        <w:ind w:left="1340" w:right="379" w:hanging="318"/>
        <w:spacing w:after="0" w:line="266"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adoption of our approved medicines, including AYVAKIT/AYVAKYT in the U.S. and Europe, continue to strengthen and expand our global commercial capabilities and prepare for future potential commercial launches of new investigational medicines.</w:t>
      </w:r>
    </w:p>
    <w:p>
      <w:pPr>
        <w:spacing w:after="0" w:line="175" w:lineRule="exact"/>
        <w:rPr>
          <w:rFonts w:ascii="Times New Roman" w:cs="Times New Roman" w:eastAsia="Times New Roman" w:hAnsi="Times New Roman"/>
          <w:sz w:val="18"/>
          <w:szCs w:val="18"/>
          <w:color w:val="auto"/>
        </w:rPr>
      </w:pPr>
    </w:p>
    <w:p>
      <w:pPr>
        <w:jc w:val="both"/>
        <w:ind w:left="1340" w:right="379" w:hanging="318"/>
        <w:spacing w:after="0" w:line="258"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our strategic focus on mast cell-mediated diseases, including systemic mastocytosis, chronic urticaria, and other diseases implicated by KIT-mediated signaling, by continuing the development of elenestinib and BLU-808.</w:t>
      </w:r>
    </w:p>
    <w:p>
      <w:pPr>
        <w:spacing w:after="0" w:line="182" w:lineRule="exact"/>
        <w:rPr>
          <w:rFonts w:ascii="Times New Roman" w:cs="Times New Roman" w:eastAsia="Times New Roman" w:hAnsi="Times New Roman"/>
          <w:sz w:val="18"/>
          <w:szCs w:val="18"/>
          <w:color w:val="auto"/>
        </w:rPr>
      </w:pPr>
    </w:p>
    <w:p>
      <w:pPr>
        <w:ind w:left="1340" w:right="79" w:hanging="318"/>
        <w:spacing w:after="0" w:line="266"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innovative research programs, including BLU-222, our selective and potent CDK2 inhibitor for CDK2-vulnerable cancers, and our other preclinical programs, rapidly through development as we continue ongoing discussions for potential strategic partnership.</w:t>
      </w:r>
    </w:p>
    <w:p>
      <w:pPr>
        <w:spacing w:after="0" w:line="175" w:lineRule="exact"/>
        <w:rPr>
          <w:rFonts w:ascii="Times New Roman" w:cs="Times New Roman" w:eastAsia="Times New Roman" w:hAnsi="Times New Roman"/>
          <w:sz w:val="18"/>
          <w:szCs w:val="18"/>
          <w:color w:val="auto"/>
        </w:rPr>
      </w:pPr>
    </w:p>
    <w:p>
      <w:pPr>
        <w:ind w:left="1340" w:right="239" w:hanging="318"/>
        <w:spacing w:after="0" w:line="255"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focused, differentiated pipeline, with prioritization towards mast cell-mediated diseases within allergy/inflammation and solid tumors within oncology/hematology, and continued internal discovery research and innovation, inclusive of targeted protein degradation, as well as opportunities to acquire or in-license complementary technologies or therapies.</w:t>
      </w:r>
    </w:p>
    <w:p>
      <w:pPr>
        <w:spacing w:after="0" w:line="186" w:lineRule="exact"/>
        <w:rPr>
          <w:rFonts w:ascii="Times New Roman" w:cs="Times New Roman" w:eastAsia="Times New Roman" w:hAnsi="Times New Roman"/>
          <w:sz w:val="18"/>
          <w:szCs w:val="18"/>
          <w:color w:val="auto"/>
        </w:rPr>
      </w:pPr>
    </w:p>
    <w:p>
      <w:pPr>
        <w:ind w:left="1340" w:right="239" w:hanging="318"/>
        <w:spacing w:after="0" w:line="266"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potential additional collaborations, partnerships and licenses that could maximize the value of our existing programs and allow us to leverage the expertise of strategic collaborators, partners and licensors, including in additional geographies where we may not have current operations or expertise.</w:t>
      </w:r>
    </w:p>
    <w:p>
      <w:pPr>
        <w:spacing w:after="0" w:line="175" w:lineRule="exact"/>
        <w:rPr>
          <w:rFonts w:ascii="Times New Roman" w:cs="Times New Roman" w:eastAsia="Times New Roman" w:hAnsi="Times New Roman"/>
          <w:sz w:val="18"/>
          <w:szCs w:val="18"/>
          <w:color w:val="auto"/>
        </w:rPr>
      </w:pPr>
    </w:p>
    <w:p>
      <w:pPr>
        <w:ind w:left="1340" w:right="59" w:hanging="318"/>
        <w:spacing w:after="0" w:line="258"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commitment to building a corporate culture centered by our focus on patient needs, science-driven approach to drug development, and organizational strength through the diversity of experience and perspective across our workforce.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Collaborations and Licenses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Immunotherapy Collaboration</w:t>
      </w:r>
    </w:p>
    <w:p>
      <w:pPr>
        <w:spacing w:after="0" w:line="25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212529"/>
        </w:rPr>
        <w:t xml:space="preserve">In March 2016, we entered into a collaboration and license agreement, or, as amended, </w:t>
      </w:r>
      <w:r>
        <w:rPr>
          <w:rFonts w:ascii="Times New Roman" w:cs="Times New Roman" w:eastAsia="Times New Roman" w:hAnsi="Times New Roman"/>
          <w:sz w:val="18"/>
          <w:szCs w:val="18"/>
          <w:color w:val="000000"/>
        </w:rPr>
        <w:t>the Roche immunotherapy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agreement</w:t>
      </w:r>
      <w:r>
        <w:rPr>
          <w:rFonts w:ascii="Times New Roman" w:cs="Times New Roman" w:eastAsia="Times New Roman" w:hAnsi="Times New Roman"/>
          <w:sz w:val="18"/>
          <w:szCs w:val="18"/>
          <w:color w:val="212529"/>
        </w:rPr>
        <w:t>, with Roche for the discovery, development and commercialization of small molecule therapeutics targeting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kinases believed to be important in cancer immunotherapy. On April 30, 2023, we entered into a mutual termination agreement with Roche, which we refer to as the Termination Agreement, pursuant to which the parties mutually agreed to terminate the Roche immunotherapy agreement and we retained the rights to any and all compounds developed under the collaboration. Further, we retain the flexibility to research, develop, manufacture, commercialize and otherwise exploit the assets developed under the collaboration. We have deprioritized advancement of the program and are exploring opportunities to re-partner the asset for future development.</w:t>
      </w:r>
    </w:p>
    <w:p>
      <w:pPr>
        <w:spacing w:after="0" w:line="219" w:lineRule="exact"/>
        <w:rPr>
          <w:sz w:val="20"/>
          <w:szCs w:val="20"/>
          <w:color w:val="auto"/>
        </w:rPr>
      </w:pPr>
    </w:p>
    <w:p>
      <w:pPr>
        <w:ind w:left="60" w:right="359" w:firstLine="693"/>
        <w:spacing w:after="0" w:line="281" w:lineRule="auto"/>
        <w:rPr>
          <w:sz w:val="20"/>
          <w:szCs w:val="20"/>
          <w:color w:val="auto"/>
        </w:rPr>
      </w:pPr>
      <w:r>
        <w:rPr>
          <w:rFonts w:ascii="Times New Roman" w:cs="Times New Roman" w:eastAsia="Times New Roman" w:hAnsi="Times New Roman"/>
          <w:sz w:val="17"/>
          <w:szCs w:val="17"/>
          <w:color w:val="auto"/>
        </w:rPr>
        <w:t>We received an upfront cash payment of $45.0 million in March 2016 upon execution of the Roche immunotherapy agreement and through the termination on April 30, 2023, we received an aggregate of $25.0 million in research milestones achieved under the collaboration. We also paid to Roche $5.3 million as a result of our cost sharing under the clinical development plan for IND-enabling activities for BLU-852, which we and Roche endorsed in 2022.</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Pralsetinib Collaboration</w:t>
      </w:r>
    </w:p>
    <w:p>
      <w:pPr>
        <w:spacing w:after="0" w:line="270" w:lineRule="exact"/>
        <w:rPr>
          <w:sz w:val="20"/>
          <w:szCs w:val="20"/>
          <w:color w:val="auto"/>
        </w:rPr>
      </w:pPr>
    </w:p>
    <w:p>
      <w:pPr>
        <w:ind w:left="60" w:right="319" w:firstLine="648"/>
        <w:spacing w:after="0" w:line="275" w:lineRule="auto"/>
        <w:rPr>
          <w:sz w:val="20"/>
          <w:szCs w:val="20"/>
          <w:color w:val="auto"/>
        </w:rPr>
      </w:pPr>
      <w:r>
        <w:rPr>
          <w:rFonts w:ascii="Times New Roman" w:cs="Times New Roman" w:eastAsia="Times New Roman" w:hAnsi="Times New Roman"/>
          <w:sz w:val="17"/>
          <w:szCs w:val="17"/>
          <w:color w:val="auto"/>
        </w:rPr>
        <w:t>On July 13, 2020, we entered into a collaboration agreement, or the Roche pralsetinib collaboration agreement, with Roche pursuant to which we granted Roche exclusive rights to develop and commercialize pralsetinib worldwide, excluding the CStone Territory, and a co-exclusive license in the U.S. to develop and commercialize pralsetinib. In addition, Roche has the right to opt in to a next-generation RET compound co-developed by Roche and us.</w:t>
      </w:r>
    </w:p>
    <w:p>
      <w:pPr>
        <w:spacing w:after="0" w:line="171"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In February 2023, we received written notice from Roche of their election to terminate for convenience the Roche pralsetinib collaboration agreement. The termination will become effective in February 22, 2024. After we received the termination notice from Roche, we initiated a process to repartner GAVRETO because we do not have global infrastructure in lung and thyroid cancer. Through this process, we identified a potential partner to assume commercialization of GAVRETO in the U.S., and we are continuing to work with the involved parties to define a scenario that enables continued availability of GAVRETO in the U.S. We have decided to discontinue global development and marketing of GAVRETO in territories excluding the U.S. and Greater China due to the lack of an alternate partner in these regions, and we are continuing to work with Roche on transition and wind-down activities anticipated to begin in the first quarter of 2024.</w:t>
      </w:r>
    </w:p>
    <w:p>
      <w:pPr>
        <w:spacing w:after="0" w:line="178"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Under the Roche pralsetinib collaboration agreement, we received upfront cash payments of $775.0 million in the third quarter of 2020, including an upfront payment of $675.0 million and the $100.0 million equity investment by Roche. We received an aggregate of $105.0 million in specified regulatory and commercialization milestones under the Roche pralsetinib collaboration agreement. In connection with the Roche collaboration agreement, on July 13, 2020, we also entered into a stock purchase agreement with Roche Holdings, Inc., or Roche Holdings, pursuant to which we issued and sold an aggregate of 1,035,519 of shares of common stock to Roche Holdings at a purchase price of $96.57 per share and received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CStone</w:t>
      </w:r>
    </w:p>
    <w:p>
      <w:pPr>
        <w:spacing w:after="0" w:line="270"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On June 1, 2018, we entered into a collaboration and license agreement, or the CStone agreement, with CStone pursuant to which we granted CStone exclusive rights to develop and commercialize avapritinib, pralsetinib and fisogatinib, as well as any back-up and other forms thereof, which we refer to collectively as the licensed products, in the CStone Territory, either as a monotherapy or as part of a combination therapy. We will retain exclusive rights to the licensed products outside the CStone Territory.</w:t>
      </w:r>
    </w:p>
    <w:p>
      <w:pPr>
        <w:spacing w:after="0" w:line="22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We received an upfront cash payment of $40.0 million, and through December 31, 2023, we have received $38.5 million in milestone payments under this collaboration. Subject to the terms of the CStone agreement, in addition to upfront and milestone payments received through December 31, 2023, we will be eligible to receive up to $307.5</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color w:val="auto"/>
        </w:rPr>
        <w:t>million in contingent payments, including specified development, regulatory and sales-based milestones for licensed products. In addition, CStone will be obligated to pay us tiered percentage royalties on a licensed product-by-licensed product basis ranging from the mid-teens to low twenties on annual net sales of each licensed product in the CStone Territory, subject to adjustment in specified circumstances. CStone is responsible for costs related to the development of the licensed products in the CStone Territory, other than specified costs related to the development of fisogatinib as a combination therapy in the CStone Territory that is shared by us and CStone.</w:t>
      </w:r>
    </w:p>
    <w:p>
      <w:pPr>
        <w:spacing w:after="0" w:line="214"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23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CStone agreement will continue on a licensed product-by-licensed product and region-by-region basis until the later of (i) 12 years after the first commercial sale of a licensed product in a region in the CStone Territory and (ii) the date of expiration of the last valid patent claim related to our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us, and CStone may terminate the CStone agreement with respect to a licensed product for convenience at any time by providing written notice to us following the occurrence of specified events. In addition, we may terminate the CStone agreement under specified circumstances if CStone or certain other parties challenges our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our uncured material breach, we will be obligated to pay CStone a low single digit percentage royalty on a licensed product-by-licensed product on annual net sales of such licensed product in the CStone Territory, subject to a cap and other specified exceptions.</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Clementia</w:t>
      </w:r>
    </w:p>
    <w:p>
      <w:pPr>
        <w:spacing w:after="0" w:line="27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212529"/>
        </w:rPr>
        <w:t xml:space="preserve">On October 15, 2019, we entered into a license agreement, or the Clementia agreement, with Clementia. </w:t>
      </w:r>
      <w:r>
        <w:rPr>
          <w:rFonts w:ascii="Times New Roman" w:cs="Times New Roman" w:eastAsia="Times New Roman" w:hAnsi="Times New Roman"/>
          <w:sz w:val="18"/>
          <w:szCs w:val="18"/>
          <w:color w:val="000000"/>
        </w:rPr>
        <w:t>Under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Clementia agreement, we granted an exclusive, worldwide, royalty-bearing license to Clementia to develop and commercialize BLU-782, an oral, highly selective investigational ALK2 inhibitor in clinical development for the treatment of FOP, as well as specified other compounds related to the BLU-782 program, which we refer to as the Clementia licensed products.</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received an upfront cash payment of $25.0 million in the fourth quarter of 2019, and through</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we have received $50.0 million in milestone payments under this license agreement. Subject to the</w:t>
      </w:r>
    </w:p>
    <w:p>
      <w:pPr>
        <w:ind w:left="60"/>
        <w:spacing w:after="0"/>
        <w:rPr>
          <w:sz w:val="20"/>
          <w:szCs w:val="20"/>
          <w:color w:val="auto"/>
        </w:rPr>
      </w:pPr>
      <w:r>
        <w:rPr>
          <w:rFonts w:ascii="Times New Roman" w:cs="Times New Roman" w:eastAsia="Times New Roman" w:hAnsi="Times New Roman"/>
          <w:sz w:val="18"/>
          <w:szCs w:val="18"/>
          <w:color w:val="auto"/>
        </w:rPr>
        <w:t>terms of the Clementia agreement, in addition to the upfront and milestone payments received, we will be eligible to</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receive up to $</w:t>
      </w:r>
      <w:r>
        <w:rPr>
          <w:rFonts w:ascii="Times New Roman" w:cs="Times New Roman" w:eastAsia="Times New Roman" w:hAnsi="Times New Roman"/>
          <w:sz w:val="18"/>
          <w:szCs w:val="18"/>
          <w:color w:val="1F2328"/>
        </w:rPr>
        <w:t>460.0</w:t>
      </w:r>
      <w:r>
        <w:rPr>
          <w:rFonts w:ascii="Times New Roman" w:cs="Times New Roman" w:eastAsia="Times New Roman" w:hAnsi="Times New Roman"/>
          <w:sz w:val="18"/>
          <w:szCs w:val="18"/>
          <w:color w:val="auto"/>
        </w:rPr>
        <w:t xml:space="preserve"> million in development, regulatory and sales-based milestone payments for the Clementia licensed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products. In addition, Clementia is obligated to pay to us royalties on aggregate annual worldwide net sales of Clementia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licensed products at tiered percentage rates ranging from the low- to mid-teens, subject to adjustment in specified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circumstances under the Clementia agreement, and to purchase specified manufacturing inventory from our company.</w:t>
      </w:r>
    </w:p>
    <w:p>
      <w:pPr>
        <w:spacing w:after="0" w:line="23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Clementia agreement, we were responsible for specified activities during a transition period, which has been completed, and Clementia is responsible for conducting all development and commercialization activities related to the Clementia licensed products, including the design, timing and conduct of any Phase 2 clinical trial evaluating BLU-782 for the treatment of FOP.</w:t>
      </w:r>
    </w:p>
    <w:p>
      <w:pPr>
        <w:spacing w:after="0" w:line="207"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During the term of the agreement, we have agreed not to exploit any compound covered by the licensed patents for the treatment of FOP or multiple osteochondromas, or MO. In addition, with respect to any small molecule</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compound not covered by the licensed patents, we have agreed not to research, develop or manufacture any small molecule compound for the treatment of FOP or MO for a period of five years from the effective date of the Clementia agreement and not to commercialize any small molecule compound for the treatment of FOP or MO for a period of seven years from the effective date of the Clementia agreement.</w:t>
      </w:r>
    </w:p>
    <w:p>
      <w:pPr>
        <w:spacing w:after="0" w:line="22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us. Either party may terminate the agreement for the other party’s uncured material breach or insolvency and in certain other circumstances agreed to by the parties. In certain termination circumstances, we are entitled to retain specified licenses to be able to continue to exploit the Clementia licensed products.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Zai Lab</w:t>
      </w:r>
    </w:p>
    <w:p>
      <w:pPr>
        <w:spacing w:after="0" w:line="27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On November 8, 2021, we entered into a license agreement, or the Zai Lab agreement, with Zai Lab. Under the Zai Lab agreement, we granted an exclusive license for the development and commercialization of BLU-945 and BLU-525, including any back-up and other forms thereof, for the treatment of EGFR-driven NSCLC in Greater China, including Mainland China, Hong Kong, Macau and Taiwan, either as a monotherapy or as part of a combination therapy. We retain exclusive rights to the licensed products outside the Zai Lab territory.</w:t>
      </w:r>
    </w:p>
    <w:p>
      <w:pPr>
        <w:spacing w:after="0" w:line="228"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We received an upfront cash payment of $25.0 million in the fourth quarter of 2021. Subject to the terms of the Zai Lab agreement, in addition to the upfront payment received, we will be eligible to receive up to $590.0 million in potential development, regulatory and sales-based milestone payments, and tiered royalties on a product-by-product basis ranging from the low-teens to mid-teens on annual net sales of the licensed products in Greater China, subject to adjustment in specified circumstances under the Zai Lab agreement.</w:t>
      </w:r>
    </w:p>
    <w:p>
      <w:pPr>
        <w:spacing w:after="0" w:line="228" w:lineRule="exact"/>
        <w:rPr>
          <w:sz w:val="20"/>
          <w:szCs w:val="20"/>
          <w:color w:val="auto"/>
        </w:rPr>
      </w:pPr>
    </w:p>
    <w:p>
      <w:pPr>
        <w:ind w:left="60" w:right="219" w:firstLine="648"/>
        <w:spacing w:after="0" w:line="272" w:lineRule="auto"/>
        <w:rPr>
          <w:sz w:val="20"/>
          <w:szCs w:val="20"/>
          <w:color w:val="auto"/>
        </w:rPr>
      </w:pPr>
      <w:r>
        <w:rPr>
          <w:rFonts w:ascii="Times New Roman" w:cs="Times New Roman" w:eastAsia="Times New Roman" w:hAnsi="Times New Roman"/>
          <w:sz w:val="17"/>
          <w:szCs w:val="17"/>
          <w:color w:val="auto"/>
        </w:rPr>
        <w:t>Under the terms of the agreement, Zai Lab is responsible for all the development costs for the licensed products, which currently include BLU-945 and BLU-525, occurring in Greater China. In January 2024 at the JPM Conference, we announced that we will discontinue further investment in these early clinical-stage therapies for EGFR-mutant NSCLC globally (other than with respect to Greater China for BLU-525 and BLU-945, which remain licensed to Zai Lab for that territory) BLU-945 and BLU-525; however, Zai Lab retains its rights to BLU-945 and BLU-525 under the agreement.</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VantAI</w:t>
      </w:r>
    </w:p>
    <w:p>
      <w:pPr>
        <w:spacing w:after="0" w:line="25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February 2022, we entered into the 2022 Agreement with Proteovant to jointly research and advance certain protein degrader therapies into development candidates, with VantAI performing certain services on behalf of Proteovant under the agreement. In December 2023, we entered into the A&amp;R Agreement with VantAI and Proteovant, which replaced the 2022 Agreement. Under the A&amp;R Agreement, VantAI will directly provide us with expanded computational support, including computational biology and expanded computational chemistry.</w:t>
      </w:r>
    </w:p>
    <w:p>
      <w:pPr>
        <w:spacing w:after="0" w:line="170" w:lineRule="exact"/>
        <w:rPr>
          <w:sz w:val="20"/>
          <w:szCs w:val="20"/>
          <w:color w:val="auto"/>
        </w:rPr>
      </w:pPr>
    </w:p>
    <w:p>
      <w:pPr>
        <w:ind w:left="60" w:right="479" w:firstLine="648"/>
        <w:spacing w:after="0" w:line="261" w:lineRule="auto"/>
        <w:rPr>
          <w:sz w:val="20"/>
          <w:szCs w:val="20"/>
          <w:color w:val="auto"/>
        </w:rPr>
      </w:pPr>
      <w:r>
        <w:rPr>
          <w:rFonts w:ascii="Times New Roman" w:cs="Times New Roman" w:eastAsia="Times New Roman" w:hAnsi="Times New Roman"/>
          <w:sz w:val="18"/>
          <w:szCs w:val="18"/>
          <w:color w:val="auto"/>
        </w:rPr>
        <w:t>Additionally, under the A&amp;R Agreement, Proteovant ceased its role in the collaboration and transitioned its activities and any know-how and patent applications Proteovant developed under the 2022 Agreement to us. We will collaborate with VantAI to jointly research and advance three novel protein degrader programs, with the option, at our discretion, to expand the collaboration to include a fourth novel protein degrader target program.</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Under the A&amp;R Agreement, VantAI is eligible to receive up to $1.67 billion in contingent payments including specified research, development, regulatory and commercialization milestones for all target programs. We will be obligated to pay VantAI tiered percentage royalties on a licensed product-by-licensed product basis ranging from the mid-single digits on annual net sales of each licensed product in the applicable territory, subject to adjustment in specified circumstances until the expiration of all payment obligations under the A&amp;R Agreement with respect to such licensed product in such country.</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IDRx</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August 2022, we entered into the IDRx License Agreement, pursuant to which we granted IDRx an exclusive, worldwide, royalty-bearing license to exploit our internally discovered KIT exon 13 inhibitor, IDRX-73. IDRx is a clinical-stage biopharmaceutical company and among IDRx’s founders are Alexis Borisy, Nicholas Lydon, Ph.D. and George Demetri, M.D., each of whom are then-current members of our board of directors. Due to these relationships, the transaction was approved by only the non-interested members of the Company’s board of directors.</w:t>
      </w:r>
    </w:p>
    <w:p>
      <w:pPr>
        <w:spacing w:after="0" w:line="183" w:lineRule="exact"/>
        <w:rPr>
          <w:sz w:val="20"/>
          <w:szCs w:val="20"/>
          <w:color w:val="auto"/>
        </w:rPr>
      </w:pPr>
    </w:p>
    <w:p>
      <w:pPr>
        <w:ind w:left="60" w:right="59" w:firstLine="648"/>
        <w:spacing w:after="0" w:line="275" w:lineRule="auto"/>
        <w:rPr>
          <w:sz w:val="20"/>
          <w:szCs w:val="20"/>
          <w:color w:val="auto"/>
        </w:rPr>
      </w:pPr>
      <w:r>
        <w:rPr>
          <w:rFonts w:ascii="Times New Roman" w:cs="Times New Roman" w:eastAsia="Times New Roman" w:hAnsi="Times New Roman"/>
          <w:sz w:val="17"/>
          <w:szCs w:val="17"/>
          <w:color w:val="auto"/>
        </w:rPr>
        <w:t>In connection with the IDRx License Agreement, we also entered in the IDRx Stock Purchase Agreement, pursuant to which we received 4,509,105 shares of IDRx’s Series A preferred stock and we have the right to receive additional shares of IDRx’s Series A preferred stock through an anti-dilution provision subject to a defined financing cap. In July 2023, the Company received 192,282 additional shares of Series A preferred stock under the anti-dilution provision.</w:t>
      </w:r>
    </w:p>
    <w:p>
      <w:pPr>
        <w:spacing w:after="0" w:line="171"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also eligible to receive up to $217.5 million in contingent cash payments, including specified development, regulatory and sales-based milestone payments. In addition, IDRx is obligated to pay royalties on aggregate annual worldwide net sales of licensed products at tiered percentage rates up to low-teens, subject to adjustments in specified circumstances under the IDRx License Agreement.</w:t>
      </w:r>
    </w:p>
    <w:p>
      <w:pPr>
        <w:spacing w:after="0" w:line="166" w:lineRule="exact"/>
        <w:rPr>
          <w:sz w:val="20"/>
          <w:szCs w:val="20"/>
          <w:color w:val="auto"/>
        </w:rPr>
      </w:pPr>
    </w:p>
    <w:p>
      <w:pPr>
        <w:ind w:left="60" w:right="119" w:firstLine="648"/>
        <w:spacing w:after="0" w:line="242" w:lineRule="auto"/>
        <w:rPr>
          <w:sz w:val="20"/>
          <w:szCs w:val="20"/>
          <w:color w:val="auto"/>
        </w:rPr>
      </w:pPr>
      <w:r>
        <w:rPr>
          <w:rFonts w:ascii="Times New Roman" w:cs="Times New Roman" w:eastAsia="Times New Roman" w:hAnsi="Times New Roman"/>
          <w:sz w:val="18"/>
          <w:szCs w:val="18"/>
          <w:color w:val="auto"/>
        </w:rPr>
        <w:t>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first commercial sale of such licensed product in such country. Following the end of the term for any such licensed product and in such region by expiration, the license granted to IDRx will become exclusive, perpetual, irrevocable, fully paid-up and royalty-free. IDRx may terminate the IDRx License Agreement for convenience at any time upon at least twelve months’ prior written notice to us. We both can terminate the IDRx License Agreement for a material breach by the other party or for insolvency, and we may terminate the IDRx License Agreement for IDRx’s breach of the anti-dilution provision in the IDRx Stock Purchase Agreement. Upon termination of the IDRx License Agreement in its entirety, all rights and obligations under the agreement will terminate and revert back to us, and we have a license under certain intellectual property of IDRx to continue to exploit the compound and terminated product, subject to a royalty that will be negotiated at the time of termination.</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Mergers &amp; Acquisitions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Lengo Therapeutics, Inc.</w:t>
      </w:r>
    </w:p>
    <w:p>
      <w:pPr>
        <w:spacing w:after="0" w:line="256" w:lineRule="exact"/>
        <w:rPr>
          <w:sz w:val="20"/>
          <w:szCs w:val="20"/>
          <w:color w:val="auto"/>
        </w:rPr>
      </w:pPr>
    </w:p>
    <w:p>
      <w:pPr>
        <w:ind w:left="60" w:right="79" w:firstLine="648"/>
        <w:spacing w:after="0" w:line="259" w:lineRule="auto"/>
        <w:rPr>
          <w:sz w:val="20"/>
          <w:szCs w:val="20"/>
          <w:color w:val="auto"/>
        </w:rPr>
      </w:pPr>
      <w:r>
        <w:rPr>
          <w:rFonts w:ascii="Times New Roman" w:cs="Times New Roman" w:eastAsia="Times New Roman" w:hAnsi="Times New Roman"/>
          <w:sz w:val="18"/>
          <w:szCs w:val="18"/>
          <w:color w:val="auto"/>
        </w:rPr>
        <w:t xml:space="preserve">On November 27, 2021, we entered into an Agreement and Plan of Merger, or the Merger Agreement, with Pavonis Merger Subsidiary, Inc., a Delaware corporation and our wholly-owned subsidiary, or Merger Sub, Lengo Therapeutics, Inc., a Delaware corporation, or Lengo, and Fortis Advisors LLC, a Delaware limited liability company, as the representative of the Lengo Securityholders (as defined below). On December 30, 2021, we </w:t>
      </w:r>
      <w:r>
        <w:rPr>
          <w:rFonts w:ascii="Times New Roman" w:cs="Times New Roman" w:eastAsia="Times New Roman" w:hAnsi="Times New Roman"/>
          <w:sz w:val="17"/>
          <w:szCs w:val="17"/>
          <w:color w:val="auto"/>
        </w:rPr>
        <w:t>completed the merger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Merger Sub with and into Lengo, with Lengo continuing as the surviving corporation and our wholly-owned subsidiary, or the Closing. Upon closing we acquired Lengo’s lead compound LNG-451, now known as BLU-451, which is in development for the treatment of EGFR exon 20 insertion-positive NSCLC, in addition to undisclosed preclinical precision oncology programs and research tools, including a catalog of covalent, highly brain penetrant kinase inhibitors. In January 2024, we announced that, based on the evolving market landscape and emerging clinical data for BLU-451, we have discontinued further investment in BLU-451 and are exploring strategic options, including potential out-licensing, to maximize the value for the program and allow us to leverage the expertise of strategic partners and licensors.</w:t>
      </w:r>
    </w:p>
    <w:p>
      <w:pPr>
        <w:spacing w:after="0" w:line="18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Upon closing, we paid upfront merger consideration of $250.0 million in cash, or the Upfront Merger Consideration, adjusted for customary net indebtedness, transaction expenses, and other adjustments, to Lengo stockholders and option holders, or collectively, the Lengo Securityholders. The Merger Agreement also provides that we shall pay future contingent cash milestone payments of up to $215.0 million in the aggregate to the Lengo Securityholders upon the achievement of specified regulatory approval and sales milestones.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268"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Royalty Purchase Agreement. </w:t>
      </w:r>
      <w:r>
        <w:rPr>
          <w:rFonts w:ascii="Times New Roman" w:cs="Times New Roman" w:eastAsia="Times New Roman" w:hAnsi="Times New Roman"/>
          <w:sz w:val="17"/>
          <w:szCs w:val="17"/>
          <w:color w:val="auto"/>
        </w:rPr>
        <w:t>In June 2022, we entered into a Royalty Purchase Agreement with Royalty Pharma.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this Royalty Purchase Agreement, we received an upfront cash payment of $175.0 million and the right to receive up to $165.0 million in certain milestone payments, subject to the achievement of specified net sales milestones by Roche, in exchange for all of our existing rights to receive royalty payments on the net sales of GAVRETO worldwide, excluding the CStone Territory and U.S. territory under the terms of the Roche pralsetinib collaboration agreement.</w:t>
      </w:r>
    </w:p>
    <w:p>
      <w:pPr>
        <w:spacing w:after="0" w:line="4" w:lineRule="exact"/>
        <w:rPr>
          <w:sz w:val="20"/>
          <w:szCs w:val="20"/>
          <w:color w:val="auto"/>
        </w:rPr>
      </w:pPr>
    </w:p>
    <w:p>
      <w:pPr>
        <w:jc w:val="both"/>
        <w:ind w:left="60" w:right="619"/>
        <w:spacing w:after="0" w:line="253" w:lineRule="auto"/>
        <w:rPr>
          <w:sz w:val="20"/>
          <w:szCs w:val="20"/>
          <w:color w:val="auto"/>
        </w:rPr>
      </w:pPr>
      <w:r>
        <w:rPr>
          <w:rFonts w:ascii="Times New Roman" w:cs="Times New Roman" w:eastAsia="Times New Roman" w:hAnsi="Times New Roman"/>
          <w:sz w:val="18"/>
          <w:szCs w:val="18"/>
          <w:color w:val="auto"/>
        </w:rPr>
        <w:t xml:space="preserve">However, in </w:t>
      </w:r>
      <w:r>
        <w:rPr>
          <w:rFonts w:ascii="Times New Roman" w:cs="Times New Roman" w:eastAsia="Times New Roman" w:hAnsi="Times New Roman"/>
          <w:sz w:val="17"/>
          <w:szCs w:val="17"/>
          <w:color w:val="auto"/>
        </w:rPr>
        <w:t>February 2023, Roche provided written notice of its election to terminate the Roche pralsetinib 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agreement for convenience. The termination will become effective in February 22, 2024. The termination of the Roche pralsetinib collaboration agreement will not affect the upfront cash payment we received from Royalty Pharma.</w:t>
      </w:r>
    </w:p>
    <w:p>
      <w:pPr>
        <w:spacing w:after="0" w:line="22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Synthetic Royalty Facility. </w:t>
      </w:r>
      <w:r>
        <w:rPr>
          <w:rFonts w:ascii="Times New Roman" w:cs="Times New Roman" w:eastAsia="Times New Roman" w:hAnsi="Times New Roman"/>
          <w:sz w:val="18"/>
          <w:szCs w:val="18"/>
          <w:color w:val="auto"/>
        </w:rPr>
        <w:t>In June 2022, we entered a Future Revenue Purchase Agreement with Sixth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In July 2022, upon the closing of the transaction pursuant to the Future Revenue Purchase Agreement, we received gross proceeds of $250.0 million in exchange for future royalty payments at a rate of 9.75% on up to $900 million each year of (i) aggregate worldwide annual net product sales of AYVAKIT/AYVAKYT (avapritinib) and (ii) if it is approved, aggregate worldwide annual net product sales of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225"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Debt Facility. </w:t>
      </w:r>
      <w:r>
        <w:rPr>
          <w:rFonts w:ascii="Times New Roman" w:cs="Times New Roman" w:eastAsia="Times New Roman" w:hAnsi="Times New Roman"/>
          <w:sz w:val="18"/>
          <w:szCs w:val="18"/>
          <w:color w:val="auto"/>
        </w:rPr>
        <w:t>In June 2022, we entered into a financing agreement, the Financing Agreement, for up to $660.0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with Sixth Street Partners. The Financing Agreement provides for (i) a senior secured term loan facility of up to $150.0 million and (ii) a senior secured delayed draw term loan facility of up to $250.0 million to be funded in two tranches at our choice. The loans will mature on June 30, 2028 and bear interest at a variable rate equal to either the SOFR plus 6.50% or the base rate plus 5.50%, subject to a floor of 1% and 2% with respect to the SOFR and base rate, respectively. The initial gross proceeds of $150.0 million was funded in July 2022. In August 2023, we received gross proceeds of $100.0 million through the first tranche of the senior secured delayed draw term loan facility. In addition, we may at any time request an incremental term loan in an amount not to exceed $260.0 million on terms to be agreed and subject to the consent of the lenders providing such incremental term loan.</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7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for our drugs and drug candidates, as well as our core technologies, including our novel target discovery engine, our proprietary compound library, targeted protein degrader platform and other know-how;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compounds,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233"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We devote considerable effort and resources to protecting inventions, trade-secrets, and know-how related to our approved medicines AYVAKIT®/AYVAKYT®, GAVRETO® and our drug candidates in an effort to establish strong intellectual property positions regarding these new chemical entities and their uses and other technologies, including formulations, solid forms, manufacturing processes, and patient selection markers that may be useful with our drugs and drug candidates. We have patent rights that are the subject of U.S. and foreign patents and patent applications in the U.S. and a number of jurisdictions, including Australia, Canada, certain Central and South American countries, certain Asian countries (including Greater China), the EU, certain Eurasian countries, certain Middle Eastern countries, New Zealand, and certain African countries. Our issued patents and patent applications of our most advanced programs pertain to our approved medicines AYVAKIT and GAVRETO and drug candidates.</w:t>
      </w:r>
    </w:p>
    <w:p>
      <w:pPr>
        <w:spacing w:after="0" w:line="217" w:lineRule="exact"/>
        <w:rPr>
          <w:sz w:val="20"/>
          <w:szCs w:val="20"/>
          <w:color w:val="auto"/>
        </w:rPr>
      </w:pPr>
    </w:p>
    <w:p>
      <w:pPr>
        <w:ind w:left="60" w:right="259" w:firstLine="648"/>
        <w:spacing w:after="0" w:line="289" w:lineRule="auto"/>
        <w:rPr>
          <w:sz w:val="20"/>
          <w:szCs w:val="20"/>
          <w:color w:val="auto"/>
        </w:rPr>
      </w:pPr>
      <w:r>
        <w:rPr>
          <w:rFonts w:ascii="Times New Roman" w:cs="Times New Roman" w:eastAsia="Times New Roman" w:hAnsi="Times New Roman"/>
          <w:sz w:val="17"/>
          <w:szCs w:val="17"/>
          <w:color w:val="auto"/>
        </w:rPr>
        <w:t>We file trademarks to protect our products. Typically, we file trademark applications in the U.S., Europe, and elsewhere in the world as appropriate. In addition to multiple pending trademark applications in the U.S. and other major countries, we have registered trademarks, including but not limited to AYVAKIT and GAVRETO in the U.S. and to</w:t>
      </w:r>
    </w:p>
    <w:p>
      <w:pPr>
        <w:sectPr>
          <w:pgSz w:w="11900" w:h="16838" w:orient="portrait"/>
          <w:cols w:equalWidth="0" w:num="1">
            <w:col w:w="9019"/>
          </w:cols>
          <w:pgMar w:left="1440" w:top="513" w:right="1440" w:bottom="1440" w:gutter="0" w:footer="0" w:header="0"/>
        </w:sect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AYVAKYT and GAVRETO in the EU. In addition to patents and trademarks for our drug products, we seek to obtain all available regulatory exclusivities for our marketed products, including data and orphan exclusivities in the relevant jurisdictions.</w:t>
      </w:r>
    </w:p>
    <w:p>
      <w:pPr>
        <w:spacing w:after="0" w:line="216"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patent portfolios relating to our approved medicines and most advanced programs as of December 31, 2023 are summarized below.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AYVAKIT/AYVAKYT (avapritinib)</w:t>
      </w:r>
    </w:p>
    <w:p>
      <w:pPr>
        <w:spacing w:after="0" w:line="270" w:lineRule="exact"/>
        <w:rPr>
          <w:sz w:val="20"/>
          <w:szCs w:val="20"/>
          <w:color w:val="auto"/>
        </w:rPr>
      </w:pPr>
    </w:p>
    <w:p>
      <w:pPr>
        <w:ind w:left="60" w:right="259" w:firstLine="648"/>
        <w:spacing w:after="0" w:line="271" w:lineRule="auto"/>
        <w:rPr>
          <w:sz w:val="20"/>
          <w:szCs w:val="20"/>
          <w:color w:val="auto"/>
        </w:rPr>
      </w:pPr>
      <w:r>
        <w:rPr>
          <w:rFonts w:ascii="Times New Roman" w:cs="Times New Roman" w:eastAsia="Times New Roman" w:hAnsi="Times New Roman"/>
          <w:sz w:val="17"/>
          <w:szCs w:val="17"/>
          <w:color w:val="auto"/>
        </w:rPr>
        <w:t>The patent portfolio covering AYVAKIT/AYVAKYT contains patents and patent applications directed to compositions of matter for AYVAKIT/AYVAKYT, including solid forms and methods of use and manufacture. As of December 31, 2023, we own 5 U.S. patents, 3 European patents, validated in multiple states and 24 other foreign patents and multiple pending patent applications in the U.S., Europe and in various foreign jurisdictions. The patents that have issued or will issue covering AYVAKIT/AYVAKYT will have a statutory expiration date between 2034 and 2043. Patent term adjustments, patent term extensions, and supplementary protection certificates could result in later expiration dates.</w:t>
      </w:r>
    </w:p>
    <w:p>
      <w:pPr>
        <w:spacing w:after="0" w:line="201"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 addition, in connection with our FDA approval on January 9, 2020, the FDA granted AYVAKIT new chemical entity, or NCE, exclusivity until January 9, 2025 and Orphan Drug Exclusivity, or ODE, until January 9, 2027. In connection with our FDA approval on June 16, 2021, the FDA granted AYVAKIT new clinical indication exclusivity for two indications until June 16, 2024 and ODE until June 6, 2028. In connection with our FDA approval on May 22, 2023, the FDA granted AYVAKIT new clinical indication exclusivity until May 22, 2026 and ODE until May 22, 2030.</w:t>
      </w:r>
    </w:p>
    <w:p>
      <w:pPr>
        <w:spacing w:after="0" w:line="21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notification of our EMA approval on September 25, 2020, the EMA granted AYVAKYT Orphan marketing exclusivity until September 25, 2030. Additionally, 1 year of market protection was granted after authorization of new therapeutic indication representing a significant clinical benefit in comparison with existing therapies until September 25, 2031. In connection with notification of our EMA approval on March 25, 2022, the EMA granted AYVAKYT Orphan marketing exclusivity until March 25, 2032. In connection with notification of our EMA approval on December 12, 2023, the EMA granted AYVAKYT Orphan marketing exclusivity December 12, 2032.</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GAVRETO (pralsetinib)</w:t>
      </w:r>
    </w:p>
    <w:p>
      <w:pPr>
        <w:spacing w:after="0" w:line="270" w:lineRule="exact"/>
        <w:rPr>
          <w:sz w:val="20"/>
          <w:szCs w:val="20"/>
          <w:color w:val="auto"/>
        </w:rPr>
      </w:pPr>
    </w:p>
    <w:p>
      <w:pPr>
        <w:ind w:left="60" w:right="359" w:firstLine="648"/>
        <w:spacing w:after="0" w:line="253" w:lineRule="auto"/>
        <w:rPr>
          <w:sz w:val="20"/>
          <w:szCs w:val="20"/>
          <w:color w:val="auto"/>
        </w:rPr>
      </w:pPr>
      <w:r>
        <w:rPr>
          <w:rFonts w:ascii="Times New Roman" w:cs="Times New Roman" w:eastAsia="Times New Roman" w:hAnsi="Times New Roman"/>
          <w:sz w:val="18"/>
          <w:szCs w:val="18"/>
          <w:color w:val="auto"/>
        </w:rPr>
        <w:t>The patent portfolio covering GAVRETO contains patents and patent applications directed to compositions of matter for GAVRETO, including solid forms, formulations, and methods of use and manufacture. As of December 31, 2023, we own 4 U.S. patents and 34 foreign patents and multiple pending patent applications in the U.S., Europe and in various other foreign jurisdictions. The patents that have issued or will issue covering GAVRETO will have a statutory expiration date between 2036 and 2041. Patent term adjustments, patent term extensions, and supplementary protection certificates could result in later expiration dates.</w:t>
      </w:r>
    </w:p>
    <w:p>
      <w:pPr>
        <w:spacing w:after="0" w:line="216"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In addition, in connection with our FDA approval on September 4, 2020, the FDA granted GAVRETO NCE exclusivity until September 4, 2025 and ODE until September 4, 2027. In connection with our FDA approval on December 1, 2020, the FDA granted GAVRETO two ODEs until December 1, 2027.</w:t>
      </w:r>
    </w:p>
    <w:p>
      <w:pPr>
        <w:spacing w:after="0" w:line="21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notification of our EMA approval on November 22, 2021, the EMA granted GAVRETO data exclusivity until November 22, 2029 and marketing protection until November 22, 2031.</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KIT Program—Elenestinib</w:t>
      </w:r>
    </w:p>
    <w:p>
      <w:pPr>
        <w:spacing w:after="0" w:line="270" w:lineRule="exact"/>
        <w:rPr>
          <w:sz w:val="20"/>
          <w:szCs w:val="20"/>
          <w:color w:val="auto"/>
        </w:rPr>
      </w:pPr>
    </w:p>
    <w:p>
      <w:pPr>
        <w:ind w:left="60" w:right="379" w:firstLine="648"/>
        <w:spacing w:after="0" w:line="253" w:lineRule="auto"/>
        <w:rPr>
          <w:sz w:val="20"/>
          <w:szCs w:val="20"/>
          <w:color w:val="auto"/>
        </w:rPr>
      </w:pPr>
      <w:r>
        <w:rPr>
          <w:rFonts w:ascii="Times New Roman" w:cs="Times New Roman" w:eastAsia="Times New Roman" w:hAnsi="Times New Roman"/>
          <w:sz w:val="18"/>
          <w:szCs w:val="18"/>
          <w:color w:val="auto"/>
        </w:rPr>
        <w:t>The patent portfolio for our KIT program contains patents and patent applications directed to compositions of matter for elenestinib and other compound families, as well as solid forms and methods of use and manufacture. As of December 31, 2023, we own 8 U.S. patents, 1 foreign patent and pending patent applications in the U.S., Europe and in various other foreign jurisdictions. The patents that have issued or will issue covering our KIT program will have a statutory expiration date between 2034 and 2043. Patent term adjustments, patent term extensions, and supplementary protection certificates could result in later expiration dates.</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CDK2 Program</w:t>
      </w:r>
    </w:p>
    <w:p>
      <w:pPr>
        <w:spacing w:after="0" w:line="27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patent portfolio for our CDK2 program contains patent applications directed to compositions of matter for BLU-222 and other compound families, as well as methods of use. As of December 31, 2023, we own 65 patent applications pending in the U.S., PCT and in various foreign jurisdictions. The patents that will issue covering our CDK2 program will have a statutory expiration date between 2042 and 2044. Patent term adjustments, patent term extensions, and supplementary protection certificates could result in later expiration dates.</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MAP4K1 Program</w:t>
      </w:r>
    </w:p>
    <w:p>
      <w:pPr>
        <w:spacing w:after="0" w:line="25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patent portfolio for our MAP4K1 program contains patent applications directed to compositions of matter for BLU-852 and other compound families, as well as methods of use. As of December 31, 2023, we own one U.S. patent and pending applications in the U.S., and in various foreign jurisdictions and as PCT applications. The patents that will issue covering our MAP4K1 program will have a statutory expiration date between 2041 and 2042.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Considerations</w:t>
      </w:r>
    </w:p>
    <w:p>
      <w:pPr>
        <w:spacing w:after="0" w:line="27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 — U.S. Patent Term Restoration and Marketing Exclusivity</w:t>
      </w:r>
      <w:r>
        <w:rPr>
          <w:rFonts w:ascii="Times New Roman" w:cs="Times New Roman" w:eastAsia="Times New Roman" w:hAnsi="Times New Roman"/>
          <w:sz w:val="18"/>
          <w:szCs w:val="18"/>
          <w:color w:val="auto"/>
        </w:rPr>
        <w:t>” below for additional information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exclusivity. In the future, if applicable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234"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maintain and solidify our proprietary and intellectual property position for our drug,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third-party patent applications. If third parties prepare and file patent applications in the U.S. that also claim technology or therapeutics to which we have rights, we may have to participate in interference proceedings in the USPTO to determine priority of invention, which could result in substantial costs to us, even if the eventual outcome is favorable to us, which is highly unpredictable. In addition, because of the extensive time required for clinical development and regulatory review of a drug or drug candidate we may develop, it is possible that, before any of our approved drugs or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221"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third-party service providers, and scientific advisors, and non-competition, non-solicitation, confidentiality, and invention assignment agreements with our employees. We have also executed agreements requiring assignment of inventions with selected scientific advisors, consultants,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ectPr>
          <w:pgSz w:w="11900" w:h="16838" w:orient="portrait"/>
          <w:cols w:equalWidth="0" w:num="1">
            <w:col w:w="9019"/>
          </w:cols>
          <w:pgMar w:left="1440" w:top="513" w:right="1440" w:bottom="1440" w:gutter="0" w:footer="0" w:header="0"/>
        </w:sect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With respect to the building of our proprietary compound library and targeted protein degrader platform, we consider trade secrets and know-how to be our primary intellectual property. Trade secrets and know-how can be difficult to protect. In particular, we anticipate that with respect to our discovery platform, these trade secrets and know-how will over time be disseminated within the industry through independent development and public presentations describing the methodology.</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7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worldwide. Any drug or drug candidates that we successfully develop and commercialize will compete with existing drugs and new drugs that may become available in the future.</w:t>
      </w:r>
    </w:p>
    <w:p>
      <w:pPr>
        <w:spacing w:after="0" w:line="214"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compete in the segments of the pharmaceutical, biotechnology and other related markets that address inhibition of kinases in cancer and other rare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20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31"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our drugs and our current or future drug candidates, if approved, are likely to be their efficacy, safety, convenience, price, the level of generic competition and the availability of reimbursement from government and other third party payors.</w:t>
      </w:r>
    </w:p>
    <w:p>
      <w:pPr>
        <w:spacing w:after="0" w:line="21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Our approved drugs and drug candidates, to the extent they receive marketing approval in the future for indications for which we are currently conducting or planning clinical trials, compete with or will compete with the drugs discussed below and will likely compete with other drugs that are currently in development.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SM</w:t>
      </w:r>
    </w:p>
    <w:p>
      <w:pPr>
        <w:spacing w:after="0" w:line="253" w:lineRule="exact"/>
        <w:rPr>
          <w:sz w:val="20"/>
          <w:szCs w:val="20"/>
          <w:color w:val="auto"/>
        </w:rPr>
      </w:pPr>
    </w:p>
    <w:p>
      <w:pPr>
        <w:ind w:left="60" w:right="159" w:firstLine="648"/>
        <w:spacing w:after="0" w:line="244" w:lineRule="auto"/>
        <w:rPr>
          <w:sz w:val="20"/>
          <w:szCs w:val="20"/>
          <w:color w:val="auto"/>
        </w:rPr>
      </w:pPr>
      <w:r>
        <w:rPr>
          <w:rFonts w:ascii="Times New Roman" w:cs="Times New Roman" w:eastAsia="Times New Roman" w:hAnsi="Times New Roman"/>
          <w:sz w:val="17"/>
          <w:szCs w:val="17"/>
          <w:color w:val="auto"/>
        </w:rPr>
        <w:t>AYVAKIT/AYVAKYT and elenestinib (BLU-263) face competition for advanced SM from Novartis AG’s midostaurin and imatinib, and may face competition from drug candidates in development, including that being developed by Cogent Biosciences, Inc. and Hoth Therapeutics. Avapritinib and elenestinib may face non-advanced SM competition from drug candidates in development, including those being developed by AB Science S.A., Allakos Inc., Cogent Biosciences, Inc., Hoth Therapeutics, Invea Therapeutics Inc., and Theseus Pharmaceuticals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Chronic Urticaria</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developing BLU-808 for chronic urticaria and other allergy/inflammation, which if approved, will face</w:t>
      </w:r>
    </w:p>
    <w:p>
      <w:pPr>
        <w:sectPr>
          <w:pgSz w:w="11900" w:h="16838" w:orient="portrait"/>
          <w:cols w:equalWidth="0" w:num="1">
            <w:col w:w="9019"/>
          </w:cols>
          <w:pgMar w:left="1440" w:top="513" w:right="1440" w:bottom="1440" w:gutter="0" w:footer="0" w:header="0"/>
        </w:sect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competition from omalizumab developed by Genentech and Novartis. In addition, BLU-808 may face competition from drug candidates in development for chronic urticaria, including those developed by Allakos Inc., Amgen Inc., AstraZeneca plc, Celldex Therapeutics, Inc., Escient Pharmaceuticals, Inc., Evommune, Inc, Incyte Corp., Jasper Therapeutics, Inc., Modulus Discovery Inc., Novartis AG, Regeneron Pharmaceuticals, Inc., Sanofi S.A., Third Harmonic Bio, Inc, Hangshou Highlightll Pharma, Leo Pharma A/S, Acelyrin Inc., Taiho Pharmaceutical Co., LTD, and Enanta Pharmaceuticals, Inc.</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HR+/HER2- Breast Cancer and Other Cancers Vulnerable to CDK2 Inhibition</w:t>
      </w:r>
    </w:p>
    <w:p>
      <w:pPr>
        <w:spacing w:after="0" w:line="27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BLU-222 for cancers vulnerable to CDK2 inhibition, including CCNE1-aberrant cancers, which, if approved, will face competition from indication-specific therapies such as AstraZeneca’s capivasertib, AstraZeneca and Merck’s olaparib, AstraZeneca and Daiichi Sankyo’s trastuzumab deruxtecan, Clovis Oncology’s rucaparib, Eisai’s lenvatinib, Genentech’s bevacizumab, GSK’s niraparib, GSK’s dostarlimab, Menarini Group &amp; Stemline Therapeutics’ elacestrant, Merck’s pembrolizumab, and Novartis' alpelisib. In addition, BLU-222 may face competition from drug candidates in development, including those being developed by Acrivon Therapeutics, Allorion Therapeutics, Inc., Anrui Biomedical Technology, Arvinas, AstraZeneca plc, Aucentra Therapeutics, Avenzo Therapeutics, Bayer, BeiGene, BioTheryX, Inc., Cedilla Therapeutics, Inc., Cyclacel Pharmaceuticals Inc., Eli Lilly and Company, Ensem Therapeutics, Exelixis, Gilead Sciences, Inc., IMPACT Therapeutics, Inc., Incyclix Bio, LLC, Incyte Corporation, Monte Rosa Therapeutics, Inc., Pfizer Inc., Plexium, Inc., Regor Therapeutics Inc., Relay Therapeutics, Inc., Repare Therapeutics, Inc., Satya Pharma Innovations Pvt. Ltd., and Zentalis Pharmaceuticals, Inc.</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RET-Altered Cancers</w:t>
      </w:r>
    </w:p>
    <w:p>
      <w:pPr>
        <w:spacing w:after="0" w:line="27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GAVRETO faces competition for RET fusion-positive NSCLC, from Eli Lilly and Company’s selpercatinib. If pralsetinib receives marketing approval for patients with other solid tumors, it will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Roche,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GIST</w:t>
      </w:r>
    </w:p>
    <w:p>
      <w:pPr>
        <w:spacing w:after="0" w:line="27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Cogent Biosciences, Inc., Deciphera Pharmaceuticals, LLC, Exelixis, Inc., Ningbo Tai Kang Medical Technology Co. Ltd. and Xencor, Inc.</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w:t>
      </w:r>
    </w:p>
    <w:p>
      <w:pPr>
        <w:spacing w:after="0" w:line="256"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As a fully integrated, global precision therapy company focused on discovering, developing and commercializing a portfolio of precision therapies, our vision is to bring life-changing medicines in two core, strategic areas of allergy/inflammation and oncology/hematology. We have established our own commercial organization in the U.S. and Europe in connection with our commercial launch of AYVAKIT in the U.S. and AYVAKYT in Europe. We have also entered into collaborations with our partners, including CStone and Roche, for global commercialization activities for AYVAKIT/AYVAKYT. We are continuing to expand our commercialization capabilities and to build our distribution capabilities to accelerate global adoption of our approved drugs and to prepare for additional planned commercial launches with an initial focus on the U.S. and Europe.</w:t>
      </w:r>
    </w:p>
    <w:p>
      <w:pPr>
        <w:spacing w:after="0" w:line="232" w:lineRule="exact"/>
        <w:rPr>
          <w:sz w:val="20"/>
          <w:szCs w:val="20"/>
          <w:color w:val="auto"/>
        </w:rPr>
      </w:pPr>
    </w:p>
    <w:p>
      <w:pPr>
        <w:ind w:left="60" w:right="319" w:firstLine="648"/>
        <w:spacing w:after="0" w:line="254" w:lineRule="auto"/>
        <w:rPr>
          <w:sz w:val="20"/>
          <w:szCs w:val="20"/>
          <w:color w:val="auto"/>
        </w:rPr>
      </w:pPr>
      <w:r>
        <w:rPr>
          <w:rFonts w:ascii="Times New Roman" w:cs="Times New Roman" w:eastAsia="Times New Roman" w:hAnsi="Times New Roman"/>
          <w:sz w:val="18"/>
          <w:szCs w:val="18"/>
          <w:color w:val="auto"/>
        </w:rPr>
        <w:t>We believe our portfolio strategy focused on genomically defined cancers and blood disorders will allow us to efficiently commercialize approved drugs in the U.S. and Europe initially and worldwide longer-term, using a small and highly specialized sales force similar to those of other rare disease companies. We may also evaluate opportunities to establish collaborations with pharmaceutical companies to leverage their capabilities to maximize the potential of our pipeline from time to time.</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w:t>
      </w:r>
    </w:p>
    <w:p>
      <w:pPr>
        <w:spacing w:after="0" w:line="27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 we may commercialize. To date, we have obtained materials for avapritinib, elenestinib, BLU-808, and BLU-222 for our ongoing and planned clinical testing from third-party manufacturers. We obtain our supplies from these manufacturers on a purchase order basis and do not have a long-term supply arrangement in place. Although we have negotiated manufacturing agreements with certain venders for the commercial supply of AYVAKIT/AYVAKYT, we may also obtain our supplies for these approved drugs from these manufacturers on a purchase order basis from time to time. We rely primarily on single-source third-party suppliers to manufacture and supply our drugs and may from time to time explore opportunities to identify and qualify additional manufacturers to provide the API, drug substance and drug products.</w:t>
      </w:r>
    </w:p>
    <w:p>
      <w:pPr>
        <w:spacing w:after="0" w:line="233" w:lineRule="exact"/>
        <w:rPr>
          <w:sz w:val="20"/>
          <w:szCs w:val="20"/>
          <w:color w:val="auto"/>
        </w:rPr>
      </w:pPr>
    </w:p>
    <w:p>
      <w:pPr>
        <w:ind w:left="60" w:right="79" w:firstLine="648"/>
        <w:spacing w:after="0" w:line="275" w:lineRule="auto"/>
        <w:rPr>
          <w:sz w:val="20"/>
          <w:szCs w:val="20"/>
          <w:color w:val="auto"/>
        </w:rPr>
      </w:pPr>
      <w:r>
        <w:rPr>
          <w:rFonts w:ascii="Times New Roman" w:cs="Times New Roman" w:eastAsia="Times New Roman" w:hAnsi="Times New Roman"/>
          <w:sz w:val="17"/>
          <w:szCs w:val="17"/>
          <w:color w:val="auto"/>
        </w:rPr>
        <w:t>All of our approved drugs and drug candidates are compounds of low molecular weight, generally called small molecules. They can be manufactured in reliable and reproducible synthetic processes from readily available starting materials. The chemistry is amenable to scale-up and does not require unusual equipment in the manufacturing process. We expect to continue developing drug candidates that can be produced cost-effectively at contract manufacturing facilities.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14"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w:t>
      </w:r>
    </w:p>
    <w:p>
      <w:pPr>
        <w:spacing w:after="0" w:line="256"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U.S. The process required by the FDA before a drug may be marketed in the U.S. generally involves the following:</w:t>
      </w:r>
    </w:p>
    <w:p>
      <w:pPr>
        <w:spacing w:after="0" w:line="207" w:lineRule="exact"/>
        <w:rPr>
          <w:sz w:val="20"/>
          <w:szCs w:val="20"/>
          <w:color w:val="auto"/>
        </w:rPr>
      </w:pPr>
    </w:p>
    <w:p>
      <w:pPr>
        <w:ind w:left="1340" w:right="59" w:hanging="318"/>
        <w:spacing w:after="0" w:line="266"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tests, sometimes referred to as preclinical laboratory tests, animal studies and formulation studies performed in accordance with applicable regulations, including the FDA’s good laboratory practice, or GLP, regulations;</w:t>
      </w:r>
    </w:p>
    <w:p>
      <w:pPr>
        <w:spacing w:after="0" w:line="175" w:lineRule="exact"/>
        <w:rPr>
          <w:rFonts w:ascii="Times New Roman" w:cs="Times New Roman" w:eastAsia="Times New Roman" w:hAnsi="Times New Roman"/>
          <w:sz w:val="18"/>
          <w:szCs w:val="18"/>
          <w:color w:val="auto"/>
        </w:rPr>
      </w:pPr>
    </w:p>
    <w:p>
      <w:pPr>
        <w:jc w:val="both"/>
        <w:ind w:left="1340" w:right="219" w:hanging="318"/>
        <w:spacing w:after="0" w:line="266"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 and must be actively maintained, including by submitting 15- or 7-day safety reports and annual safety reports;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59" w:hanging="318"/>
        <w:spacing w:after="0" w:line="266"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its proposed indication;</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a new drug;</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NDA for review;</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drug candidate by an FDA advisory committee, where appropriate or if applicable;</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(unless a fee waiver applies);</w:t>
      </w:r>
    </w:p>
    <w:p>
      <w:pPr>
        <w:spacing w:after="0" w:line="211" w:lineRule="exact"/>
        <w:rPr>
          <w:rFonts w:ascii="Times New Roman" w:cs="Times New Roman" w:eastAsia="Times New Roman" w:hAnsi="Times New Roman"/>
          <w:sz w:val="18"/>
          <w:szCs w:val="18"/>
          <w:color w:val="auto"/>
        </w:rPr>
      </w:pPr>
    </w:p>
    <w:p>
      <w:pPr>
        <w:ind w:left="1340" w:right="119" w:hanging="318"/>
        <w:spacing w:after="0" w:line="266"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API and finished drug product are produced to assess compliance with the FDA’s current good manufacturing practice, or cGMP, requirements, where appropriate or if applicable;</w:t>
      </w:r>
    </w:p>
    <w:p>
      <w:pPr>
        <w:spacing w:after="0" w:line="175" w:lineRule="exact"/>
        <w:rPr>
          <w:rFonts w:ascii="Times New Roman" w:cs="Times New Roman" w:eastAsia="Times New Roman" w:hAnsi="Times New Roman"/>
          <w:sz w:val="18"/>
          <w:szCs w:val="18"/>
          <w:color w:val="auto"/>
        </w:rPr>
      </w:pPr>
    </w:p>
    <w:p>
      <w:pPr>
        <w:ind w:left="1340" w:right="539" w:hanging="318"/>
        <w:spacing w:after="0" w:line="282"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sites and/or clinical trial sites that generated the data in support of the NDA;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or sale of the drug in the U.S.</w:t>
      </w:r>
    </w:p>
    <w:p>
      <w:pPr>
        <w:spacing w:after="0" w:line="252"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preclinical tests must comply with federal regulations, including GLPs, where applicable.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preclinical data, general investigational plan and the protocol(s) for human trials. The IND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235"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drug candidate to healthy volunteers and/or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 Failure to timely register a clinical trial or to submit study results to such public registries can give rise to civil monetary penalties and also prevent a non-compliant party from receiving future grant funds from the federal government.</w:t>
      </w:r>
    </w:p>
    <w:p>
      <w:pPr>
        <w:spacing w:after="0" w:line="222" w:lineRule="exact"/>
        <w:rPr>
          <w:sz w:val="20"/>
          <w:szCs w:val="20"/>
          <w:color w:val="auto"/>
        </w:rPr>
      </w:pPr>
    </w:p>
    <w:p>
      <w:pPr>
        <w:ind w:left="60" w:right="499" w:firstLine="648"/>
        <w:spacing w:after="0" w:line="312" w:lineRule="auto"/>
        <w:rPr>
          <w:sz w:val="20"/>
          <w:szCs w:val="20"/>
          <w:color w:val="auto"/>
        </w:rPr>
      </w:pPr>
      <w:r>
        <w:rPr>
          <w:rFonts w:ascii="Times New Roman" w:cs="Times New Roman" w:eastAsia="Times New Roman" w:hAnsi="Times New Roman"/>
          <w:sz w:val="17"/>
          <w:szCs w:val="17"/>
          <w:color w:val="auto"/>
        </w:rPr>
        <w:t>Clinical trials are generally conducted in three sequential phases that may overlap or be combined, known as Phase 1, Phase 2 and Phase 3 clinical trials. Phase 1 clinical trials for oncology indications generally involve a small</w:t>
      </w:r>
    </w:p>
    <w:p>
      <w:pPr>
        <w:sectPr>
          <w:pgSz w:w="11900" w:h="16838" w:orient="portrait"/>
          <w:cols w:equalWidth="0" w:num="1">
            <w:col w:w="9019"/>
          </w:cols>
          <w:pgMar w:left="1440" w:top="513" w:right="1440" w:bottom="144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number of disease-affected patients who are treated with the drug candidate in escalating dose cohorts. The primary purpose of these clinical trials is to determine the MTD, or a recommended dose if the MTD is not achieved, assess the pharmacokinetic, or PK, profile, pharmacologic action, side effect tolerability and safety of the drug. Phase 1 clinical trials for oncology indications may also evaluate preliminary evidence of clinical activity. Phase 2 clinical trials typically involve studies in disease-affected patients to determine the dose required to produce the desired benefits. At the same time, safety and further PK and PD information is collected, as well as identification of possible AEs and safety risks and preliminary evaluation of efficacy. Phase 3 clinical trials generally involve large numbers of patients (from several hundred to several thousand subjects) at multiple sites, in multiple countries and are designed to provide the data necessary to demonstrate the efficacy of the drug for its intended use, its safety in use, and to establish the overall benefit/risk relationship of the drug and provide an adequate basis for physician labeling. Phase 3 clinical trials may include comparisons with placebo and/or other comparator treatments. The duration of treatment is often extended to mimic the actual use of a drug during marketing. Generally, two adequate and well-controlled Phase 3 clinical trials are required by the FDA for approval of an NDA. However, in settings of rare diseases and genetically-driven cancers, regulatory flexibility is given on a case-by-case basis.</w:t>
      </w:r>
    </w:p>
    <w:p>
      <w:pPr>
        <w:spacing w:after="0" w:line="223" w:lineRule="exact"/>
        <w:rPr>
          <w:sz w:val="20"/>
          <w:szCs w:val="20"/>
          <w:color w:val="auto"/>
        </w:rPr>
      </w:pPr>
    </w:p>
    <w:p>
      <w:pPr>
        <w:ind w:left="60" w:right="479" w:firstLine="648"/>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post-marketing commitments or requirements.</w:t>
      </w:r>
    </w:p>
    <w:p>
      <w:pPr>
        <w:spacing w:after="0" w:line="207"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suggests a significant risk for human subjects, or any clinically important increase in the rate of a serious suspected adverse reaction over that listed in the protocol or investigator brochure. Phase 1, Phase 2 and Phase 3 clinical trials may not be completed successfully within any specified period, if at all. The FDA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In addition, appropriate packaging must be selected and tested and stability studies must be conducted to demonstrate that the drug candidate does not undergo unacceptable deterioration over its shelf life.</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NDA and FDA Review Process</w:t>
      </w:r>
    </w:p>
    <w:p>
      <w:pPr>
        <w:spacing w:after="0" w:line="268"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Following trial completion, trial data are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studies and clinical trials as well as positive findings. Data may come from company-sponsored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FDA approval of an NDA must be obtained before a drug may be offered for sale in the U.S.</w:t>
      </w:r>
    </w:p>
    <w:p>
      <w:pPr>
        <w:sectPr>
          <w:pgSz w:w="11900" w:h="16838" w:orient="portrait"/>
          <w:cols w:equalWidth="0" w:num="1">
            <w:col w:w="9019"/>
          </w:cols>
          <w:pgMar w:left="1440" w:top="513" w:right="1440" w:bottom="1440" w:gutter="0" w:footer="0" w:header="0"/>
        </w:sect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as amended,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pediatric data or full or partial waivers.</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Under the Prescription Drug User Fee Act, or PDUFA, as amended, each NDA must be accompanied by a user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fee. The FDA adjusts the PDUFA user fees on an annual basis. According to the FDA’s fiscal year 2021 fee schedule,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effective through September 30, 2021, the user fee for an application requiring clinical data, such as an NDA, 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$2,875,842. PDUFA also imposes an annual prescription drug product program fee for human drugs ($336,432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fiscal year). Fee waivers or reductions are available in certain circumstances, including a waiver of the application</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fee for the first application filed by a small business. In addition, no user fees are assessed on NDAs for products</w:t>
      </w:r>
    </w:p>
    <w:p>
      <w:pPr>
        <w:ind w:left="60"/>
        <w:spacing w:after="0"/>
        <w:rPr>
          <w:sz w:val="20"/>
          <w:szCs w:val="20"/>
          <w:color w:val="auto"/>
        </w:rPr>
      </w:pPr>
      <w:r>
        <w:rPr>
          <w:rFonts w:ascii="Times New Roman" w:cs="Times New Roman" w:eastAsia="Times New Roman" w:hAnsi="Times New Roman"/>
          <w:sz w:val="18"/>
          <w:szCs w:val="18"/>
          <w:color w:val="auto"/>
        </w:rPr>
        <w:t>designated as orphan drugs, unless the product also includes a non-orphan indication.</w:t>
      </w:r>
    </w:p>
    <w:p>
      <w:pPr>
        <w:spacing w:after="0" w:line="24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for a new molecular entity the FDA has ten months from the filing date in which to complete its initial review of a standard NDA and respond to the applicant, and six months from the filing date for a priority NDA. The submission of a major amendment at any time during the review cycle may extend the PDUFA action date by up to three months. Only one extension can be given per review cycle. The FDA does not always meet its PDUFA goal dates for standard and priority NDAs, and the review process is often significantly extended by FDA requests for additional information or clarification.</w:t>
      </w:r>
    </w:p>
    <w:p>
      <w:pPr>
        <w:spacing w:after="0" w:line="218"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230" w:lineRule="exact"/>
        <w:rPr>
          <w:sz w:val="20"/>
          <w:szCs w:val="20"/>
          <w:color w:val="auto"/>
        </w:rPr>
      </w:pPr>
    </w:p>
    <w:p>
      <w:pPr>
        <w:ind w:left="60" w:right="79" w:firstLine="648"/>
        <w:spacing w:after="0" w:line="249" w:lineRule="auto"/>
        <w:rPr>
          <w:sz w:val="20"/>
          <w:szCs w:val="20"/>
          <w:color w:val="auto"/>
        </w:rPr>
      </w:pPr>
      <w:r>
        <w:rPr>
          <w:rFonts w:ascii="Times New Roman" w:cs="Times New Roman" w:eastAsia="Times New Roman" w:hAnsi="Times New Roman"/>
          <w:sz w:val="18"/>
          <w:szCs w:val="18"/>
          <w:color w:val="auto"/>
        </w:rPr>
        <w:t>Before approving an NDA, the FDA will conduct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by inspecting the sponsor or clinical trial sites to ensure compliance with GCP requirements. After the FDA evaluates the application, manufacturing process and manufacturing facilities where the drug product and/or its API will be produced, it may issue an approval letter or a Complete Response Letter or defer action on an application where required inspections cannot be conducted due to the COVID-19 pandemic.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withdraw the application or request a hearing.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237"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There is no assurance that the FDA will ultimately approve a drug product for marketing in the U.S. and we may encounter significant difficulties or costs during the review process. If a drug receives marketing approval, the approval may be significantly limited to specific diseases and dosages or the indications for use may otherwise be limited, which could restrict the commercial value of the drug. Further, the FDA may require that certain</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contraindications, warnings or precautions be included in the drug labeling or may condition the approval of the NDA on other changes to the proposed labeling, development of adequate controls and specifications, or a commitment to conduct post-market testing or clinical trials and surveillance to monitor the effects of approved drugs. For example, the FDA may require Phase 4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requirements or if problems occur following initial marketing.</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Special FDA Expedited Review and Approval Programs</w:t>
      </w:r>
    </w:p>
    <w:p>
      <w:pPr>
        <w:spacing w:after="0" w:line="26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accelerated approval, priority review and breakthrough therapy designation, that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 To be eligible for fast track designation, the FDA must determine, based on the request of a sponsor, that a drug is intended to treat a serious or life-threatening disease or condition and based on preclinical or preliminary clinical data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21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ten-month review periods are measured from the “filing” date rather than the receipt date for NDAs for new molecular entities, which typically adds approximately two months to the timeline for review and decision from the date of submission. Products that are eligible for fast track designation are also likely to be considered appropriate to receive a priority review.</w:t>
      </w:r>
    </w:p>
    <w:p>
      <w:pPr>
        <w:spacing w:after="0" w:line="214"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In addition, drugs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under the Food and Drug Omnibus Reform Act of 2022 (FDORA), the FDA is now permitted to require, as appropriate, that such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In addition, the FDA generally requires, unless otherwise informed by the agency, pre-approval of promotional materials, which could adversely impact the timing of the commercial launch of the product.</w:t>
      </w:r>
    </w:p>
    <w:p>
      <w:pPr>
        <w:spacing w:after="0" w:line="23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Moreover, a sponsor can request designation of a drug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and priority review. The FDA must take certain actions, such as holding timely meetings and</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providing advice, intended to expedite the development and review of an application for approval of a breakthrough therapy.</w:t>
      </w:r>
    </w:p>
    <w:p>
      <w:pPr>
        <w:spacing w:after="0" w:line="20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Additionally, under FDORA, a platform technology incorporated within or utilized by a drug or biological product is eligible for designation as a designated platform technology if (1) the platform technology is incorporated in, or utilized by, a drug approved under an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NDA for a drug that uses or incorporates the platform technology. Designated platform technology status does not ensure that a drug will be developed more quickly or receive FDA approval.</w:t>
      </w:r>
    </w:p>
    <w:p>
      <w:pPr>
        <w:spacing w:after="0" w:line="23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Even if a product candidate or our platform qualifies for one or more of these programs, the FDA may later decide that the product candidate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Pediatric Trials</w:t>
      </w:r>
    </w:p>
    <w:p>
      <w:pPr>
        <w:spacing w:after="0" w:line="25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 sponsor who is planning to submit a marketing application for a drug that includes a new active ingredient, new indication, new dosage form, new dosing regimen or new route of administration must submit an initial Pediatric Study Plan, or PSP, within sixty days of an end of 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 upon initial PSP at any time if changes to the pediatric plan need to be considered based on data collected from preclinical studies, early phase clinical trials, and/or other clinical development programs.</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Post-Marketing Requirements</w:t>
      </w:r>
    </w:p>
    <w:p>
      <w:pPr>
        <w:spacing w:after="0" w:line="268"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 to consumer advertising, restrictions on promoting drugs for uses or in patient populations that are not described in the drug’s approved labeling, which is known as “off-label use”,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There are also limitations on industry sponsored scientific and educational activities. Modifications or enhancements to the drug or its labeling or changes of the site of manufacture are often subject to the approval of the FDA and other regulators, which may or may not be received or may result in a lengthy review process. Any distribution of prescription drugs and pharmaceutical samples must comply with the U.S. Prescription Drug Marketing Act, or the PDMA, a part of the FDCA.</w:t>
      </w:r>
    </w:p>
    <w:p>
      <w:pPr>
        <w:spacing w:after="0" w:line="23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the U.S.,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 of our drugs in accordance with cGMP regulations. cGMP regulations require among other things, quality control and</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0" w:lineRule="auto"/>
        <w:rPr>
          <w:sz w:val="20"/>
          <w:szCs w:val="20"/>
          <w:color w:val="auto"/>
        </w:rPr>
      </w:pPr>
      <w:r>
        <w:rPr>
          <w:rFonts w:ascii="Times New Roman" w:cs="Times New Roman" w:eastAsia="Times New Roman" w:hAnsi="Times New Roman"/>
          <w:sz w:val="18"/>
          <w:szCs w:val="18"/>
          <w:color w:val="auto"/>
        </w:rPr>
        <w:t>quality assurance as well as the corresponding maintenance of records and documentation and the obligation to investigate and correct any deviations from cGMP. Drug manufacturers and other entities involved in the manufacture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cGMP and other laws. Additionally, manufacturers and other parties involved in the drug supply chain for prescription drug products must also comply with product tracking and tracing requirements and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36" w:lineRule="exact"/>
        <w:rPr>
          <w:sz w:val="20"/>
          <w:szCs w:val="20"/>
          <w:color w:val="auto"/>
        </w:rPr>
      </w:pPr>
    </w:p>
    <w:p>
      <w:pPr>
        <w:jc w:val="both"/>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FDA also may require post-approval commitments, which may include testing that are sometimes referred to as post-marketing studies or clinical studies, risk minimization action plans and post-marketing surveillance to monitor the effects of an approved drug or place conditions on an approval that could restrict the distribution or use of the drug.</w:t>
      </w:r>
    </w:p>
    <w:p>
      <w:pPr>
        <w:spacing w:after="0" w:line="1" w:lineRule="exact"/>
        <w:rPr>
          <w:sz w:val="20"/>
          <w:szCs w:val="20"/>
          <w:color w:val="auto"/>
        </w:rPr>
      </w:pPr>
    </w:p>
    <w:p>
      <w:pPr>
        <w:ind w:left="60" w:right="99"/>
        <w:spacing w:after="0" w:line="249" w:lineRule="auto"/>
        <w:rPr>
          <w:sz w:val="20"/>
          <w:szCs w:val="20"/>
          <w:color w:val="auto"/>
        </w:rPr>
      </w:pPr>
      <w:r>
        <w:rPr>
          <w:rFonts w:ascii="Times New Roman" w:cs="Times New Roman" w:eastAsia="Times New Roman" w:hAnsi="Times New Roman"/>
          <w:sz w:val="18"/>
          <w:szCs w:val="18"/>
          <w:color w:val="auto"/>
        </w:rPr>
        <w:t>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The distribution of pharmaceutical drugs is subject to additional requirements and regulations, including extensive record-keeping, licensing, storage and security requirements intended to prevent the unauthorized sale of pharmaceutical drugs. In addition, under FDORA, sponsors of approved drugs must notify the FDA of any changes in marketing status, such as withdrawal of a drug, within 180 days. If the sponsor fails to meet this marketing status reporting requirement, the FDA could add the applicable products to a list of discontinued products, which would revoke the product’s ability to be marketed.</w:t>
      </w:r>
    </w:p>
    <w:p>
      <w:pPr>
        <w:spacing w:after="0" w:line="225"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Also, new government requirements, including those resulting from new legislation, may be established, or the FDA’s policies may change, which could delay or prevent regulatory approval of our drugs under development.</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Other Regulatory Matters</w:t>
      </w:r>
    </w:p>
    <w:p>
      <w:pPr>
        <w:spacing w:after="0" w:line="254"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drug approval are also subject to regulation by numerous regulatory authorities in addition to the FDA, including, in the U.S.,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well as the 340B drug pricing program administered by the Health Resources Services Administration within the U.S. Department of Health and Human Services as amended by the Health Care and Education Reconciliation Act of 2010, or collectively, the Affordable Care Act, as well as the 340B drug pricing program administered by the Health Resources Services Administration within the U.S. Department of Health and Human Services.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ectPr>
          <w:pgSz w:w="11900" w:h="16838" w:orient="portrait"/>
          <w:cols w:equalWidth="0" w:num="1">
            <w:col w:w="9019"/>
          </w:cols>
          <w:pgMar w:left="1440" w:top="513" w:right="1440" w:bottom="1440" w:gutter="0" w:footer="0" w:header="0"/>
        </w:sect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failure to comply with regulatory requirements and changes to regulatory requirements subjects firms to possible legal or regulatory action.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U.S. Patent Term Restoration and Marketing Exclusivity</w:t>
      </w:r>
    </w:p>
    <w:p>
      <w:pPr>
        <w:spacing w:after="0" w:line="268"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21" w:lineRule="exact"/>
        <w:rPr>
          <w:sz w:val="20"/>
          <w:szCs w:val="20"/>
          <w:color w:val="auto"/>
        </w:rPr>
      </w:pPr>
    </w:p>
    <w:p>
      <w:pPr>
        <w:ind w:left="60" w:right="79" w:firstLine="648"/>
        <w:spacing w:after="0" w:line="249" w:lineRule="auto"/>
        <w:rPr>
          <w:sz w:val="20"/>
          <w:szCs w:val="20"/>
          <w:color w:val="auto"/>
        </w:rPr>
      </w:pPr>
      <w:r>
        <w:rPr>
          <w:rFonts w:ascii="Times New Roman" w:cs="Times New Roman" w:eastAsia="Times New Roman" w:hAnsi="Times New Roman"/>
          <w:sz w:val="18"/>
          <w:szCs w:val="18"/>
          <w:color w:val="auto"/>
        </w:rPr>
        <w:t>Marketing exclusivity provisions under the FDCA can also delay the submission or the approval of certain marketing applications. The FDCA provides a five-year period of non-patent marketing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Orphan drug exclusivity, as described below, may offer a seven-year period of marketing exclusivity, except in certain circumstances. Pediatric exclusivity is another type of regulatory market exclusivity in the U.S. Pediatric exclusivity, if granted, adds six months to existing exclusivity periods for all formulations, dosage forms, and indications of the active moiety and patent terms. This six month exclusivity, which runs from the end of other exclusivity protection or patent term, may be granted based on the voluntary completion of a pediatric trial in accordance with an FDA issued “Written Request” for such a trial, provided that at the time pediatric exclusivity is granted there is not less than nine months of term remaining.</w:t>
      </w:r>
    </w:p>
    <w:p>
      <w:pPr>
        <w:spacing w:after="0" w:line="2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5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FDA may grant orphan drug designation to drugs intended to treat a rare disease or condition that affects fewer than 200,000 individuals in the U.S., or if it affects more than 200,000 individuals in the U.S., there is no reasonable expectation that the cost of developing and marketing the drug for this type of disease or condition will be recovered from sales in the U.S. In the EU, the European Commission, after receiving the opinion of the EMA’s Committee for Orphan Medicinal Products, or COMP, grants orphan medicinal product designation in respect of products that are intended for the diagnosis, prevention or treatment of a life threatening or chronically debilitating</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74" w:lineRule="auto"/>
        <w:rPr>
          <w:sz w:val="20"/>
          <w:szCs w:val="20"/>
          <w:color w:val="auto"/>
        </w:rPr>
      </w:pPr>
      <w:r>
        <w:rPr>
          <w:rFonts w:ascii="Times New Roman" w:cs="Times New Roman" w:eastAsia="Times New Roman" w:hAnsi="Times New Roman"/>
          <w:sz w:val="17"/>
          <w:szCs w:val="17"/>
          <w:color w:val="auto"/>
        </w:rPr>
        <w:t>condition affecting not more than five in 10,000 persons in the EU. In addition, designation may be granted for products intended for the diagnosis, prevention or treatment of a life threatening, seriously debilitating or serious and chronic condition when, without incentives, it is unlikely that sales of the drug in the EU would be sufficient to justify the necessary investment in developing the drug or biological product. In each case, there must be no satisfactory method of diagnosis, prevention or treatment of the applicable condition authorized for marketing in the EU, or, if such a method exists, the sponsor must establish that its product would be of significant benefit to those affected by the condition.</w:t>
      </w:r>
    </w:p>
    <w:p>
      <w:pPr>
        <w:spacing w:after="0" w:line="200" w:lineRule="exact"/>
        <w:rPr>
          <w:sz w:val="20"/>
          <w:szCs w:val="20"/>
          <w:color w:val="auto"/>
        </w:rPr>
      </w:pPr>
    </w:p>
    <w:p>
      <w:pPr>
        <w:ind w:left="60" w:right="119" w:firstLine="648"/>
        <w:spacing w:after="0" w:line="277" w:lineRule="auto"/>
        <w:rPr>
          <w:sz w:val="20"/>
          <w:szCs w:val="20"/>
          <w:color w:val="auto"/>
        </w:rPr>
      </w:pPr>
      <w:r>
        <w:rPr>
          <w:rFonts w:ascii="Times New Roman" w:cs="Times New Roman" w:eastAsia="Times New Roman" w:hAnsi="Times New Roman"/>
          <w:sz w:val="17"/>
          <w:szCs w:val="17"/>
          <w:color w:val="auto"/>
        </w:rPr>
        <w:t>In the U.S.,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9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the EU, orphan medicinal product designation also entitles a party to financial incentives such as reduction of fees or fee waivers and ten years of market exclusivity is granted following drug or biological product approval. This period may be reduced to six years if, at the end of the fifth year, it is established that the orphan designation criteria are no longer met, including where it is shown that the product is sufficiently profitable not to justify maintenance of market exclusivity.</w:t>
      </w:r>
    </w:p>
    <w:p>
      <w:pPr>
        <w:spacing w:after="0" w:line="210"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Rare Pediatric Disease Designation and Priority Review Vouchers</w:t>
      </w:r>
    </w:p>
    <w:p>
      <w:pPr>
        <w:spacing w:after="0" w:line="254"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Under the FDCA, the FDA incentivizes the development of drugs products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product for such disease or condition will be received from sales in the United States of such drug product. The sponsor of a product candidate for a rare pediatric disease may be eligible for a voucher that can be used to obtain a priority review for a subsequent human drug product application after the date of approval of the rare pediatric disease drug product, referred to as a priority review voucher, or PRV. A sponsor may request rare pediatric disease designation from the FDA prior to the submission of its NDA. A rare pediatric disease designation does not guarantee that a sponsor will receive a PRV upon approval of its NDA.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through September 30, 2024, with the potential for PRVs to be granted through September 30, 2026.</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w:t>
      </w:r>
    </w:p>
    <w:p>
      <w:pPr>
        <w:spacing w:after="0" w:line="256" w:lineRule="exact"/>
        <w:rPr>
          <w:sz w:val="20"/>
          <w:szCs w:val="20"/>
          <w:color w:val="auto"/>
        </w:rPr>
      </w:pPr>
    </w:p>
    <w:p>
      <w:pPr>
        <w:ind w:left="60" w:right="339" w:firstLine="648"/>
        <w:spacing w:after="0" w:line="312" w:lineRule="auto"/>
        <w:rPr>
          <w:sz w:val="20"/>
          <w:szCs w:val="20"/>
          <w:color w:val="auto"/>
        </w:rPr>
      </w:pPr>
      <w:r>
        <w:rPr>
          <w:rFonts w:ascii="Times New Roman" w:cs="Times New Roman" w:eastAsia="Times New Roman" w:hAnsi="Times New Roman"/>
          <w:sz w:val="17"/>
          <w:szCs w:val="17"/>
          <w:color w:val="auto"/>
        </w:rPr>
        <w:t>In the EU, our future drugs may also be subject to extensive regulatory requirements. As in the U.S., medicinal products can only be marketed if a marketing authorization from the competent regulatory agencies has been obtained.</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25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April 2014, the EU adopted a new Clinical Trials Regulation (EU) No 536/2014, or the Clinical Trials Regulation, which replaced the previous Clinical Trials Directive 2001/20/EC on January 31, 2022. The Clinical Trials Regulation is directly applicable in all EU Member States meaning no national implementing legislation in each EU Member State is required. The legislation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Drug Review and Approval</w:t>
      </w:r>
    </w:p>
    <w:p>
      <w:pPr>
        <w:spacing w:after="0" w:line="268"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In the UK and the EU, medicinal products can only be commercialized after obtaining a marketing authorization, or MA. There are two types of MA:</w:t>
      </w:r>
    </w:p>
    <w:p>
      <w:pPr>
        <w:spacing w:after="0" w:line="216"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centralized MA, which is issued by the European Commission through the centralized procedure, based on the opinion of the CHMP of the EMA and which is valid throughout the entire territory of the EU, and in the additional Member States of the EEA. The centralized procedure is mandatory for certain types of products, including medicines produced by certain biotechnological processes, advanced therapy medicinal products (gene-therapy, somatic cell-therapy or tissue-engineered medicines), products designated as orphan medicinal products, and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21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National MAs, which are issued by the competent authorities of the Member States of the EU and only cover their respective territory, are available for products not falling within the mandatory scope of the centralized procedure. Where a product has already been authorized for marketing in a Member State of the EU,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w:t>
      </w:r>
    </w:p>
    <w:p>
      <w:pPr>
        <w:spacing w:after="0" w:line="232"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Under the above described procedures, before granting the MA, the EMA or the competent authorities of the Member States of the EU make an assessment of the risk-benefit balance of the product on the basis of scientific criteria concerning its quality, safety and efficacy.</w:t>
      </w:r>
    </w:p>
    <w:p>
      <w:pPr>
        <w:spacing w:after="0" w:line="203" w:lineRule="exact"/>
        <w:rPr>
          <w:sz w:val="20"/>
          <w:szCs w:val="20"/>
          <w:color w:val="auto"/>
        </w:rPr>
      </w:pPr>
    </w:p>
    <w:p>
      <w:pPr>
        <w:jc w:val="both"/>
        <w:ind w:left="60" w:right="119" w:firstLine="648"/>
        <w:spacing w:after="0" w:line="271" w:lineRule="auto"/>
        <w:rPr>
          <w:sz w:val="20"/>
          <w:szCs w:val="20"/>
          <w:color w:val="auto"/>
        </w:rPr>
      </w:pPr>
      <w:r>
        <w:rPr>
          <w:rFonts w:ascii="Times New Roman" w:cs="Times New Roman" w:eastAsia="Times New Roman" w:hAnsi="Times New Roman"/>
          <w:sz w:val="17"/>
          <w:szCs w:val="17"/>
          <w:color w:val="auto"/>
        </w:rPr>
        <w:t>Now that the UK (which comprises Great Britain and Northern Ireland) has left the EU, Great Britain is no longer covered by centralized MAs (under the Northern Ireland Protocol, centralized MAs continue to be recognized in Northern Ireland). On January 1, 2024, a new international recognition framework was put in place by the MHRA, under which the MHRA may have regard to decisions on the approval of MAs made by the European Medicines Agency and certain other regulators. The MHRA also has the power to have regard to MAs approved in EU Member States through decentralized or mutual recognition procedures with a view to more quickly granting an MA in the United Kingdom or Great Britain.</w:t>
      </w: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Pediatric Investigation Plan</w:t>
      </w:r>
    </w:p>
    <w:p>
      <w:pPr>
        <w:spacing w:after="0" w:line="254"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In the EU, MAAs for new medicinal products have to include the results of studies conducted in the pediatric population, in compliance with a pediatric investigation plan, or PIP, agreed with the EMA’s Pediatric Committee, or PDCO,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PIP sets out the timing and measures proposed to generate data to support a pediatric indication of the product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If an MA is obtained and trial results are included in the product information, even when negative, the product is eligible for six-months’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268" w:lineRule="exact"/>
        <w:rPr>
          <w:sz w:val="20"/>
          <w:szCs w:val="20"/>
          <w:color w:val="auto"/>
        </w:rPr>
      </w:pPr>
    </w:p>
    <w:p>
      <w:pPr>
        <w:ind w:left="60" w:right="79" w:firstLine="648"/>
        <w:spacing w:after="0" w:line="265" w:lineRule="auto"/>
        <w:rPr>
          <w:sz w:val="20"/>
          <w:szCs w:val="20"/>
          <w:color w:val="auto"/>
        </w:rPr>
      </w:pPr>
      <w:r>
        <w:rPr>
          <w:rFonts w:ascii="Times New Roman" w:cs="Times New Roman" w:eastAsia="Times New Roman" w:hAnsi="Times New Roman"/>
          <w:sz w:val="17"/>
          <w:szCs w:val="17"/>
          <w:color w:val="auto"/>
        </w:rPr>
        <w:t>In the EU, innovative medicinal products approved on the basis of a complete and independent data package qualify for eight years of data exclusivity upon marketing authorization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(abbreviated) marketing authorization for eight years from the date on which the reference product was first authorized in the EU. During an additional two-year period of market exclusivity, a generic or biosimilar marketing authorization application can be submitted, and the innovator’s data may be referenced, but no generic or biosimilar medicinal product can be placed on the EU market until the expiration of the market exclusivity. The overall ten-year period may be extended to a maximum of</w:t>
      </w:r>
    </w:p>
    <w:p>
      <w:pPr>
        <w:spacing w:after="0" w:line="6" w:lineRule="exact"/>
        <w:rPr>
          <w:sz w:val="20"/>
          <w:szCs w:val="20"/>
          <w:color w:val="auto"/>
        </w:rPr>
      </w:pPr>
    </w:p>
    <w:p>
      <w:pPr>
        <w:ind w:left="60" w:right="119"/>
        <w:spacing w:after="0" w:line="249" w:lineRule="auto"/>
        <w:rPr>
          <w:sz w:val="20"/>
          <w:szCs w:val="20"/>
          <w:color w:val="auto"/>
        </w:rPr>
      </w:pPr>
      <w:r>
        <w:rPr>
          <w:rFonts w:ascii="Times New Roman" w:cs="Times New Roman" w:eastAsia="Times New Roman" w:hAnsi="Times New Roman"/>
          <w:sz w:val="18"/>
          <w:szCs w:val="18"/>
          <w:color w:val="auto"/>
        </w:rPr>
        <w:t>11 years if, during the first eight years of those ten years, the marketing authorization holder obtains an authorization for one or more new therapeutic indications which, during the scientific evaluation prior to their authorization, are determined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could nevertheless also market another version of the product if such company obtained an MA based on an application with a complete and independent data package of pharmaceutical tests, preclinical tests and clinical trials.</w:t>
      </w:r>
    </w:p>
    <w:p>
      <w:pPr>
        <w:spacing w:after="0" w:line="2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54" w:lineRule="exact"/>
        <w:rPr>
          <w:sz w:val="20"/>
          <w:szCs w:val="20"/>
          <w:color w:val="auto"/>
        </w:rPr>
      </w:pPr>
    </w:p>
    <w:p>
      <w:pPr>
        <w:jc w:val="both"/>
        <w:ind w:left="60" w:right="59" w:firstLine="648"/>
        <w:spacing w:after="0" w:line="236"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product can be designated as an orphan medicinal product by the European Commission if its sponsor can establish: that (1) the product is intended for the diagnosis, prevention or treatment of a life-threatening or chronically debilitating condition; (2) either (a) such condition affects no more than five (5) in ten thousand (10,000) persons in the EU when the application is made, or</w:t>
      </w:r>
    </w:p>
    <w:p>
      <w:pPr>
        <w:spacing w:after="0" w:line="2" w:lineRule="exact"/>
        <w:rPr>
          <w:sz w:val="20"/>
          <w:szCs w:val="20"/>
          <w:color w:val="auto"/>
        </w:rPr>
      </w:pPr>
    </w:p>
    <w:p>
      <w:pPr>
        <w:jc w:val="both"/>
        <w:ind w:left="60" w:right="59" w:hanging="10"/>
        <w:spacing w:after="0" w:line="236" w:lineRule="auto"/>
        <w:tabs>
          <w:tab w:leader="none" w:pos="3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method exists, the product will be of significant benefit to those affected by that condition. Orphan medicinal products are eligible for financial incentives such as reduction of fees or fee waivers. 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79" w:lineRule="exact"/>
        <w:rPr>
          <w:sz w:val="20"/>
          <w:szCs w:val="20"/>
          <w:color w:val="auto"/>
        </w:rPr>
      </w:pPr>
    </w:p>
    <w:p>
      <w:pPr>
        <w:jc w:val="both"/>
        <w:ind w:left="60" w:right="59" w:firstLine="648"/>
        <w:spacing w:after="0"/>
        <w:rPr>
          <w:sz w:val="20"/>
          <w:szCs w:val="20"/>
          <w:color w:val="auto"/>
        </w:rPr>
      </w:pPr>
      <w:r>
        <w:rPr>
          <w:rFonts w:ascii="Times New Roman" w:cs="Times New Roman" w:eastAsia="Times New Roman" w:hAnsi="Times New Roman"/>
          <w:sz w:val="18"/>
          <w:szCs w:val="18"/>
          <w:color w:val="auto"/>
        </w:rPr>
        <w:t>Products receiving orphan designation in the EU can receive ten years of market exclusivity, during which time no “similar medicinal product” may be placed on the market in the EU. A “similar medicinal product” is defined as a medicinal product containing a similar active substance or substances as contained in an authorized orphan medicinal product, and which is intended for the same therapeutic indication.</w:t>
      </w:r>
    </w:p>
    <w:p>
      <w:pPr>
        <w:spacing w:after="0" w:line="185" w:lineRule="exact"/>
        <w:rPr>
          <w:sz w:val="20"/>
          <w:szCs w:val="20"/>
          <w:color w:val="auto"/>
        </w:rPr>
      </w:pPr>
    </w:p>
    <w:p>
      <w:pPr>
        <w:jc w:val="both"/>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However, a marketing authorization may be granted to a similar medicinal product with the same indication an authorized orphan product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indication if the applicant can establish that its similar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Regulatory Requirements After a Marketing Authorization has been Obtained</w:t>
      </w:r>
    </w:p>
    <w:p>
      <w:pPr>
        <w:spacing w:after="0" w:line="254" w:lineRule="exact"/>
        <w:rPr>
          <w:sz w:val="20"/>
          <w:szCs w:val="20"/>
          <w:color w:val="auto"/>
        </w:rPr>
      </w:pPr>
    </w:p>
    <w:p>
      <w:pPr>
        <w:ind w:left="60" w:right="499" w:firstLine="648"/>
        <w:spacing w:after="0" w:line="250" w:lineRule="auto"/>
        <w:rPr>
          <w:sz w:val="20"/>
          <w:szCs w:val="20"/>
          <w:color w:val="auto"/>
        </w:rPr>
      </w:pPr>
      <w:r>
        <w:rPr>
          <w:rFonts w:ascii="Times New Roman" w:cs="Times New Roman" w:eastAsia="Times New Roman" w:hAnsi="Times New Roman"/>
          <w:sz w:val="18"/>
          <w:szCs w:val="18"/>
          <w:color w:val="auto"/>
        </w:rPr>
        <w:t>If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69" w:lineRule="exact"/>
        <w:rPr>
          <w:sz w:val="20"/>
          <w:szCs w:val="20"/>
          <w:color w:val="auto"/>
        </w:rPr>
      </w:pPr>
    </w:p>
    <w:p>
      <w:pPr>
        <w:ind w:left="1340" w:right="179" w:hanging="324"/>
        <w:spacing w:after="0" w:line="250"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68" w:lineRule="exact"/>
        <w:rPr>
          <w:rFonts w:ascii="Times New Roman" w:cs="Times New Roman" w:eastAsia="Times New Roman" w:hAnsi="Times New Roman"/>
          <w:sz w:val="18"/>
          <w:szCs w:val="18"/>
          <w:color w:val="auto"/>
        </w:rPr>
      </w:pPr>
    </w:p>
    <w:p>
      <w:pPr>
        <w:ind w:left="1340" w:right="419" w:hanging="324"/>
        <w:spacing w:after="0" w:line="296" w:lineRule="auto"/>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manufacturing of authorized medicinal products, for which a separate manufacturer’s license is mandatory, must also be conducted in strict compliance with the applicable EU laws, regulations and</w:t>
      </w:r>
    </w:p>
    <w:p>
      <w:pPr>
        <w:sectPr>
          <w:pgSz w:w="11900" w:h="16838" w:orient="portrait"/>
          <w:cols w:equalWidth="0" w:num="1">
            <w:col w:w="9019"/>
          </w:cols>
          <w:pgMar w:left="1440" w:top="513" w:right="1440" w:bottom="1440" w:gutter="0" w:footer="0" w:header="0"/>
        </w:sect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40" w:right="79"/>
        <w:spacing w:after="0" w:line="242" w:lineRule="auto"/>
        <w:rPr>
          <w:sz w:val="20"/>
          <w:szCs w:val="20"/>
          <w:color w:val="auto"/>
        </w:rPr>
      </w:pPr>
      <w:r>
        <w:rPr>
          <w:rFonts w:ascii="Times New Roman" w:cs="Times New Roman" w:eastAsia="Times New Roman" w:hAnsi="Times New Roman"/>
          <w:sz w:val="18"/>
          <w:szCs w:val="18"/>
          <w:color w:val="auto"/>
        </w:rPr>
        <w:t>guidance, including Directive 2001/83/EC, Directive 2017/1572,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77" w:lineRule="exact"/>
        <w:rPr>
          <w:sz w:val="20"/>
          <w:szCs w:val="20"/>
          <w:color w:val="auto"/>
        </w:rPr>
      </w:pPr>
    </w:p>
    <w:p>
      <w:pPr>
        <w:ind w:left="1340" w:right="99" w:hanging="324"/>
        <w:spacing w:after="0" w:line="245"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medicinal products, including industry-sponsored continuing medical education and advertising directed toward the prescribers of medicinal products and/or the general public, are strictly regulated in the EU. Direct-to-consumer advertising of prescription medicines is prohibited across the EU.</w:t>
      </w:r>
    </w:p>
    <w:p>
      <w:pPr>
        <w:spacing w:after="0" w:line="181"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EEA, which consists of the EU Member States, plus Iceland, Liechtenstein and Norway.</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Reform of the Regulatory Framework in the European Union</w:t>
      </w:r>
    </w:p>
    <w:p>
      <w:pPr>
        <w:spacing w:after="0" w:line="200"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 law.</w:t>
      </w:r>
    </w:p>
    <w:p>
      <w:pPr>
        <w:spacing w:after="0" w:line="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214" w:lineRule="exact"/>
        <w:rPr>
          <w:sz w:val="20"/>
          <w:szCs w:val="20"/>
          <w:color w:val="auto"/>
        </w:rPr>
      </w:pPr>
    </w:p>
    <w:p>
      <w:pPr>
        <w:ind w:left="60" w:right="59" w:firstLine="648"/>
        <w:spacing w:after="0" w:line="234" w:lineRule="auto"/>
        <w:rPr>
          <w:sz w:val="20"/>
          <w:szCs w:val="20"/>
          <w:color w:val="auto"/>
        </w:rPr>
      </w:pPr>
      <w:r>
        <w:rPr>
          <w:rFonts w:ascii="Times New Roman" w:cs="Times New Roman" w:eastAsia="Times New Roman" w:hAnsi="Times New Roman"/>
          <w:sz w:val="18"/>
          <w:szCs w:val="18"/>
          <w:color w:val="auto"/>
        </w:rPr>
        <w:t>The UK formally left the EU on January 31, 2020, and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Except in respect of the new EU Clinical Trials Regulation, the regulatory regime in Great Britain therefore aligns in many ways with EU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framework mentioned above which was put in place by the MHRA on January 1, 2024, the MHRA may take into account decisions on the approval of a marketing authorization from the EMA (and certain other regulators) when considering an application for a Great Britain marketing authorization.</w:t>
      </w:r>
    </w:p>
    <w:p>
      <w:pPr>
        <w:spacing w:after="0" w:line="22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270"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 and the U.S., such as countries in Eastern Europe, Latin America or Asia,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70"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or PHI, than the federal Health Insurance Portability and Accountability Act of 1996, as amended, and its implanting regulations, which are collectively referred to as HIPAA, and state laws may differ from each other, which may complicate compliance efforts. Entities that are found to be in violation of HIPAA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16"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In addition to federal regulation, many states have begun to focus on efforts to regulate privacy and data security. For example, in California the California Consumer Protection Act, or CCPA, which went into effect on January 1, 2020 and was expanded by the California Consumer Privacy Rights Act, or CPRA, which went into effect on January 1, 2023, collectively establishes a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and for businesses that fail to implement reasonable security procedures and practices to prevent data breaches. Numerous other states have enacted or proposed comprehensive privacy laws that are similar to the CCPA. The California Confidentiality of Medical Information Act also applies to pharmaceutical companies, including requirements for written authorization to use and disclose medical information and restrictions on the circumstances under which medical information can be used for marketing purposes. Furthermore, all fifty states, the District of Columbia, Puerto Rico, and U.S. territories have enacted data breach notification laws. These various state laws differ from one another and impose significant compliance efforts.</w:t>
      </w:r>
    </w:p>
    <w:p>
      <w:pPr>
        <w:spacing w:after="0" w:line="235"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EEA Member States, the UK, Switzerland and other jurisdictions have also adopted data protection laws and regulations, which impose significant compliance obligations. In the EEA and the UK, the collection and use of personal data, including clinical trial data, is governed by the provisions of the General Data Protection Regulation, or GDPR. The GDPR, together with national legislation, regulations and guidelines of the EEA Member States, the UK and Switzerland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the UK or Switzerland, data breach notifications, security and confidentiality, responding and handling data subject rights, ensuring appropriate assessments are carried out on processing operations and documented. Under these laws data protection authorities can impose substantial potential fines for breaches of the data protection obligations. European data protection authorities may interpret the GDPR and national laws differently and impose additional requirements, which add to the complexity of processing personal data in or from the EEA, UK or Switzerland. Guidance on implementation and compliance practices are often updated or otherwise revised. Additionally, multiple jurisdictions outside the EEA, UK, and Switzerland have adopted data protection regulations with similar requirements for companies.</w:t>
      </w:r>
    </w:p>
    <w:p>
      <w:pPr>
        <w:spacing w:after="0" w:line="22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Cybersecurity threats continue to be a concern for all businesses. Cybersecurity events pose a heightened risk to our business as we engage with data often considered sensitive under applicable data protection regulations. We maintain an information security team to protect against and respond to known and unknown security events. In addition to hardening our network and ensuring appropriate internal network settings and controls exist to prevent external actors access to our network, the team assesses vendor risk using industry standard assessment criteria such as requesting SOC2 reports and/or security documentation from a vendor where appropriate. In the event of a cybersecurity incident, the senior vice president of information systems (SVP of IS), with support from the information security team, would be responsible for determining the severity of the incident before escalating it to management for next steps.</w:t>
      </w:r>
    </w:p>
    <w:p>
      <w:pPr>
        <w:sectPr>
          <w:pgSz w:w="11900" w:h="16838" w:orient="portrait"/>
          <w:cols w:equalWidth="0" w:num="1">
            <w:col w:w="9019"/>
          </w:cols>
          <w:pgMar w:left="1440" w:top="513" w:right="1440" w:bottom="1440" w:gutter="0" w:footer="0" w:header="0"/>
        </w:sect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Penetration testing is performed periodically across our network boundaries to identify issues for remediation. Our SVP of IS manages the information security team and reports directly to the chief financial officer and provides quarterly updates to the audit committee, including biannual in-depth updates. In the event of a material cybersecurity event impacting our network or underlying data, the SVP of IS would alert members of management of the event and determine whether to escalate to the audit committee for a materiality determination and next steps based on the severity of the event. For more information, please see “</w:t>
      </w:r>
      <w:r>
        <w:rPr>
          <w:rFonts w:ascii="Times New Roman" w:cs="Times New Roman" w:eastAsia="Times New Roman" w:hAnsi="Times New Roman"/>
          <w:sz w:val="18"/>
          <w:szCs w:val="18"/>
          <w:i w:val="1"/>
          <w:iCs w:val="1"/>
          <w:color w:val="auto"/>
        </w:rPr>
        <w:t>Item 1C, Cybersecurity.</w:t>
      </w:r>
      <w:r>
        <w:rPr>
          <w:rFonts w:ascii="Times New Roman" w:cs="Times New Roman" w:eastAsia="Times New Roman" w:hAnsi="Times New Roman"/>
          <w:sz w:val="18"/>
          <w:szCs w:val="18"/>
          <w:color w:val="auto"/>
        </w:rPr>
        <w:t>”</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56"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Sales of our drugs will depend, in part, on the extent to which our drugs will be covered by third-party payors, such as government health programs, commercial insurance and managed healthcare organizations. In the U.S. and markets in other countries, patients and health care providers generally rely on third-party payors to reimburse all or part of prescription medications and associated healthcare costs. Thus, even if a drug has marketing approval in a country, sales of the drug will depend, in part, on the extent to which third-party payors, including government health programs, including Medicare and Medicaid in the U.S., commercial health insurers and managed care organizations, provide coverage for the cost of the patient’s use of the drug, and establish adequate reimbursement levels for the product. In the U.S.,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may limit coverage to specific products on an approved list, also known as a formulary, which might not include all of the approved products for a particular indication. The insurance coverage and reimbursement status of newly-approved products is uncertain. Failure to obtain or maintain adequate coverage and reimbursement for any of our drug and drug candidates, if approved, could limit our ability to market those products and decrease our ability to generate revenue. Factors payors, including government health programs globally, consider in determining reimbursement are based on whether the product is:</w:t>
      </w:r>
    </w:p>
    <w:p>
      <w:pPr>
        <w:spacing w:after="0" w:line="236" w:lineRule="exact"/>
        <w:rPr>
          <w:sz w:val="20"/>
          <w:szCs w:val="20"/>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6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5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6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5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66"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These third-party payors are increasingly reducing or restricting reimbursements for medical drugs and services. In addition,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usage of such drugs and have a material adverse effect on our sales, results of operations and financial condition.</w:t>
      </w:r>
    </w:p>
    <w:p>
      <w:pPr>
        <w:spacing w:after="0" w:line="231"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w:t>
      </w:r>
    </w:p>
    <w:p>
      <w:pPr>
        <w:spacing w:after="0" w:line="216"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Any negotiated prices for our drugs covered by a Part D prescription drug plan may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236"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w:t>
      </w:r>
    </w:p>
    <w:p>
      <w:pPr>
        <w:spacing w:after="0" w:line="21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noted above, the marketability of any products for which we receive regulatory approval for commercial sale may suffer if the government and third-party payors fail to provide coverage and reimbursement. Obtaining coverage and reimbursement for newly approved drugs and biologics is a time-consuming and costly process, and coverage may be more limited than the purposes for which a drug is approved by the FDA or comparable foreign regulatory authorities. Assuming coverage is obtained for a given product by a third-party payor, the resulting reimbursement payment rates may not be adequate or may require co-payments that patients find unacceptably high. Additionally, coverage policies and third-party reimbursement rates may change at any time. Patients who are prescribed medications for the treatment of their conditions, and their prescribing physicians, generally rely on third-party payors to reimburse all or part of the costs associated with their prescription drugs. Patients are unlikely to use products unless coverage is provided and reimbursement is adequate to cover all or a significant portion of the cost of prescribed products.</w:t>
      </w:r>
    </w:p>
    <w:p>
      <w:pPr>
        <w:spacing w:after="0" w:line="21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 do not follow price structures of the U.S. and generally tend to be significantly lower.</w:t>
      </w:r>
    </w:p>
    <w:p>
      <w:pPr>
        <w:sectPr>
          <w:pgSz w:w="11900" w:h="16838" w:orient="portrait"/>
          <w:cols w:equalWidth="0" w:num="1">
            <w:col w:w="9019"/>
          </w:cols>
          <w:pgMar w:left="1440" w:top="513" w:right="1440" w:bottom="1440" w:gutter="0" w:footer="0" w:header="0"/>
        </w:sect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7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The Affordable Care Act, for example, enacted in 2010, has had a significant impact on the health care industry. The Affordable Care Act expanded coverage for the uninsured while at the same time containing overall healthcare costs. With regard to pharmaceutical products, the Affordable Care Act, among other things,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w:t>
      </w:r>
    </w:p>
    <w:p>
      <w:pPr>
        <w:spacing w:after="0" w:line="214"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In August 2022, the Inflation Reduction Act of 2022, or the IRA, was signed into law.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223"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w:t>
      </w:r>
    </w:p>
    <w:p>
      <w:pPr>
        <w:spacing w:after="0" w:line="162" w:lineRule="exact"/>
        <w:rPr>
          <w:sz w:val="20"/>
          <w:szCs w:val="20"/>
          <w:color w:val="auto"/>
        </w:rPr>
      </w:pPr>
    </w:p>
    <w:p>
      <w:pPr>
        <w:ind w:left="1380" w:right="79" w:hanging="331"/>
        <w:spacing w:after="0" w:line="218" w:lineRule="auto"/>
        <w:tabs>
          <w:tab w:leader="none" w:pos="138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On August 2, 2011, the Budget Control Act of 2011, and subsequent legislation, among other things, included aggregate reductions of Medicare payments to providers of 2% per fiscal year. These reductions went into effect on April 1, 2013 and, due to subsequent legislative amendments to the statute, will remain in effect through 2031.</w:t>
      </w:r>
    </w:p>
    <w:p>
      <w:pPr>
        <w:spacing w:after="0" w:line="199" w:lineRule="exact"/>
        <w:rPr>
          <w:rFonts w:ascii="Times New Roman" w:cs="Times New Roman" w:eastAsia="Times New Roman" w:hAnsi="Times New Roman"/>
          <w:sz w:val="29"/>
          <w:szCs w:val="29"/>
          <w:color w:val="auto"/>
          <w:vertAlign w:val="superscript"/>
        </w:rPr>
      </w:pPr>
    </w:p>
    <w:p>
      <w:pPr>
        <w:ind w:left="1380" w:right="339" w:hanging="331"/>
        <w:spacing w:after="0" w:line="193" w:lineRule="auto"/>
        <w:tabs>
          <w:tab w:leader="none" w:pos="138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On May 23, 2019, CMS published a final rule to allow Medicare Advantage Plans the option of using step therapy for Part B drugs beginning January 1, 2020.</w:t>
      </w:r>
    </w:p>
    <w:p>
      <w:pPr>
        <w:spacing w:after="0" w:line="199" w:lineRule="exact"/>
        <w:rPr>
          <w:rFonts w:ascii="Times New Roman" w:cs="Times New Roman" w:eastAsia="Times New Roman" w:hAnsi="Times New Roman"/>
          <w:sz w:val="29"/>
          <w:szCs w:val="29"/>
          <w:color w:val="auto"/>
          <w:vertAlign w:val="superscript"/>
        </w:rPr>
      </w:pPr>
    </w:p>
    <w:p>
      <w:pPr>
        <w:ind w:left="1380" w:right="119" w:hanging="331"/>
        <w:spacing w:after="0" w:line="233" w:lineRule="auto"/>
        <w:tabs>
          <w:tab w:leader="none" w:pos="138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Creating and Restoring Equal Access to Equivalent Samples Act, or the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spacing w:after="0" w:line="200" w:lineRule="exact"/>
        <w:rPr>
          <w:rFonts w:ascii="Times New Roman" w:cs="Times New Roman" w:eastAsia="Times New Roman" w:hAnsi="Times New Roman"/>
          <w:sz w:val="29"/>
          <w:szCs w:val="29"/>
          <w:color w:val="auto"/>
          <w:vertAlign w:val="superscript"/>
        </w:rPr>
      </w:pPr>
    </w:p>
    <w:p>
      <w:pPr>
        <w:ind w:left="1380" w:right="159" w:hanging="331"/>
        <w:spacing w:after="0" w:line="235" w:lineRule="auto"/>
        <w:tabs>
          <w:tab w:leader="none" w:pos="138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9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In addition, there have been several changes to the 340B drug pricing program, which imposes ceilings on prices that drug manufacturers can charge for medications sold to certain health care facilities. On November 3, 2023, the U.S. District Court of South Carolina issued an opinion in Genesis Healthcare Inc. v. Becerra et al. that may lead to</w:t>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an expansion of the scope of patients eligible to access prescriptions at 340B pricing. The outcome of this judicial proceeding is uncertain. We continue to review developments impacting the 340B program.</w:t>
      </w:r>
    </w:p>
    <w:p>
      <w:pPr>
        <w:spacing w:after="0" w:line="16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There has also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a federal level,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94"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pacing w:after="0" w:line="216" w:lineRule="exact"/>
        <w:rPr>
          <w:sz w:val="20"/>
          <w:szCs w:val="20"/>
          <w:color w:val="auto"/>
        </w:rPr>
      </w:pPr>
    </w:p>
    <w:p>
      <w:pPr>
        <w:ind w:left="60" w:right="139" w:firstLine="648"/>
        <w:spacing w:after="0" w:line="267" w:lineRule="auto"/>
        <w:rPr>
          <w:sz w:val="20"/>
          <w:szCs w:val="20"/>
          <w:color w:val="auto"/>
        </w:rPr>
      </w:pPr>
      <w:r>
        <w:rPr>
          <w:rFonts w:ascii="Times New Roman" w:cs="Times New Roman" w:eastAsia="Times New Roman" w:hAnsi="Times New Roman"/>
          <w:sz w:val="17"/>
          <w:szCs w:val="17"/>
          <w:color w:val="auto"/>
        </w:rPr>
        <w:t>Individual states in the U.S. have also become increasingly active in passing legislation and implementing regulations designed to control pharmaceutical and biological product pricing, including price or reimbursement constraints, discounts, restrictions on certain drug access, marketing cost disclosure, comprehensive price transparency disclosure requirements,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16"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7"/>
          <w:szCs w:val="17"/>
          <w:color w:val="auto"/>
        </w:rPr>
        <w:t>In addition, in some foreign countries, the proposed pricing for a drug must be approved before it may be lawfully marketed. The requirements governing drug pricing vary widely from country to country. Many foreign countries’ health authorities are authorized to restrict the range of medicinal drugs for which their national health insurance systems provide reimbursement to control the prices of medicinal drugs for human use. In addition, countries may approve a specific price for the medicinal drug or it may instead adopt a system of direct or indirect controls on the profitability of the company placing the drug on the market. There can be no assurance that any country that has price controls or reimbursement limitations for pharmaceutical drugs will allow favorable reimbursement and pricing arrangements for any of our drugs. Historically, drugs launched in Europe do not follow price structures of the U.S. and generally tend to be significantly lower. More recently, developments in Europe include reforms to national reimbursement and pricing in Germany, France, Italy and the UK, that are expected to increase pressure on prices. For example, the German Federal Ministry of Health announced the SHI Financial Stabilisation Act which includes an extension of price moratorium for another 4 years, increases manufacturer mandatory discounts, and other measures intended to generate savings. Additionally, there is increased interest in cross-border collaboration on technology assessments, data/knowledge sharing, and group price negotiations as a means of controlling costs, such as the Beneluxa Initiative which includes Belgium, Luxembourg, the Netherlands, Austria and Ireland, and also the Nordic Pharmaceutical Forum.</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56"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may also be subject to healthcare regulation and enforcement by the federal government and the states and foreign governments where we may market our drug candidates, if approved. These laws include, without limitation, fraud and abuse, false claims, privacy and data security, and sunshine laws and regulations. Many of which differ from each other in significant ways, thus complicating compliance efforts.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For example, in the United States, the federal Anti-Kickback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or civil monetary penalties. The majority of states also have anti-kickback laws, which establish similar prohibitions and, in some cases, may apply to items or services reimbursed by any third-party payor, including commercial insurers.</w:t>
      </w:r>
    </w:p>
    <w:p>
      <w:pPr>
        <w:spacing w:after="0" w:line="215"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In addition, the federal civil and criminal False Claims Act prohibits, among other things,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drug for unapproved uses and other sales and marketing practices.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3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28"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234"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We may be subject to consumer protection and unfair competition laws enacted at the country and state level, which broadly regulate marketplace activities and activities that potentially harm consumers.</w:t>
      </w:r>
    </w:p>
    <w:p>
      <w:pPr>
        <w:spacing w:after="0" w:line="216" w:lineRule="exact"/>
        <w:rPr>
          <w:sz w:val="20"/>
          <w:szCs w:val="20"/>
          <w:color w:val="auto"/>
        </w:rPr>
      </w:pPr>
    </w:p>
    <w:p>
      <w:pPr>
        <w:ind w:left="60" w:right="319" w:firstLine="648"/>
        <w:spacing w:after="0" w:line="281" w:lineRule="auto"/>
        <w:rPr>
          <w:sz w:val="20"/>
          <w:szCs w:val="20"/>
          <w:color w:val="auto"/>
        </w:rPr>
      </w:pPr>
      <w:r>
        <w:rPr>
          <w:rFonts w:ascii="Times New Roman" w:cs="Times New Roman" w:eastAsia="Times New Roman" w:hAnsi="Times New Roman"/>
          <w:sz w:val="17"/>
          <w:szCs w:val="17"/>
          <w:color w:val="auto"/>
        </w:rPr>
        <w:t>There has also been a recent global trend of increased regulation of payments made to physicians and other healthcare providers. For example, in the United States, the Affordable Care Act, among other things, imposes reporting requirements on drug manufacturers for payments made by them to physicians, certain other licensed healthcare practitioners and teaching hospitals, as well as ownership and investment interests held by physicians and their</w:t>
      </w:r>
    </w:p>
    <w:p>
      <w:pPr>
        <w:sectPr>
          <w:pgSz w:w="11900" w:h="16838" w:orient="portrait"/>
          <w:cols w:equalWidth="0" w:num="1">
            <w:col w:w="9019"/>
          </w:cols>
          <w:pgMar w:left="1440" w:top="513" w:right="1440" w:bottom="1440" w:gutter="0" w:footer="0" w:header="0"/>
        </w:sect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immediate family members. Failure to submit required information may result in civil monetary penalties for all payments, transfers of value or ownership or investment interests that are not timely, accurately and completely reported in an annual submission. Drug manufacturers are required to submit annual reports to the CMS, which publicly posts the data on its website. Certain countries as well as U.S. states also mandate implementation of compliance programs, impose restrictions on drug manufacturer marketing practices and/or require the tracking and reporting of gifts, compensation and other remuneration to physicians.</w:t>
      </w:r>
    </w:p>
    <w:p>
      <w:pPr>
        <w:spacing w:after="0" w:line="214" w:lineRule="exact"/>
        <w:rPr>
          <w:sz w:val="20"/>
          <w:szCs w:val="20"/>
          <w:color w:val="auto"/>
        </w:rPr>
      </w:pPr>
    </w:p>
    <w:p>
      <w:pPr>
        <w:ind w:left="60" w:right="239" w:firstLine="648"/>
        <w:spacing w:after="0" w:line="281" w:lineRule="auto"/>
        <w:rPr>
          <w:sz w:val="20"/>
          <w:szCs w:val="20"/>
          <w:color w:val="auto"/>
        </w:rPr>
      </w:pPr>
      <w:r>
        <w:rPr>
          <w:rFonts w:ascii="Times New Roman" w:cs="Times New Roman" w:eastAsia="Times New Roman" w:hAnsi="Times New Roman"/>
          <w:sz w:val="17"/>
          <w:szCs w:val="17"/>
          <w:color w:val="auto"/>
        </w:rPr>
        <w:t>We are also subject to federal price reporting laws, which require manufacturers to calculate and report complex pricing metrics to government programs, where such reported prices may be used in the calculation of reimbursement and/or discounts on approved products. Likewise, we must comply with federal consumer protection and unfair competition laws. These laws broadly regulate marketplace activities and activities that potentially harm consumers.</w:t>
      </w:r>
    </w:p>
    <w:p>
      <w:pPr>
        <w:spacing w:after="0" w:line="191"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Additionally, we may be subject to analogous state and foreign laws and regulations, such as fraud and abuse, anti-kickback, false claims laws,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Such laws are enforced by various governmental agencies and through private actions. Some laws require pharmaceutical companies to comply with the pharmaceutical industry’s voluntary compliance guidelines and the relevant country-level government compliance guidance that otherwise restricts payments that may be made to healthcare providers and other potential referral sources, require drug manufacturers to report information related to pricing and marketing information, such as the tracking and reporting of gifts, compensations, and other remuneration and items of value provided to physicians and other healthcare providers and entities, require the registration of pharmaceutical sales representatives, and restrict marketing practices or require disclosure of marketing expenditures.</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7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provide an inclusive, collaborative and safe work environment for our employees, who enjoy innovative work and development opportunities. As of January 31, 2024, we had 655 full- and part-time employees globally, approximately 582 of whom are employed in the U.S. and approximately 73 are employed in foreign countries. Of those employees, 367 are engaged in research and development activities and 208 hold Doctorate or Master’s degrees. To allow us flexibility in meeting varying workflow demands, we also engage consultants and temporary workers when needed.</w:t>
      </w:r>
    </w:p>
    <w:p>
      <w:pPr>
        <w:spacing w:after="0" w:line="228"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believe our employees are among the most important assets to our company and are key to achieving our goals and expectations. Accordingly, we focus significant attention on attracting and retaining talented individuals. Our management teams and function leaders regularly review employee engagement and satisfaction surveys and monitor employee turnover rates. To recruit and retain our employees, we offer robust compensation packages, including competitive base pay, incentive compensation and equity programs, and provide a broad range of benefits, including 401(k) plan (pension outside the U.S.), healthcare and insurance benefits, paid time off, paid family and medical leave, flexible work schedules, and various innovative health and wellness programs. In addition, we are committed to the professional development of our employees, who can take advantage of various learning opportunities, such as our mentorship, lunch &amp; learn and skill builder accelerator programs, as well as various training programs.</w:t>
      </w:r>
    </w:p>
    <w:p>
      <w:pPr>
        <w:spacing w:after="0" w:line="218"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None of our U.S. employees are represented by a labor union or covered by a collective bargaining agreement. Outside the U.S., our employees in France, Germany and Italy, respectively, are covered by a collective bargaining agreement applicable to our industry as required by applicable local law. We consider our relationship with our employees to be good.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7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were incorporated in the State of Delaware in October 2008 under the name ImmunoCo, Inc. In May 2010, we changed our name to Hoyle Pharmaceuticals, Inc., and in June 2011, we changed our name again to Blueprint Medicines Corporation. Our principal executive offices are located at 45 Sidney Street, Cambridge, Massachusetts 02139, and our telephone number is (617) 374-7580.</w:t>
      </w: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270"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Our Internet website address is http://www.blueprintmedicines.com. The information contained on, or that can be accessed through, our website is not a part of or incorporated by reference in this Annual Report on Form 10-K. We have included our website address in this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“Investors—SEC Filings” section of our website as soon as reasonably practicable after we electronically file such reports with, or furnish such reports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review our electronically filed reports and other information that we file with the SEC on the SEC’s website at http://www.sec.gov.</w:t>
      </w:r>
    </w:p>
    <w:p>
      <w:pPr>
        <w:spacing w:after="0" w:line="234"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information to our investors using one or more of the following: SEC filings, press releases, public conference calls and webcasts and our corporate website (https://www.blueprintmedicines.com/), including without limitation the “Investors &amp; Media” and “Presentations &amp; Publications” sections of our website. We use these channels, as well as social media channels such as Twitter (@BlueprintMeds) and LinkedIn, to communicate with the public about our company, our business, our approved drugs and drug candidates and other matters. It is possible that the information we post on our corporate website or other social media could be deemed to be material information. Therefore, we encourage investors, the media, and others interested in our company to review the information we post on the “Investors &amp; Media” and “Presentations &amp; Publications” sections of our corporate website and on the social media channels listed on the “Investors &amp; Media” section of our corporate website. The contents of our corporate website and social media channels are not, however, a part of this Annual Report on Form 10-K.</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We believe the risks described below include risks that are material to us as well as other risks that may adversely affect our business, financial condition, results of operations and growth prospects. Please see review the discussion regarding some of the forward-looking statements that are qualified by these risk factors contained elsewhere in this Annual Report on Form 10-K. If any of the following risks occur, our business, financial condition, results of operations and future growth prospects could be materially and adversely affected.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 the process of growing as a commercial company and the marketing and sale of AYVAKIT/AYVAKYT or any future approved drugs may be unsuccessful or less successful than anticipated.</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have two approved precision therapies, AYVAKIT/AYVAKYT and GAVRETO. While we have been commercializing AYVAKIT in the U.S. and AYVAKYT in Europe and were co-commercializing GAVRETO with Roche in the U.S., we only have several years’ experience as a commercial company, and we have a limited track record demonstrating our ability to successfully overcome the many of the risks and uncertainties encountered by companies commercializing drugs in the biopharmaceutical industry. Marketing applications for avapritinib and pralsetinib are currently under review or planned globally. To execute our business plan, in addition to successfully marketing and selling our approved drugs, we will need to successfully:</w:t>
      </w:r>
    </w:p>
    <w:p>
      <w:pPr>
        <w:spacing w:after="0" w:line="187" w:lineRule="exact"/>
        <w:rPr>
          <w:sz w:val="20"/>
          <w:szCs w:val="20"/>
          <w:color w:val="auto"/>
        </w:rPr>
      </w:pPr>
    </w:p>
    <w:p>
      <w:pPr>
        <w:ind w:left="1340" w:right="139" w:hanging="318"/>
        <w:spacing w:after="0" w:line="266"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our relationships with healthcare providers who will be treating patients who may receive our drugs and any future drugs;</w:t>
      </w:r>
    </w:p>
    <w:p>
      <w:pPr>
        <w:spacing w:after="0" w:line="175" w:lineRule="exact"/>
        <w:rPr>
          <w:rFonts w:ascii="Times New Roman" w:cs="Times New Roman" w:eastAsia="Times New Roman" w:hAnsi="Times New Roman"/>
          <w:sz w:val="18"/>
          <w:szCs w:val="18"/>
          <w:color w:val="auto"/>
        </w:rPr>
      </w:pPr>
    </w:p>
    <w:p>
      <w:pPr>
        <w:ind w:left="1340" w:right="519" w:hanging="318"/>
        <w:spacing w:after="0" w:line="282"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adequate pricing and reimbursement for AYVAKIT/AYVAKYT and any future drugs;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159" w:hanging="318"/>
        <w:spacing w:after="0" w:line="266" w:lineRule="auto"/>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regulatory acceptance for the development and commercialization of current or future drug candidates in our pipeline, including for additional indications or in additional geographies for marketed drugs in our portfolio;</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key collaborations;</w:t>
      </w:r>
    </w:p>
    <w:p>
      <w:pPr>
        <w:spacing w:after="0" w:line="225" w:lineRule="exact"/>
        <w:rPr>
          <w:rFonts w:ascii="Times New Roman" w:cs="Times New Roman" w:eastAsia="Times New Roman" w:hAnsi="Times New Roman"/>
          <w:sz w:val="18"/>
          <w:szCs w:val="18"/>
          <w:color w:val="auto"/>
        </w:rPr>
      </w:pPr>
    </w:p>
    <w:p>
      <w:pPr>
        <w:ind w:left="1340" w:right="419" w:hanging="318"/>
        <w:spacing w:after="0" w:line="282" w:lineRule="auto"/>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global operations or enter into collaboration, partnerships or distribution arrangements in geographies where we may not have current operations or expertise; and</w:t>
      </w:r>
    </w:p>
    <w:p>
      <w:pPr>
        <w:spacing w:after="0" w:line="161" w:lineRule="exact"/>
        <w:rPr>
          <w:rFonts w:ascii="Times New Roman" w:cs="Times New Roman" w:eastAsia="Times New Roman" w:hAnsi="Times New Roman"/>
          <w:sz w:val="18"/>
          <w:szCs w:val="18"/>
          <w:color w:val="auto"/>
        </w:rPr>
      </w:pPr>
    </w:p>
    <w:p>
      <w:pPr>
        <w:ind w:left="1340" w:right="519" w:hanging="318"/>
        <w:spacing w:after="0" w:line="266" w:lineRule="auto"/>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marketing approvals, and commercialization.</w:t>
      </w:r>
    </w:p>
    <w:p>
      <w:pPr>
        <w:spacing w:after="0" w:line="176"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commercialize our current or future approved drugs, develop current or future drug candidates, expand our business or continue our operations.</w:t>
      </w:r>
    </w:p>
    <w:p>
      <w:pPr>
        <w:spacing w:after="0" w:line="172" w:lineRule="exact"/>
        <w:rPr>
          <w:sz w:val="20"/>
          <w:szCs w:val="20"/>
          <w:color w:val="auto"/>
        </w:rPr>
      </w:pPr>
    </w:p>
    <w:p>
      <w:pPr>
        <w:jc w:val="both"/>
        <w:ind w:left="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AYVAKIT/AYVAKYT, as well as any other drugs that we may bring to the market, will depend upon the degree of market acceptance by physicians, patients, third-party payors and others in the medical community.</w:t>
      </w:r>
    </w:p>
    <w:p>
      <w:pPr>
        <w:spacing w:after="0" w:line="161"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AYVAKIT/AYVAKYT,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as well as any current or future drug candidates for which we receive marketing approval, will depend on a number of factors, including:</w:t>
      </w:r>
    </w:p>
    <w:p>
      <w:pPr>
        <w:spacing w:after="0" w:line="183" w:lineRule="exact"/>
        <w:rPr>
          <w:sz w:val="20"/>
          <w:szCs w:val="20"/>
          <w:color w:val="auto"/>
        </w:rPr>
      </w:pPr>
    </w:p>
    <w:p>
      <w:pPr>
        <w:ind w:left="1380" w:hanging="331"/>
        <w:spacing w:after="0"/>
        <w:tabs>
          <w:tab w:leader="none" w:pos="13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potential advantages over alternative treatments;</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the drug’s approved labeling;</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eligible patients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that patients who are prescribed our drugs remain on treatment;</w:t>
      </w:r>
    </w:p>
    <w:p>
      <w:pPr>
        <w:spacing w:after="0" w:line="211" w:lineRule="exact"/>
        <w:rPr>
          <w:rFonts w:ascii="Times New Roman" w:cs="Times New Roman" w:eastAsia="Times New Roman" w:hAnsi="Times New Roman"/>
          <w:sz w:val="18"/>
          <w:szCs w:val="18"/>
          <w:color w:val="auto"/>
        </w:rPr>
      </w:pPr>
    </w:p>
    <w:p>
      <w:pPr>
        <w:ind w:left="1340" w:right="619" w:hanging="318"/>
        <w:spacing w:after="0" w:line="282"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drugs and any current or future drug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current and future drugs, or competing products and treatments;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or reimbursement.</w:t>
      </w:r>
    </w:p>
    <w:p>
      <w:pPr>
        <w:spacing w:after="0" w:line="22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spacing w:after="0" w:line="185"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additional commercial capabilities and infrastructure, we may be unable to generate sufficient revenue to sustain our business.</w:t>
      </w:r>
    </w:p>
    <w:p>
      <w:pPr>
        <w:spacing w:after="0" w:line="159" w:lineRule="exact"/>
        <w:rPr>
          <w:sz w:val="20"/>
          <w:szCs w:val="20"/>
          <w:color w:val="auto"/>
        </w:rPr>
      </w:pPr>
    </w:p>
    <w:p>
      <w:pPr>
        <w:ind w:left="60" w:right="419" w:firstLine="648"/>
        <w:spacing w:after="0" w:line="312" w:lineRule="auto"/>
        <w:rPr>
          <w:sz w:val="20"/>
          <w:szCs w:val="20"/>
          <w:color w:val="auto"/>
        </w:rPr>
      </w:pPr>
      <w:r>
        <w:rPr>
          <w:rFonts w:ascii="Times New Roman" w:cs="Times New Roman" w:eastAsia="Times New Roman" w:hAnsi="Times New Roman"/>
          <w:sz w:val="17"/>
          <w:szCs w:val="17"/>
          <w:color w:val="auto"/>
        </w:rPr>
        <w:t>We continue to build out our commercial capabilities and infrastructures and have been growing our sales and distribution experience and capabilities for marketing and market access. To successfully commercialize our approved</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drugs or any current or future drug candidates for which we receive marketing approval, we will need to continue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drugs include:</w:t>
      </w:r>
    </w:p>
    <w:p>
      <w:pPr>
        <w:spacing w:after="0" w:line="225" w:lineRule="exact"/>
        <w:rPr>
          <w:sz w:val="20"/>
          <w:szCs w:val="20"/>
          <w:color w:val="auto"/>
        </w:rPr>
      </w:pPr>
    </w:p>
    <w:p>
      <w:pPr>
        <w:ind w:left="1340" w:hanging="318"/>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sales and marketing personnel;</w:t>
      </w:r>
    </w:p>
    <w:p>
      <w:pPr>
        <w:spacing w:after="0" w:line="225" w:lineRule="exact"/>
        <w:rPr>
          <w:rFonts w:ascii="Times New Roman" w:cs="Times New Roman" w:eastAsia="Times New Roman" w:hAnsi="Times New Roman"/>
          <w:sz w:val="18"/>
          <w:szCs w:val="18"/>
          <w:color w:val="auto"/>
        </w:rPr>
      </w:pPr>
    </w:p>
    <w:p>
      <w:pPr>
        <w:ind w:left="1340" w:right="499" w:hanging="318"/>
        <w:spacing w:after="0" w:line="266" w:lineRule="auto"/>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to persuade adequate numbers of physicians to prescribe our drugs;</w:t>
      </w:r>
    </w:p>
    <w:p>
      <w:pPr>
        <w:spacing w:after="0" w:line="175" w:lineRule="exact"/>
        <w:rPr>
          <w:rFonts w:ascii="Times New Roman" w:cs="Times New Roman" w:eastAsia="Times New Roman" w:hAnsi="Times New Roman"/>
          <w:sz w:val="18"/>
          <w:szCs w:val="18"/>
          <w:color w:val="auto"/>
        </w:rPr>
      </w:pPr>
    </w:p>
    <w:p>
      <w:pPr>
        <w:ind w:left="1340" w:right="819" w:hanging="318"/>
        <w:spacing w:after="0" w:line="282" w:lineRule="auto"/>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maintaining an independent sales and marketing organization;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to sales and marketing activities.</w:t>
      </w:r>
    </w:p>
    <w:p>
      <w:pPr>
        <w:spacing w:after="0" w:line="225"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spacing w:after="0" w:line="172" w:lineRule="exact"/>
        <w:rPr>
          <w:sz w:val="20"/>
          <w:szCs w:val="20"/>
          <w:color w:val="auto"/>
        </w:rPr>
      </w:pPr>
    </w:p>
    <w:p>
      <w:pPr>
        <w:ind w:left="60" w:right="2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8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precise incidence and/or prevalence for SM, chronic urticaria and other mast cell disorders, CDK2-vulnerable cancers and GIST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spacing w:after="0" w:line="19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Accordingly, the incidence and/or prevalence of the diseases we aim to address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16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developing or discovering drugs before or more successfully than we do.</w:t>
      </w:r>
    </w:p>
    <w:p>
      <w:pPr>
        <w:spacing w:after="0" w:line="19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our areas</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of focus, including allergy/inflammation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w:t>
      </w:r>
    </w:p>
    <w:p>
      <w:pPr>
        <w:spacing w:after="0" w:line="216"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AYVAKIT/AYVAKYT and elenestinib (BLU-263) face competition for advanced SM from Novartis AG’s midostaurin and imatinib, and may face competition from drug candidates in development, including that being developed by Cogent Biosciences, Inc. and Hoth Therapeutics. Avapritinib and elenestinib may face non-advanced SM competition from drug candidates in development, including those being developed by AB Science S.A., Allakos Inc., Cogent Biosciences, Inc., Hoth Therapeutics, Invea Therapeutics Inc., and Theseus Pharmaceuticals Inc.</w:t>
      </w:r>
    </w:p>
    <w:p>
      <w:pPr>
        <w:spacing w:after="0" w:line="21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Cogent Biosciences, Inc., Deciphera Pharmaceuticals, LLC, Exelixis, Inc., Ningbo Tai Kang Medical Technology Co. Ltd. and Xencor, Inc.</w:t>
      </w:r>
    </w:p>
    <w:p>
      <w:pPr>
        <w:spacing w:after="0" w:line="20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BLU-222 for cancers vulnerable to CDK2 inhibition, including CCNE1-aberrant cancers, which, if approved, will face competition from indication-specific therapies such as AstraZeneca’s capivasertib, AstraZeneca and Merck’s olaparib, AstraZeneca and Daiichi Sankyo’s trastuzumab deruxtecan, Clovis Oncology’s rucaparib, Eisai’s lenvatinib, Genentech’s bevacizumab, GSK’s niraparib, GSK’s dostarlimab, Menarini Group &amp; Stemline Therapeutics’ elacestrant, Merck’s pembrolizumab, and Novartis' alpelisib. In addition, BLU-222 may face competition from drug candidates in development, including those being developed by Acrivon Therapeutics, Allorion Therapeutics, Inc., Anrui Biomedical Technology, Arvinas, AstraZeneca plc, Aucentra Therapeutics, Avenzo Therapeutics, Bayer, BeiGene, BioTheryX, Inc., Cedilla Therapeutics, Inc., Cyclacel Pharmaceuticals Inc., Eli Lilly and Company, Ensem Therapeutics, Exelixis, Gilead Sciences, Inc., IMPACT Therapeutics, Inc., Incyclix Bio, LLC, Incyte Corporation, Monte Rosa Therapeutics, Inc., Pfizer Inc., Plexium, Inc., Regor Therapeutics Inc., Relay Therapeutics, Inc., Repare Therapeutics, Inc., Satya Pharma Innovations Pvt. Ltd., and Zentalis Pharmaceuticals, Inc.</w:t>
      </w:r>
    </w:p>
    <w:p>
      <w:pPr>
        <w:spacing w:after="0" w:line="21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are developing BLU-808 for chronic urticaria and other allergy/inflammation disorders, which if approved, will face competition from omalizumab developed by Genentech and Novartis. In addition, BLU-808 may face competition from drug candidates in development for chronic urticaria, including those developed by Allakos Inc., Amgen Inc., AstraZeneca plc, Celldex Therapeutics, Inc., Escient Pharmaceuticals, Inc., Evommune, Inc, Incyte Corp., Jasper Therapeutics, Inc., Modulus Discovery Inc., Novartis AG, Regeneron Pharmaceuticals, Inc., Sanofi S.A., Third Harmonic Bio, Inc, Hangshou Highlightll Pharma, Leo Pharma A/S, Acelyrin Inc., Taiho Pharmaceutical Co., LTD, and Enanta Pharmaceuticals, Inc.</w:t>
      </w:r>
    </w:p>
    <w:p>
      <w:pPr>
        <w:spacing w:after="0" w:line="22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17"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59" w:lineRule="exact"/>
        <w:rPr>
          <w:sz w:val="20"/>
          <w:szCs w:val="20"/>
          <w:color w:val="auto"/>
        </w:rPr>
      </w:pPr>
    </w:p>
    <w:p>
      <w:pPr>
        <w:ind w:left="60" w:right="399" w:firstLine="64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170" w:lineRule="exact"/>
        <w:rPr>
          <w:sz w:val="20"/>
          <w:szCs w:val="20"/>
          <w:color w:val="auto"/>
        </w:rPr>
      </w:pPr>
    </w:p>
    <w:p>
      <w:pPr>
        <w:ind w:left="1380" w:right="899" w:hanging="331"/>
        <w:spacing w:after="0" w:line="282"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approved drugs or drug candidates that we may develop and commercialize;</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approved drugs or drug candidates that we may develop.</w:t>
      </w:r>
    </w:p>
    <w:p>
      <w:pPr>
        <w:spacing w:after="0" w:line="225" w:lineRule="exact"/>
        <w:rPr>
          <w:sz w:val="20"/>
          <w:szCs w:val="20"/>
          <w:color w:val="auto"/>
        </w:rPr>
      </w:pPr>
    </w:p>
    <w:p>
      <w:pPr>
        <w:jc w:val="both"/>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160"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demand for compassionate use of our drug candidates could negatively affect our reputation and harm our business.</w:t>
      </w:r>
    </w:p>
    <w:p>
      <w:pPr>
        <w:spacing w:after="0" w:line="145"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spacing w:after="0" w:line="18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Media attention to individual patients’ expanded access requests has resulted in the introduction and enactment 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prompt adverse publicity or other disruptions related to current or potential participants in such programs.</w:t>
      </w:r>
    </w:p>
    <w:p>
      <w:pPr>
        <w:spacing w:after="0" w:line="221"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single-source third-party suppliers could harm our ability to commercialize our drugs or any drug candidates that may be approved in the future.</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our drugs or any drug candidates that may be approved in the future. We primarily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our drugs or any other drug candidates that may be approved in the future, which could have a material adverse effect on our business as a whole.</w:t>
      </w:r>
    </w:p>
    <w:p>
      <w:pPr>
        <w:spacing w:after="0" w:line="183" w:lineRule="exact"/>
        <w:rPr>
          <w:sz w:val="20"/>
          <w:szCs w:val="20"/>
          <w:color w:val="auto"/>
        </w:rPr>
      </w:pPr>
    </w:p>
    <w:p>
      <w:pPr>
        <w:ind w:left="60" w:right="8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maintain and, if necessary, expand sales and marketing capabilities or enter into agreements with third parties to sell and market our drugs and drug candidates, we may not be successful in commercializing our drugs and drug candidates if and when they are approved.</w:t>
      </w:r>
    </w:p>
    <w:p>
      <w:pPr>
        <w:spacing w:after="0" w:line="1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or a new indication for a drug product for which we establish marketing capabilities is delayed or does not occur for any reason, we would have prematurely or unnecessarily incurred these commercialization expenses, which may be costly.</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w:t>
      </w:r>
    </w:p>
    <w:p>
      <w:pPr>
        <w:spacing w:after="0" w:line="18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If we do not establish, maintain and, if necessary, expand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12"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advance our drug candidates to clinical development, obtain regulatory approval for our drug candidates, including for avapritinib in additional geographies, and ultimately commercialize them, or experience significant delays in doing so, our business will be materially harmed.</w:t>
      </w:r>
    </w:p>
    <w:p>
      <w:pPr>
        <w:spacing w:after="0" w:line="17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Our ability to generate material net cash inflows from our operations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The success of our approved drugs and drug candidates will depend on several factors, including the following:</w:t>
      </w:r>
    </w:p>
    <w:p>
      <w:pPr>
        <w:spacing w:after="0" w:line="189" w:lineRule="exact"/>
        <w:rPr>
          <w:sz w:val="20"/>
          <w:szCs w:val="20"/>
          <w:color w:val="auto"/>
        </w:rPr>
      </w:pPr>
    </w:p>
    <w:p>
      <w:pPr>
        <w:ind w:left="1340" w:right="139" w:hanging="318"/>
        <w:spacing w:after="0" w:line="266"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initiation and completion of, clinical trials, including our ongoing and planned clinical trials for our drugs and drug candidates as monotherapies and in combination with other agents;</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for our other drug candidates;</w:t>
      </w:r>
    </w:p>
    <w:p>
      <w:pPr>
        <w:spacing w:after="0" w:line="225" w:lineRule="exact"/>
        <w:rPr>
          <w:rFonts w:ascii="Times New Roman" w:cs="Times New Roman" w:eastAsia="Times New Roman" w:hAnsi="Times New Roman"/>
          <w:sz w:val="18"/>
          <w:szCs w:val="18"/>
          <w:color w:val="auto"/>
        </w:rPr>
      </w:pPr>
    </w:p>
    <w:p>
      <w:pPr>
        <w:ind w:left="1340" w:right="279" w:hanging="318"/>
        <w:spacing w:after="0" w:line="266"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and transitioning any conditional marketing authorizations to full approvals;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79" w:hanging="318"/>
        <w:spacing w:after="0" w:line="289" w:lineRule="auto"/>
        <w:tabs>
          <w:tab w:leader="none" w:pos="13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spacing w:after="0" w:line="157" w:lineRule="exact"/>
        <w:rPr>
          <w:rFonts w:ascii="Times New Roman" w:cs="Times New Roman" w:eastAsia="Times New Roman" w:hAnsi="Times New Roman"/>
          <w:sz w:val="17"/>
          <w:szCs w:val="17"/>
          <w:color w:val="auto"/>
        </w:rPr>
      </w:pPr>
    </w:p>
    <w:p>
      <w:pPr>
        <w:ind w:left="1340" w:right="239" w:hanging="318"/>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drugs and drug candidates;</w:t>
      </w:r>
    </w:p>
    <w:p>
      <w:pPr>
        <w:spacing w:after="0" w:line="161" w:lineRule="exact"/>
        <w:rPr>
          <w:rFonts w:ascii="Times New Roman" w:cs="Times New Roman" w:eastAsia="Times New Roman" w:hAnsi="Times New Roman"/>
          <w:sz w:val="18"/>
          <w:szCs w:val="18"/>
          <w:color w:val="auto"/>
        </w:rPr>
      </w:pPr>
    </w:p>
    <w:p>
      <w:pPr>
        <w:ind w:left="1340" w:right="99" w:hanging="318"/>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commercialization of our approved drugs and drug candidates, if and when approved, whether alone or in collaboration with others;</w:t>
      </w:r>
    </w:p>
    <w:p>
      <w:pPr>
        <w:spacing w:after="0" w:line="148" w:lineRule="exact"/>
        <w:rPr>
          <w:rFonts w:ascii="Times New Roman" w:cs="Times New Roman" w:eastAsia="Times New Roman" w:hAnsi="Times New Roman"/>
          <w:sz w:val="18"/>
          <w:szCs w:val="18"/>
          <w:color w:val="auto"/>
        </w:rPr>
      </w:pPr>
    </w:p>
    <w:p>
      <w:pPr>
        <w:ind w:left="1340" w:right="299" w:hanging="318"/>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approved drugs and drug candidates, if and when approved, by patients, the medical community and third-party payors;</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drugs and drug candidates following approval.</w:t>
      </w:r>
    </w:p>
    <w:p>
      <w:pPr>
        <w:spacing w:after="0" w:line="225" w:lineRule="exact"/>
        <w:rPr>
          <w:sz w:val="20"/>
          <w:szCs w:val="20"/>
          <w:color w:val="auto"/>
        </w:rPr>
      </w:pPr>
    </w:p>
    <w:p>
      <w:pPr>
        <w:ind w:left="60" w:right="119" w:firstLine="648"/>
        <w:spacing w:after="0" w:line="280" w:lineRule="auto"/>
        <w:rPr>
          <w:sz w:val="20"/>
          <w:szCs w:val="20"/>
          <w:color w:val="auto"/>
        </w:rPr>
      </w:pPr>
      <w:r>
        <w:rPr>
          <w:rFonts w:ascii="Times New Roman" w:cs="Times New Roman" w:eastAsia="Times New Roman" w:hAnsi="Times New Roman"/>
          <w:sz w:val="17"/>
          <w:szCs w:val="17"/>
          <w:color w:val="auto"/>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spacing w:after="0" w:line="16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In addition, current commercially available diagnostic tests to identify appropriate patients for our clinical trials or any approved drug candidates may become unavailable in the future.</w:t>
      </w:r>
    </w:p>
    <w:p>
      <w:pPr>
        <w:spacing w:after="0" w:line="189" w:lineRule="exact"/>
        <w:rPr>
          <w:sz w:val="20"/>
          <w:szCs w:val="20"/>
          <w:color w:val="auto"/>
        </w:rPr>
      </w:pPr>
    </w:p>
    <w:p>
      <w:pPr>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225" w:lineRule="exact"/>
        <w:rPr>
          <w:sz w:val="20"/>
          <w:szCs w:val="20"/>
          <w:color w:val="auto"/>
        </w:rPr>
      </w:pPr>
    </w:p>
    <w:p>
      <w:pPr>
        <w:ind w:left="1380" w:hanging="331"/>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 under study;</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w:t>
      </w:r>
    </w:p>
    <w:p>
      <w:pPr>
        <w:spacing w:after="0" w:line="171"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drug candidates, we will not be able to commercialize, or may be delayed in commercializing, such drug candidates, and our ability to generate revenue will be materially impaired.</w:t>
      </w:r>
    </w:p>
    <w:p>
      <w:pPr>
        <w:spacing w:after="0" w:line="175"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expect to rely on third-party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(PMA),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spacing w:after="0" w:line="190" w:lineRule="exact"/>
        <w:rPr>
          <w:sz w:val="20"/>
          <w:szCs w:val="20"/>
          <w:color w:val="auto"/>
        </w:rPr>
      </w:pPr>
    </w:p>
    <w:p>
      <w:pPr>
        <w:ind w:left="60" w:right="599" w:firstLine="648"/>
        <w:spacing w:after="0" w:line="266" w:lineRule="auto"/>
        <w:rPr>
          <w:sz w:val="20"/>
          <w:szCs w:val="20"/>
          <w:color w:val="auto"/>
        </w:rPr>
      </w:pPr>
      <w:r>
        <w:rPr>
          <w:rFonts w:ascii="Times New Roman" w:cs="Times New Roman" w:eastAsia="Times New Roman" w:hAnsi="Times New Roman"/>
          <w:sz w:val="18"/>
          <w:szCs w:val="18"/>
          <w:color w:val="auto"/>
        </w:rPr>
        <w:t>Our drug candidates could be delayed in receiving, or fail to receive, regulatory approval for many reasons, including the following:</w:t>
      </w:r>
    </w:p>
    <w:p>
      <w:pPr>
        <w:spacing w:after="0" w:line="176" w:lineRule="exact"/>
        <w:rPr>
          <w:sz w:val="20"/>
          <w:szCs w:val="20"/>
          <w:color w:val="auto"/>
        </w:rPr>
      </w:pPr>
    </w:p>
    <w:p>
      <w:pPr>
        <w:ind w:left="1380" w:right="79" w:hanging="331"/>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1380" w:right="619" w:hanging="331"/>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47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61" w:lineRule="exact"/>
        <w:rPr>
          <w:rFonts w:ascii="Times New Roman" w:cs="Times New Roman" w:eastAsia="Times New Roman" w:hAnsi="Times New Roman"/>
          <w:sz w:val="18"/>
          <w:szCs w:val="18"/>
          <w:color w:val="auto"/>
        </w:rPr>
      </w:pPr>
    </w:p>
    <w:p>
      <w:pPr>
        <w:ind w:left="1380" w:right="19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1380" w:right="379" w:hanging="331"/>
        <w:spacing w:after="0" w:line="312" w:lineRule="auto"/>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drug candidates may not be sufficient to support the submission of an NDA or other submission or to obtain regulatory approval in the U.S. or elsewhere;</w:t>
      </w:r>
    </w:p>
    <w:p>
      <w:pPr>
        <w:spacing w:after="0" w:line="139" w:lineRule="exact"/>
        <w:rPr>
          <w:rFonts w:ascii="Times New Roman" w:cs="Times New Roman" w:eastAsia="Times New Roman" w:hAnsi="Times New Roman"/>
          <w:sz w:val="17"/>
          <w:szCs w:val="17"/>
          <w:color w:val="auto"/>
        </w:rPr>
      </w:pPr>
    </w:p>
    <w:p>
      <w:pPr>
        <w:ind w:left="1380" w:right="279" w:hanging="331"/>
        <w:spacing w:after="0" w:line="266"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75"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drugs,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Additionally, the receipt of regulatory approval for one indication does not ensure the likelihood of success for regulatory approval of expanded indications for a marketed product. Any of the foregoing scenarios could materially harm the commercial prospects for our drug candidates.</w:t>
      </w:r>
    </w:p>
    <w:p>
      <w:pPr>
        <w:spacing w:after="0" w:line="18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drug candidates, the commercial prospects for our approved drugs or drug candidates may be harmed and our ability to generate revenues will be materially impaired.</w:t>
      </w:r>
    </w:p>
    <w:p>
      <w:pPr>
        <w:spacing w:after="0" w:line="172"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180"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p>
      <w:pPr>
        <w:spacing w:after="0" w:line="176" w:lineRule="exact"/>
        <w:rPr>
          <w:sz w:val="20"/>
          <w:szCs w:val="20"/>
          <w:color w:val="auto"/>
        </w:rPr>
      </w:pPr>
    </w:p>
    <w:p>
      <w:pPr>
        <w:ind w:left="1380" w:right="119" w:hanging="331"/>
        <w:spacing w:after="0" w:line="266"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may show the drug candidates to be less effective than expected (e.g., a clinical trial could fail to meet its primary endpoint(s)) or to have unacceptable side effects or toxicities;</w:t>
      </w:r>
    </w:p>
    <w:p>
      <w:pPr>
        <w:spacing w:after="0" w:line="175" w:lineRule="exact"/>
        <w:rPr>
          <w:rFonts w:ascii="Times New Roman" w:cs="Times New Roman" w:eastAsia="Times New Roman" w:hAnsi="Times New Roman"/>
          <w:sz w:val="18"/>
          <w:szCs w:val="18"/>
          <w:color w:val="auto"/>
        </w:rPr>
      </w:pPr>
    </w:p>
    <w:p>
      <w:pPr>
        <w:ind w:left="1380" w:right="439" w:hanging="331"/>
        <w:spacing w:after="0" w:line="282"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clinical endpoints that applicable regulatory authorities would consider clinically meaningful;</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w:t>
      </w:r>
    </w:p>
    <w:p>
      <w:pPr>
        <w:spacing w:after="0" w:line="225" w:lineRule="exact"/>
        <w:rPr>
          <w:rFonts w:ascii="Times New Roman" w:cs="Times New Roman" w:eastAsia="Times New Roman" w:hAnsi="Times New Roman"/>
          <w:sz w:val="18"/>
          <w:szCs w:val="18"/>
          <w:color w:val="auto"/>
        </w:rPr>
      </w:pPr>
    </w:p>
    <w:p>
      <w:pPr>
        <w:ind w:left="1380" w:right="299" w:hanging="331"/>
        <w:spacing w:after="0" w:line="282"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issues, formulation issues, pricing or reimbursement issues or other factors that make a drug candidate uneconomical; and</w:t>
      </w:r>
    </w:p>
    <w:p>
      <w:pPr>
        <w:spacing w:after="0" w:line="161" w:lineRule="exact"/>
        <w:rPr>
          <w:rFonts w:ascii="Times New Roman" w:cs="Times New Roman" w:eastAsia="Times New Roman" w:hAnsi="Times New Roman"/>
          <w:sz w:val="18"/>
          <w:szCs w:val="18"/>
          <w:color w:val="auto"/>
        </w:rPr>
      </w:pPr>
    </w:p>
    <w:p>
      <w:pPr>
        <w:ind w:left="1380" w:right="279" w:hanging="331"/>
        <w:spacing w:after="0" w:line="282"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one of our drug candidates from being commercialized.</w:t>
      </w:r>
    </w:p>
    <w:p>
      <w:pPr>
        <w:spacing w:after="0" w:line="16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w:t>
      </w:r>
    </w:p>
    <w:p>
      <w:pPr>
        <w:spacing w:after="0" w:line="18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w:t>
      </w:r>
    </w:p>
    <w:p>
      <w:pPr>
        <w:sectPr>
          <w:pgSz w:w="11900" w:h="16838" w:orient="portrait"/>
          <w:cols w:equalWidth="0" w:num="1">
            <w:col w:w="9019"/>
          </w:cols>
          <w:pgMar w:left="1440" w:top="513" w:right="1440" w:bottom="1440" w:gutter="0" w:footer="0" w:header="0"/>
        </w:sect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patients to complete clinical trials or result in potential product liability claims. Any of these occurrences may harm our business, financial condition and prospects significantly.</w:t>
      </w:r>
    </w:p>
    <w:p>
      <w:pPr>
        <w:spacing w:after="0" w:line="162"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Further, our approved drugs and drug candidates could cause undesirable side effects in preclinical studies or clinical trials related to on-target toxicity. If on-target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8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183" w:lineRule="exact"/>
        <w:rPr>
          <w:sz w:val="20"/>
          <w:szCs w:val="20"/>
          <w:color w:val="auto"/>
        </w:rPr>
      </w:pPr>
    </w:p>
    <w:p>
      <w:pPr>
        <w:ind w:left="1380" w:hanging="331"/>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drug;</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66"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89" w:lineRule="exact"/>
        <w:rPr>
          <w:rFonts w:ascii="Times New Roman" w:cs="Times New Roman" w:eastAsia="Times New Roman" w:hAnsi="Times New Roman"/>
          <w:sz w:val="18"/>
          <w:szCs w:val="18"/>
          <w:color w:val="auto"/>
        </w:rPr>
      </w:pPr>
    </w:p>
    <w:p>
      <w:pPr>
        <w:ind w:left="1380" w:right="239" w:hanging="331"/>
        <w:spacing w:after="0" w:line="266"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89" w:lineRule="exact"/>
        <w:rPr>
          <w:rFonts w:ascii="Times New Roman" w:cs="Times New Roman" w:eastAsia="Times New Roman" w:hAnsi="Times New Roman"/>
          <w:sz w:val="18"/>
          <w:szCs w:val="18"/>
          <w:color w:val="auto"/>
        </w:rPr>
      </w:pPr>
    </w:p>
    <w:p>
      <w:pPr>
        <w:ind w:left="1380" w:right="559" w:hanging="331"/>
        <w:spacing w:after="0" w:line="266"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is distributed or administered, conduct additional clinical trials or change the labeling of such drug;</w:t>
      </w:r>
    </w:p>
    <w:p>
      <w:pPr>
        <w:spacing w:after="0" w:line="189" w:lineRule="exact"/>
        <w:rPr>
          <w:rFonts w:ascii="Times New Roman" w:cs="Times New Roman" w:eastAsia="Times New Roman" w:hAnsi="Times New Roman"/>
          <w:sz w:val="18"/>
          <w:szCs w:val="18"/>
          <w:color w:val="auto"/>
        </w:rPr>
      </w:pPr>
    </w:p>
    <w:p>
      <w:pPr>
        <w:jc w:val="both"/>
        <w:ind w:left="1380" w:right="99" w:hanging="331"/>
        <w:spacing w:after="0" w:line="258"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9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from the marketplace;</w:t>
      </w:r>
    </w:p>
    <w:p>
      <w:pPr>
        <w:spacing w:after="0" w:line="225" w:lineRule="exact"/>
        <w:rPr>
          <w:rFonts w:ascii="Times New Roman" w:cs="Times New Roman" w:eastAsia="Times New Roman" w:hAnsi="Times New Roman"/>
          <w:sz w:val="18"/>
          <w:szCs w:val="18"/>
          <w:color w:val="auto"/>
        </w:rPr>
      </w:pPr>
    </w:p>
    <w:p>
      <w:pPr>
        <w:ind w:left="1380" w:right="79" w:hanging="331"/>
        <w:spacing w:after="0" w:line="266"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drugs and drug candidates; and</w:t>
      </w:r>
    </w:p>
    <w:p>
      <w:pPr>
        <w:spacing w:after="0" w:line="18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339" w:firstLine="648"/>
        <w:spacing w:after="0" w:line="255"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183"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discovery platform as a designated platform technology, but we might not receive such designation, and even if we do, such designation may not lead to faster drug development or a faster regulatory review or approval process.</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may seek designation for our discovery platform as a designated platform technology. Under the Food and Drug Omnibus Reform Act of 2022 (FDORA), a platform technology incorporated within or utilized by a drug product is eligible for designation as a designated platform technology if (1) the platform technology is incorporated in, or utilized by, a drug approved under an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investigational new drug (IND) application for a drug that incorporates or utilizes the platform technology that is the subject of the request. If so designated, the FDA may expedite the development and review of any subsequent original NDA for a drug that uses or incorporates the platform technology. Even if we believe our discovery platform meets the criteria for such designation, the FDA may disagree and instead determine not to grant such designation. In addition, the receipt of such designation for a platform technology does not ensure that a drug will be developed or reviewed more quickly or receive FDA approval. Moreover, the FDA may revoke a designation if the FDA determines that a designated platform technology no longer meets the criteria for such designation.</w:t>
      </w:r>
    </w:p>
    <w:p>
      <w:pPr>
        <w:spacing w:after="0" w:line="184"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or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7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may seek fast track or breakthrough therapy designation for some of our current or future drug candidates. Fast track designation is designed for drug candidates intended for the treatment of a serious or life-threatening disease or condition, where nonclinical or clinical data demonstrate the potential to address an unmet medical need for this disease or condition.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fast track or breakthrough therapies, interaction and communication between the FDA and the sponsor of the trial can help to identify the most efficient path for clinical development while minimizing the number of patients placed in ineffective control regimens. The FDA granted fast track designation to BLU-782 for the treatment of FOP. In addition, the FDA previously granted breakthrough therapy designation to our drugs, AYVAKIT and GAVRETO, for the treatment of certain patients with GIST, advanced SM, moderate to severe indolent SM and RET-altered cancers, respectively.</w:t>
      </w:r>
    </w:p>
    <w:p>
      <w:pPr>
        <w:spacing w:after="0" w:line="190"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Designation as a fast track or breakthrough therapy is within the discretion of the FDA. Accordingly, even if we believe one of our drug candidates meets the criteria for designation as a fast track or breakthrough therapy, the FDA may disagree and instead determine not to make such designation. In any event, the receipt of a fast track or breakthrough therapy designation for a drug candidate may not result in a faster development process, review or approval compared to other drugs and does not assure ultimate approval by the FDA. In addition, even if one or more of our drug candidates qualify as fast track or breakthrough therapies, the FDA may later decide that the drugs no longer meet the conditions for qualification.</w:t>
      </w:r>
    </w:p>
    <w:p>
      <w:pPr>
        <w:spacing w:after="0" w:line="18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seek approval of our drug candidates, where applicable, under the FDA’s accelerated approval pathway. A product may be eligible for accelerated approval if it is designed to treat a serious or life-threatening disease or condition and generally provides a meaningful advantage over available therapies. In addition, it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w:t>
      </w:r>
    </w:p>
    <w:p>
      <w:pPr>
        <w:sectPr>
          <w:pgSz w:w="11900" w:h="16838" w:orient="portrait"/>
          <w:cols w:equalWidth="0" w:num="1">
            <w:col w:w="9019"/>
          </w:cols>
          <w:pgMar w:left="1440" w:top="513" w:right="1440" w:bottom="1440" w:gutter="0" w:footer="0" w:header="0"/>
        </w:sect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accelerated approval does not assure that the product’s accelerated approval will eventually be converted to a traditional approval. Additionally, if we are not able to obtain full approval of any accelerated approval product, including through the completion of post-marketing studies, we or our partners may decide to withdraw marketing of such products. Specifically, in June 2023, Roche voluntarily withdrew the indication of GAVRETO for the treatment of adult and pediatric patients 12 years of age and older with advanced or metastatic RET-mutant MTC. The decision to withdraw the indication was made in consultation with the FDA, in accordance with the requirements of the FDA’s Accelerated Approval Program, with the official FDA withdrawal of the indication occurring on July 20, 2023.</w:t>
      </w:r>
    </w:p>
    <w:p>
      <w:pPr>
        <w:spacing w:after="0" w:line="185"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or EC, has granted orphan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 fee waivers.</w:t>
      </w:r>
    </w:p>
    <w:p>
      <w:pPr>
        <w:spacing w:after="0" w:line="19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Similarly, in the EU, the European Commission grants orphan medicinal product designation after receiving the opinion of the European Medicines Agency’s, or EMA, Committee for Orphan Medicinal Products on an orphan medicinal product designation application. Orphan medicinal product designation is intended to promote the development of medicinal products that are intended for the diagnosis, prevention or treatment of life threatening or chronically debilitating conditions affecting not more than five (5) in ten thousand (10,000) persons in the EU or for products intended for the diagnosis, prevention, or treatment of a life threatening, seriously debilitating or serious and chronic condition when, without incentives, it is unlikely that sales of the product in the EU would generate sufficient return to justify the necessary investment in developing the product. In each case, there must be no satisfactory method of diagnosis, prevention, or treatment authorized for marketing in the EU (or, if such a method exists, the product would be of significant benefit to those affected by the condition). In the EU, orphan medicinal product designation entitles a party to financial incentives such as reduction of fees or fee waivers.</w:t>
      </w:r>
    </w:p>
    <w:p>
      <w:pPr>
        <w:spacing w:after="0" w:line="19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EC or the FDA from approving another marketing application for the same drug and indication for that time period, except in limited circumstances. The applicable period is seven years in the U.S. and ten years in the EU. The EU exclusivity period can be reduced to six years if a drug no longer meets the criteria for orphan medicinal product designation or if the drug is sufficiently profitable so that market exclusivity is no longer justified.</w:t>
      </w:r>
    </w:p>
    <w:p>
      <w:pPr>
        <w:spacing w:after="0" w:line="187" w:lineRule="exact"/>
        <w:rPr>
          <w:sz w:val="20"/>
          <w:szCs w:val="20"/>
          <w:color w:val="auto"/>
        </w:rPr>
      </w:pPr>
    </w:p>
    <w:p>
      <w:pPr>
        <w:ind w:left="60" w:right="279" w:firstLine="648"/>
        <w:spacing w:after="0" w:line="281" w:lineRule="auto"/>
        <w:rPr>
          <w:sz w:val="20"/>
          <w:szCs w:val="20"/>
          <w:color w:val="auto"/>
        </w:rPr>
      </w:pPr>
      <w:r>
        <w:rPr>
          <w:rFonts w:ascii="Times New Roman" w:cs="Times New Roman" w:eastAsia="Times New Roman" w:hAnsi="Times New Roman"/>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64"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On August 3, 2017,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190"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drug candidates.</w:t>
      </w:r>
    </w:p>
    <w:p>
      <w:pPr>
        <w:spacing w:after="0" w:line="22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For example, in February 2022 we entered into a collaboration with Proteovant to research and advance novel targeted protein degrader therapies leveraging Proteovant’s artificial intelligence-enhanced targeted protein degradation platform and our small molecule precision medicine capabilities. However, we may not be able to identify any drug candidates for our pipeline through such acquisition or in-license.</w:t>
      </w:r>
    </w:p>
    <w:p>
      <w:pPr>
        <w:spacing w:after="0" w:line="17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spacing w:after="0" w:line="18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90" w:lineRule="exact"/>
        <w:rPr>
          <w:sz w:val="20"/>
          <w:szCs w:val="20"/>
          <w:color w:val="auto"/>
        </w:rPr>
      </w:pPr>
    </w:p>
    <w:p>
      <w:pPr>
        <w:ind w:left="60" w:right="279" w:firstLine="648"/>
        <w:spacing w:after="0" w:line="275" w:lineRule="auto"/>
        <w:rPr>
          <w:sz w:val="20"/>
          <w:szCs w:val="20"/>
          <w:color w:val="auto"/>
        </w:rPr>
      </w:pPr>
      <w:r>
        <w:rPr>
          <w:rFonts w:ascii="Times New Roman" w:cs="Times New Roman" w:eastAsia="Times New Roman" w:hAnsi="Times New Roman"/>
          <w:sz w:val="17"/>
          <w:szCs w:val="17"/>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w:t>
      </w:r>
    </w:p>
    <w:p>
      <w:pPr>
        <w:sectPr>
          <w:pgSz w:w="11900" w:h="16838" w:orient="portrait"/>
          <w:cols w:equalWidth="0" w:num="1">
            <w:col w:w="9019"/>
          </w:cols>
          <w:pgMar w:left="1440" w:top="513" w:right="1440"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intend to develop drug candidates in combination with other therapies, which exposes us to additional risks.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intend to develop, launch and commercialize BLU-945, BLU-525, BLU-222 and potentially other drug candidates in combination with one or more approved or unapproved therapies. Even if any drug candidate we develop were to receive marketing approval for use in combination with other approved therapies, the FDA, the EMA or other regulatory authorities could still revoke approval of the therapy used in combination with our drug candidate. If the therapies used in combination with our drug candidates are replaced as the standard of care for the indications we choose for any of our drug candidates, the FDA, EMA or regulatory authorities may require us to conduct additional clinical trials which may experience complications surrounding trial execution, such as complexities surrounding trial design, establishing trial protocols and interpretability of results, clinical site access and initiation, patient recruitment and enrollment, quality and supply of clinical doses, safety issues or a lack of clinically relevant activity. The uncertainty resulting for the use of our drug candidates in combination with other approved or unapproved therapies may make it difficult to accurately predict side effects in the future clinical trials. The occurrence of any of these risks could result in our own drug candidates, if approved, being removed from the market if they are not also approved as monotherapies or being less successful commercially.</w:t>
      </w:r>
    </w:p>
    <w:p>
      <w:pPr>
        <w:spacing w:after="0" w:line="187" w:lineRule="exact"/>
        <w:rPr>
          <w:sz w:val="20"/>
          <w:szCs w:val="20"/>
          <w:color w:val="auto"/>
        </w:rPr>
      </w:pPr>
    </w:p>
    <w:p>
      <w:pPr>
        <w:jc w:val="both"/>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Further, we will not be able to market and sell any drug candidate we develop in combination with an unapproved therapy for a combination indication if that unapproved therapy does not ultimately obtain marketing approval either alone or in combination with our drug candidate. In addition, unapproved therapies face the same risks described with respect to our drug candidates currently in development and clinical trials, including the potential for serious adverse effects, delay in their clinical trials and lack of FDA approval.</w:t>
      </w:r>
    </w:p>
    <w:p>
      <w:pPr>
        <w:spacing w:after="0" w:line="183"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If the FDA, EMA or other regulatory authorities do not approve these other products or revoke their approval of, or if safety, efficacy, quality, manufacturing or supply issues arise with, the agents we choose to evaluate in combination with our drug candidates we may be unable to obtain approval of or market such combination therapy.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Government Legislations and Regulations</w:t>
      </w:r>
    </w:p>
    <w:p>
      <w:pPr>
        <w:spacing w:after="0" w:line="225"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87" w:lineRule="exact"/>
        <w:rPr>
          <w:sz w:val="20"/>
          <w:szCs w:val="20"/>
          <w:color w:val="auto"/>
        </w:rPr>
      </w:pPr>
    </w:p>
    <w:p>
      <w:pPr>
        <w:ind w:left="60" w:right="239" w:firstLine="648"/>
        <w:spacing w:after="0" w:line="268" w:lineRule="auto"/>
        <w:rPr>
          <w:sz w:val="20"/>
          <w:szCs w:val="20"/>
          <w:color w:val="auto"/>
        </w:rPr>
      </w:pPr>
      <w:r>
        <w:rPr>
          <w:rFonts w:ascii="Times New Roman" w:cs="Times New Roman" w:eastAsia="Times New Roman" w:hAnsi="Times New Roman"/>
          <w:sz w:val="17"/>
          <w:szCs w:val="17"/>
          <w:color w:val="auto"/>
        </w:rPr>
        <w:t>We have in the past and may in the future seek approval of current or future drug candidates, where applicable, under the FDA’s accelerated approval pathway. Any current or future drug candidate for which we receive accelerated approval from the FDA or similar conditional approval from the EMA, including AYVAKYT, or comparable regulatory authorities in other jurisdictions may be required to undergo one or more confirmatory clinical trials, as a condition of accelerated approval, be required to perform adequate and well-controlled post-marketing clinical trials to confirm the product’s clinical benefit. These post-market confirmatory trials must be completed according to timelines agreed upon with the FDA, and if they are not completed in accordance with these timelines than it could result in withdrawal of the indication. For example, the voluntary withdrawal AcceleRET-MTC, a Phase 3 clinical trial required by the FDA to convert the accelerated approval of GAVRETO for MTC to a full approval, is no longer being pursued due to lack of feasibility.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 In addition, under FDORA the FDA is now permitted to require, as appropriate, that post-marketing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w:t>
      </w:r>
    </w:p>
    <w:p>
      <w:pPr>
        <w:sectPr>
          <w:pgSz w:w="11900" w:h="16838" w:orient="portrait"/>
          <w:cols w:equalWidth="0" w:num="1">
            <w:col w:w="9019"/>
          </w:cols>
          <w:pgMar w:left="1440" w:top="513" w:right="1440" w:bottom="1440"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w:t>
      </w:r>
    </w:p>
    <w:p>
      <w:pPr>
        <w:spacing w:after="0" w:line="176"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7"/>
          <w:szCs w:val="17"/>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as well as continued compliance with current Good Manufacturing Practices (cGMPs) and Good Clinical Practices (GCPs) for any clinical trials that we conduct post-approval. In addition, drug manufacturers and other entities involved in the manufacture and distribution of approved drugs are subject to periodic unannounced inspections by the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 party manufacturers or manufacturing processes, or failure to comply with regulatory requirements, may result in, among other things:</w:t>
      </w:r>
    </w:p>
    <w:p>
      <w:pPr>
        <w:spacing w:after="0" w:line="200" w:lineRule="exact"/>
        <w:rPr>
          <w:sz w:val="20"/>
          <w:szCs w:val="20"/>
          <w:color w:val="auto"/>
        </w:rPr>
      </w:pPr>
    </w:p>
    <w:p>
      <w:pPr>
        <w:spacing w:after="0" w:line="203" w:lineRule="exact"/>
        <w:rPr>
          <w:sz w:val="20"/>
          <w:szCs w:val="20"/>
          <w:color w:val="auto"/>
        </w:rPr>
      </w:pPr>
    </w:p>
    <w:p>
      <w:pPr>
        <w:ind w:left="1380" w:right="479" w:hanging="331"/>
        <w:spacing w:after="0" w:line="282"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“dear doctor” letters or drug recalls;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25" w:lineRule="exact"/>
        <w:rPr>
          <w:rFonts w:ascii="Times New Roman" w:cs="Times New Roman" w:eastAsia="Times New Roman" w:hAnsi="Times New Roman"/>
          <w:sz w:val="18"/>
          <w:szCs w:val="18"/>
          <w:color w:val="auto"/>
        </w:rPr>
      </w:pPr>
    </w:p>
    <w:p>
      <w:pPr>
        <w:ind w:left="1380" w:right="119" w:hanging="331"/>
        <w:spacing w:after="0" w:line="282"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marketing approvals;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Regulatory agencies may also impose requirements for costly post-marketing studies or clinical trials and surveillance to monitor the safety or efficacy of a product. The FDA and other agencies, including the Department of Justice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w:t>
      </w:r>
    </w:p>
    <w:p>
      <w:pPr>
        <w:sectPr>
          <w:pgSz w:w="11900" w:h="16838" w:orient="portrait"/>
          <w:cols w:equalWidth="0" w:num="1">
            <w:col w:w="9019"/>
          </w:cols>
          <w:pgMar w:left="1440" w:top="513" w:right="1440" w:bottom="1440"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protection laws and could expose our company to substantial civil or criminal penalties.</w:t>
      </w:r>
    </w:p>
    <w:p>
      <w:pPr>
        <w:spacing w:after="0" w:line="221"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we may have obtained approvals for certain of our products, such drug or drug candidate may become subject to unfavorable pricing regulations or third-party coverage and reimbursement policies, which would harm our business.</w:t>
      </w:r>
    </w:p>
    <w:p>
      <w:pPr>
        <w:spacing w:after="0" w:line="17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 See section entitled “</w:t>
      </w:r>
      <w:r>
        <w:rPr>
          <w:rFonts w:ascii="Times New Roman" w:cs="Times New Roman" w:eastAsia="Times New Roman" w:hAnsi="Times New Roman"/>
          <w:sz w:val="18"/>
          <w:szCs w:val="18"/>
          <w:i w:val="1"/>
          <w:iCs w:val="1"/>
          <w:color w:val="auto"/>
        </w:rPr>
        <w:t>Business – Coverage and Reimbursement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w:t>
      </w:r>
    </w:p>
    <w:p>
      <w:pPr>
        <w:spacing w:after="0" w:line="176"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7"/>
          <w:szCs w:val="17"/>
          <w:color w:val="auto"/>
        </w:rPr>
        <w:t>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9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229" w:lineRule="exact"/>
        <w:rPr>
          <w:sz w:val="20"/>
          <w:szCs w:val="20"/>
          <w:color w:val="auto"/>
        </w:rPr>
      </w:pPr>
    </w:p>
    <w:p>
      <w:pPr>
        <w:jc w:val="both"/>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The United States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w:t>
      </w:r>
    </w:p>
    <w:p>
      <w:pPr>
        <w:spacing w:after="0" w:line="2" w:lineRule="exact"/>
        <w:rPr>
          <w:sz w:val="20"/>
          <w:szCs w:val="20"/>
          <w:color w:val="auto"/>
        </w:rPr>
      </w:pPr>
    </w:p>
    <w:p>
      <w:pPr>
        <w:ind w:left="60" w:right="179"/>
        <w:spacing w:after="0" w:line="265" w:lineRule="auto"/>
        <w:rPr>
          <w:sz w:val="20"/>
          <w:szCs w:val="20"/>
          <w:color w:val="auto"/>
        </w:rPr>
      </w:pPr>
      <w:r>
        <w:rPr>
          <w:rFonts w:ascii="Times New Roman" w:cs="Times New Roman" w:eastAsia="Times New Roman" w:hAnsi="Times New Roman"/>
          <w:sz w:val="17"/>
          <w:szCs w:val="17"/>
          <w:color w:val="auto"/>
        </w:rPr>
        <w:t>Changes in regulations, statutes or the interpretation of existing regulations could impact our business in the future by requiring, for example: (i) changes to our manufacturing arrangements; (ii) additions or modifications to product labeling;</w:t>
      </w:r>
    </w:p>
    <w:p>
      <w:pPr>
        <w:ind w:left="60" w:right="159" w:hanging="10"/>
        <w:spacing w:after="0" w:line="247" w:lineRule="auto"/>
        <w:tabs>
          <w:tab w:leader="none" w:pos="3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recall or discontinuation of our products; or (iv) additional record-keeping requirements. If any such changes were to be imposed, they could adversely affect the operation of our business. See section entitled </w:t>
      </w:r>
      <w:r>
        <w:rPr>
          <w:rFonts w:ascii="Times New Roman" w:cs="Times New Roman" w:eastAsia="Times New Roman" w:hAnsi="Times New Roman"/>
          <w:sz w:val="18"/>
          <w:szCs w:val="18"/>
          <w:i w:val="1"/>
          <w:iCs w:val="1"/>
          <w:color w:val="auto"/>
        </w:rPr>
        <w:t>“Business – Healthcare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w:t>
      </w:r>
    </w:p>
    <w:p>
      <w:pPr>
        <w:spacing w:after="0" w:line="193"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 For example, by Executive Order, FDA works with states and Indian Tribes that propose to develop Section 804 Importation Programs in accordance with the Medicare Prescription Drug, Improvement, and Modernization Act of 2003. FDA released implementing regulations on September 24, 2020, which went into effect on November 30, 2020, providing guidance for states to build and submit importation plans for drugs from Canada. On January 5, 2024, FDA issued to Florida the first approval for a state importation plan. Colorado has a pending application. If successfully implemented, importation of drugs from Canada may materially and adversely affect the price we receive for any of our product candidates. Legislation or regulations allowing the reimportation of drugs, if enacted, could decrease the price we receive for any products that we may develop and adversely affect our future revenues and prospects for profitability.</w:t>
      </w:r>
    </w:p>
    <w:p>
      <w:pPr>
        <w:spacing w:after="0" w:line="19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Creating and Restoring Equal Access to Equivalent Samples Act, or the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spacing w:after="0" w:line="187" w:lineRule="exact"/>
        <w:rPr>
          <w:sz w:val="20"/>
          <w:szCs w:val="20"/>
          <w:color w:val="auto"/>
        </w:rPr>
      </w:pPr>
    </w:p>
    <w:p>
      <w:pPr>
        <w:jc w:val="both"/>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76" w:lineRule="exact"/>
        <w:rPr>
          <w:sz w:val="20"/>
          <w:szCs w:val="20"/>
          <w:color w:val="auto"/>
        </w:rPr>
      </w:pPr>
    </w:p>
    <w:p>
      <w:pPr>
        <w:ind w:left="1340" w:hanging="642"/>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22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approved products;</w:t>
      </w:r>
    </w:p>
    <w:p>
      <w:pPr>
        <w:spacing w:after="0" w:line="21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22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22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183"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pacing w:after="0" w:line="183" w:lineRule="exact"/>
        <w:rPr>
          <w:sz w:val="20"/>
          <w:szCs w:val="20"/>
          <w:color w:val="auto"/>
        </w:rPr>
      </w:pPr>
    </w:p>
    <w:p>
      <w:pPr>
        <w:ind w:left="60" w:right="1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57"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(HIPAA), as amended by the Health Information Technology for Economic and Clinical Health Act of 2009 (HITECH), the Physician Payment Sunshine Act,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w:t>
      </w:r>
      <w:r>
        <w:rPr>
          <w:rFonts w:ascii="Times New Roman" w:cs="Times New Roman" w:eastAsia="Times New Roman" w:hAnsi="Times New Roman"/>
          <w:sz w:val="18"/>
          <w:szCs w:val="18"/>
          <w:i w:val="1"/>
          <w:iCs w:val="1"/>
          <w:color w:val="auto"/>
        </w:rPr>
        <w:t>Business – Other Healthcare Laws.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 the U.S., to help patients who have no or inadequate insurance access our drug, we have a patient assistance program that we administer in conjunction with our patient support program vendor. In addition, we have a copay support program for commercially insured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196"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175"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85"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8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Department of Veterans Affairs (VA)’s Federal Supply Schedule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93"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70"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9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w:t>
      </w:r>
    </w:p>
    <w:p>
      <w:pPr>
        <w:sectPr>
          <w:pgSz w:w="11900" w:h="16838" w:orient="portrait"/>
          <w:cols w:equalWidth="0" w:num="1">
            <w:col w:w="9019"/>
          </w:cols>
          <w:pgMar w:left="1440" w:top="513" w:right="1440" w:bottom="1440" w:gutter="0" w:footer="0" w:header="0"/>
        </w:sect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 </w:t>
      </w:r>
    </w:p>
    <w:p>
      <w:pPr>
        <w:spacing w:after="0" w:line="187"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78"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7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77"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8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9"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commercialize our drug candidates in foreign markets, we would be subject to additional risks and uncertainties, including:</w:t>
      </w:r>
    </w:p>
    <w:p>
      <w:pPr>
        <w:spacing w:after="0" w:line="237" w:lineRule="exact"/>
        <w:rPr>
          <w:sz w:val="20"/>
          <w:szCs w:val="20"/>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drug candidates in foreign markets;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25" w:lineRule="exact"/>
        <w:rPr>
          <w:rFonts w:ascii="Times New Roman" w:cs="Times New Roman" w:eastAsia="Times New Roman" w:hAnsi="Times New Roman"/>
          <w:sz w:val="18"/>
          <w:szCs w:val="18"/>
          <w:color w:val="auto"/>
        </w:rPr>
      </w:pPr>
    </w:p>
    <w:p>
      <w:pPr>
        <w:jc w:val="both"/>
        <w:ind w:left="1340" w:right="579" w:hanging="318"/>
        <w:spacing w:after="0" w:line="266" w:lineRule="auto"/>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including, for example, the European General Data Protection Regulation 2016/679, commonly referred to as GDPR;</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Foreign sales of our drug candidates could also be adversely affected by the imposition of governmental controls, political and economic instability, trade restrictions and changes in tariffs.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w:t>
      </w:r>
    </w:p>
    <w:p>
      <w:pPr>
        <w:spacing w:after="0" w:line="18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w:t>
      </w:r>
    </w:p>
    <w:p>
      <w:pPr>
        <w:sectPr>
          <w:pgSz w:w="11900" w:h="16838" w:orient="portrait"/>
          <w:cols w:equalWidth="0" w:num="1">
            <w:col w:w="9019"/>
          </w:cols>
          <w:pgMar w:left="1440" w:top="513" w:right="1440" w:bottom="1440" w:gutter="0" w:footer="0" w:header="0"/>
        </w:sect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precision therapy company in the process of growing our operations. We have incurred significant operating losses since our inception and anticipate that we will incur continued losses for the foreseeable future.</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or API, drug substance and drug product material for use in preclinical studies and clinical trials for our drug candidates and commercial sale of our approved drugs.</w:t>
      </w:r>
    </w:p>
    <w:p>
      <w:pPr>
        <w:spacing w:after="0" w:line="187"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 and license agreements, future royalty and revenue monetization, and a term loan. Through December 31, 2023, we have received an aggregate of $3.7 billion from such transactions, including $1.9 billion in aggregate gross proceeds from the sale of common stock in our initial public offering, follow 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with Alexion Pharma Holding, or Alexion and $250.0 million in gross proceeds from a term loan from Sixth Street Partners. In addition, since January 2020, we also have generated revenue through sales of our drug products.</w:t>
      </w:r>
    </w:p>
    <w:p>
      <w:pPr>
        <w:spacing w:after="0" w:line="193"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$507.0 million for the year ended December 31, 2023. Our net losses were $557.5 million and $644.1 million for the years ended December 31, 2022 and 2021, respectively. As of December 31, 2023, we had an accumulated deficit of $2,339.9 million.</w:t>
      </w:r>
    </w:p>
    <w:p>
      <w:pPr>
        <w:spacing w:after="0" w:line="176"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Substantially all of our operating losses have resulted from costs incurred in connection with our research and development programs and from selling, general and administrative costs associated with our operations. We expect to continue to incur significant expenses and operating losses over the next few years. We anticipate that our expenses may continue to increase in connection with our ongoing activities. Our prior losses, combined with expected future losses, have had and will continue to have an adverse effect on our stockholders’ equity and working capital. We expect our research and development expenses to increase in connection with continuing our existing clinical trials and beginning 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94"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Our ability to generate substantial revenue depends on a number of factors, including, but not limited to, our ability to:</w:t>
      </w:r>
    </w:p>
    <w:p>
      <w:pPr>
        <w:spacing w:after="0" w:line="162" w:lineRule="exact"/>
        <w:rPr>
          <w:sz w:val="20"/>
          <w:szCs w:val="20"/>
          <w:color w:val="auto"/>
        </w:rPr>
      </w:pPr>
    </w:p>
    <w:p>
      <w:pPr>
        <w:ind w:left="1340" w:hanging="318"/>
        <w:spacing w:after="0"/>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clinical trials that meet their clinical endpoints;</w:t>
      </w:r>
    </w:p>
    <w:p>
      <w:pPr>
        <w:spacing w:after="0" w:line="225" w:lineRule="exact"/>
        <w:rPr>
          <w:rFonts w:ascii="Times New Roman" w:cs="Times New Roman" w:eastAsia="Times New Roman" w:hAnsi="Times New Roman"/>
          <w:sz w:val="18"/>
          <w:szCs w:val="18"/>
          <w:color w:val="auto"/>
        </w:rPr>
      </w:pPr>
    </w:p>
    <w:p>
      <w:pPr>
        <w:ind w:left="1340" w:right="659" w:hanging="318"/>
        <w:spacing w:after="0" w:line="266"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drug candidates, including for avapritinib in additional geographies;</w:t>
      </w:r>
    </w:p>
    <w:p>
      <w:pPr>
        <w:spacing w:after="0" w:line="175" w:lineRule="exact"/>
        <w:rPr>
          <w:rFonts w:ascii="Times New Roman" w:cs="Times New Roman" w:eastAsia="Times New Roman" w:hAnsi="Times New Roman"/>
          <w:sz w:val="18"/>
          <w:szCs w:val="18"/>
          <w:color w:val="auto"/>
        </w:rPr>
      </w:pPr>
    </w:p>
    <w:p>
      <w:pPr>
        <w:ind w:left="1340" w:right="459" w:hanging="318"/>
        <w:spacing w:after="0" w:line="282"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and expand commercial manufacturing capabilities or make arrangements with third-party manufacturers to ensure clinical supply and commercial manufacturing;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379" w:hanging="318"/>
        <w:spacing w:after="0" w:line="266" w:lineRule="auto"/>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if necessary, expand a sales, marketing and distribution infrastructure to commercialize AYVAKIT/AYVAKYT and any current or future drug candidates for which we obtain marketing approval;</w:t>
      </w:r>
    </w:p>
    <w:p>
      <w:pPr>
        <w:spacing w:after="0" w:line="175" w:lineRule="exact"/>
        <w:rPr>
          <w:rFonts w:ascii="Times New Roman" w:cs="Times New Roman" w:eastAsia="Times New Roman" w:hAnsi="Times New Roman"/>
          <w:sz w:val="18"/>
          <w:szCs w:val="18"/>
          <w:color w:val="auto"/>
        </w:rPr>
      </w:pPr>
    </w:p>
    <w:p>
      <w:pPr>
        <w:ind w:left="1340" w:right="639" w:hanging="318"/>
        <w:spacing w:after="0" w:line="266" w:lineRule="auto"/>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in the medical community and with third-party payors for AYVAKIT/AYVAKYT and any current or future drug candidates for which we receive marketing approval; and</w:t>
      </w:r>
    </w:p>
    <w:p>
      <w:pPr>
        <w:spacing w:after="0" w:line="175" w:lineRule="exact"/>
        <w:rPr>
          <w:rFonts w:ascii="Times New Roman" w:cs="Times New Roman" w:eastAsia="Times New Roman" w:hAnsi="Times New Roman"/>
          <w:sz w:val="18"/>
          <w:szCs w:val="18"/>
          <w:color w:val="auto"/>
        </w:rPr>
      </w:pPr>
    </w:p>
    <w:p>
      <w:pPr>
        <w:ind w:left="1340" w:right="119" w:hanging="318"/>
        <w:spacing w:after="0" w:line="258" w:lineRule="auto"/>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with companies that may have significantly greater financial resources and expertise in research and development, manufacturing, preclinical testing, conducting clinical trials, obtaining regulatory approvals and marketing approved drugs.</w:t>
      </w:r>
    </w:p>
    <w:p>
      <w:pPr>
        <w:spacing w:after="0" w:line="183" w:lineRule="exact"/>
        <w:rPr>
          <w:sz w:val="20"/>
          <w:szCs w:val="20"/>
          <w:color w:val="auto"/>
        </w:rPr>
      </w:pPr>
    </w:p>
    <w:p>
      <w:pPr>
        <w:ind w:left="60" w:right="259" w:firstLine="648"/>
        <w:spacing w:after="0" w:line="271" w:lineRule="auto"/>
        <w:rPr>
          <w:sz w:val="20"/>
          <w:szCs w:val="20"/>
          <w:color w:val="auto"/>
        </w:rPr>
      </w:pPr>
      <w:r>
        <w:rPr>
          <w:rFonts w:ascii="Times New Roman" w:cs="Times New Roman" w:eastAsia="Times New Roman" w:hAnsi="Times New Roman"/>
          <w:sz w:val="17"/>
          <w:szCs w:val="17"/>
          <w:color w:val="auto"/>
        </w:rPr>
        <w:t>We expect to incur significant sales and marketing costs as we commercialize AYVAKIT/AYVAKYT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material net cash inflows from our operations, we will not become profitable and may be unable to continue operations without continued funding.</w:t>
      </w:r>
    </w:p>
    <w:p>
      <w:pPr>
        <w:spacing w:after="0" w:line="170"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5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pharmaceuticals is capital intensive. We are currently advancing multiple drug candidates and development programs through clinical and preclinical development. Our expenses may increase in connection with our ongoing activities, particularly as we continue the research and development of, initiate or continue clinical trials of, and seek marketing approval for our drug candidates, including marketing approval for avapritinib in additional geographies.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and may increase as a result of many factors, including:</w:t>
      </w:r>
    </w:p>
    <w:p>
      <w:pPr>
        <w:spacing w:after="0" w:line="225" w:lineRule="exact"/>
        <w:rPr>
          <w:sz w:val="20"/>
          <w:szCs w:val="20"/>
          <w:color w:val="auto"/>
        </w:rPr>
      </w:pPr>
    </w:p>
    <w:p>
      <w:pPr>
        <w:ind w:left="1340" w:right="139" w:hanging="318"/>
        <w:spacing w:after="0" w:line="266"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commercialization efforts and market acceptance for AYVAKIT/AYVAKYT or any of our current or future drug candidates for which we receive marketing approval;</w:t>
      </w:r>
    </w:p>
    <w:p>
      <w:pPr>
        <w:spacing w:after="0" w:line="175" w:lineRule="exact"/>
        <w:rPr>
          <w:rFonts w:ascii="Times New Roman" w:cs="Times New Roman" w:eastAsia="Times New Roman" w:hAnsi="Times New Roman"/>
          <w:sz w:val="18"/>
          <w:szCs w:val="18"/>
          <w:color w:val="auto"/>
        </w:rPr>
      </w:pPr>
    </w:p>
    <w:p>
      <w:pPr>
        <w:ind w:left="1340" w:right="359" w:hanging="318"/>
        <w:spacing w:after="0" w:line="266"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175" w:lineRule="exact"/>
        <w:rPr>
          <w:rFonts w:ascii="Times New Roman" w:cs="Times New Roman" w:eastAsia="Times New Roman" w:hAnsi="Times New Roman"/>
          <w:sz w:val="18"/>
          <w:szCs w:val="18"/>
          <w:color w:val="auto"/>
        </w:rPr>
      </w:pPr>
    </w:p>
    <w:p>
      <w:pPr>
        <w:ind w:left="1340" w:right="99" w:hanging="318"/>
        <w:spacing w:after="0" w:line="266"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62" w:lineRule="exact"/>
        <w:rPr>
          <w:rFonts w:ascii="Times New Roman" w:cs="Times New Roman" w:eastAsia="Times New Roman" w:hAnsi="Times New Roman"/>
          <w:sz w:val="18"/>
          <w:szCs w:val="18"/>
          <w:color w:val="auto"/>
        </w:rPr>
      </w:pPr>
    </w:p>
    <w:p>
      <w:pPr>
        <w:ind w:left="1340" w:right="299" w:hanging="318"/>
        <w:spacing w:after="0" w:line="282"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purchasing quantities of agents for use in our clinical trials in connection with our efforts to develop our drugs and drug candidates, including for development as combination therapies;</w:t>
      </w:r>
    </w:p>
    <w:p>
      <w:pPr>
        <w:spacing w:after="0" w:line="161" w:lineRule="exact"/>
        <w:rPr>
          <w:rFonts w:ascii="Times New Roman" w:cs="Times New Roman" w:eastAsia="Times New Roman" w:hAnsi="Times New Roman"/>
          <w:sz w:val="18"/>
          <w:szCs w:val="18"/>
          <w:color w:val="auto"/>
        </w:rPr>
      </w:pPr>
    </w:p>
    <w:p>
      <w:pPr>
        <w:ind w:left="1340" w:right="239" w:hanging="318"/>
        <w:spacing w:after="0" w:line="282"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61" w:lineRule="exact"/>
        <w:rPr>
          <w:rFonts w:ascii="Times New Roman" w:cs="Times New Roman" w:eastAsia="Times New Roman" w:hAnsi="Times New Roman"/>
          <w:sz w:val="18"/>
          <w:szCs w:val="18"/>
          <w:color w:val="auto"/>
        </w:rPr>
      </w:pPr>
    </w:p>
    <w:p>
      <w:pPr>
        <w:ind w:left="1340" w:right="359" w:hanging="318"/>
        <w:spacing w:after="0" w:line="282"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including seeking marketing approval for avapritinib in additional geographies;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239" w:hanging="318"/>
        <w:spacing w:after="0" w:line="266" w:lineRule="auto"/>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CStone and our license agreements with Clementia and IDRx, as well as our ability to establish and maintain additional collaborations, partnerships or licenses on favorable terms, if at all;</w:t>
      </w:r>
    </w:p>
    <w:p>
      <w:pPr>
        <w:spacing w:after="0" w:line="175" w:lineRule="exact"/>
        <w:rPr>
          <w:rFonts w:ascii="Times New Roman" w:cs="Times New Roman" w:eastAsia="Times New Roman" w:hAnsi="Times New Roman"/>
          <w:sz w:val="18"/>
          <w:szCs w:val="18"/>
          <w:color w:val="auto"/>
        </w:rPr>
      </w:pPr>
    </w:p>
    <w:p>
      <w:pPr>
        <w:ind w:left="1340" w:right="99" w:hanging="318"/>
        <w:spacing w:after="0" w:line="266" w:lineRule="auto"/>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or license agreements, our financing agreements, or any collaboration, partnership, financing or license agreements that we may enter into in the future;</w:t>
      </w:r>
    </w:p>
    <w:p>
      <w:pPr>
        <w:spacing w:after="0" w:line="175" w:lineRule="exact"/>
        <w:rPr>
          <w:rFonts w:ascii="Times New Roman" w:cs="Times New Roman" w:eastAsia="Times New Roman" w:hAnsi="Times New Roman"/>
          <w:sz w:val="18"/>
          <w:szCs w:val="18"/>
          <w:color w:val="auto"/>
        </w:rPr>
      </w:pPr>
    </w:p>
    <w:p>
      <w:pPr>
        <w:ind w:left="1340" w:right="799" w:hanging="318"/>
        <w:spacing w:after="0" w:line="266" w:lineRule="auto"/>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75" w:lineRule="exact"/>
        <w:rPr>
          <w:rFonts w:ascii="Times New Roman" w:cs="Times New Roman" w:eastAsia="Times New Roman" w:hAnsi="Times New Roman"/>
          <w:sz w:val="18"/>
          <w:szCs w:val="18"/>
          <w:color w:val="auto"/>
        </w:rPr>
      </w:pPr>
    </w:p>
    <w:p>
      <w:pPr>
        <w:ind w:left="1340" w:right="279" w:hanging="318"/>
        <w:spacing w:after="0" w:line="282" w:lineRule="auto"/>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161" w:lineRule="exact"/>
        <w:rPr>
          <w:rFonts w:ascii="Times New Roman" w:cs="Times New Roman" w:eastAsia="Times New Roman" w:hAnsi="Times New Roman"/>
          <w:sz w:val="18"/>
          <w:szCs w:val="18"/>
          <w:color w:val="auto"/>
        </w:rPr>
      </w:pPr>
    </w:p>
    <w:p>
      <w:pPr>
        <w:ind w:left="1340" w:right="779" w:hanging="318"/>
        <w:spacing w:after="0" w:line="282" w:lineRule="auto"/>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pacing w:after="0" w:line="225" w:lineRule="exact"/>
        <w:rPr>
          <w:sz w:val="20"/>
          <w:szCs w:val="20"/>
          <w:color w:val="auto"/>
        </w:rPr>
      </w:pPr>
    </w:p>
    <w:p>
      <w:pPr>
        <w:ind w:left="60" w:right="159" w:firstLine="693"/>
        <w:spacing w:after="0" w:line="250" w:lineRule="auto"/>
        <w:rPr>
          <w:sz w:val="20"/>
          <w:szCs w:val="20"/>
          <w:color w:val="auto"/>
        </w:rPr>
      </w:pPr>
      <w:r>
        <w:rPr>
          <w:rFonts w:ascii="Times New Roman" w:cs="Times New Roman" w:eastAsia="Times New Roman" w:hAnsi="Times New Roman"/>
          <w:sz w:val="18"/>
          <w:szCs w:val="18"/>
          <w:color w:val="auto"/>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spacing w:after="0" w:line="193"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45"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Until such time, as we can generate substantial drug revenues, we expect to finance our cash needs primarily through a combination of public and private equity offerings, debt financings, collaborations, strategic alliances, licensing arrangements and future revenue monetizations. We do not have any committed external source of funds, other than our collaborations with Roche, CStone and Zai Lab and the license agreements with Clementia and IDRx, and the Financing Agreement with Sixth Street Partners,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18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Further, due to the uncertainty of pharmaceutical development, the high historical failure rates generally associated with</w:t>
      </w:r>
    </w:p>
    <w:p>
      <w:pPr>
        <w:sectPr>
          <w:pgSz w:w="11900" w:h="16838" w:orient="portrait"/>
          <w:cols w:equalWidth="0" w:num="1">
            <w:col w:w="9019"/>
          </w:cols>
          <w:pgMar w:left="1440" w:top="513" w:right="1440" w:bottom="1440" w:gutter="0" w:footer="0" w:header="0"/>
        </w:sect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drug development and uncertainty of successful commercialization, we may not receive any regulatory, development, sales-based milestones or royalty payments under any such collaborations, strategic alliances, licensing arrangements or future revenue monetizations.</w:t>
      </w:r>
    </w:p>
    <w:p>
      <w:pPr>
        <w:spacing w:after="0" w:line="172" w:lineRule="exact"/>
        <w:rPr>
          <w:sz w:val="20"/>
          <w:szCs w:val="20"/>
          <w:color w:val="auto"/>
        </w:rPr>
      </w:pPr>
    </w:p>
    <w:p>
      <w:pPr>
        <w:jc w:val="both"/>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the terms of the Financing Agreement with Sixth Street Partners could adversely affect our operations and limit our ability to plan for or respond to changes in our business. If we are unable to comply with restrictions in the Financing Agreement, the repayment of our existing indebtedness could be accelerated.</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Under the Financing Agreement with Sixth Street Partners we have incurred a substantial amount of debt, which could adversely affect our business. In July 2022, we drew down the senior secured term loan of $150.0 million. The facility also includes a senior secured delayed draw term loan of up to $250.0 million to be funded in two tranches: (i) a tranche A delayed draw loan in an aggregate principal amount of $100.0 million and (ii) a tranche B delayed draw term loan in an aggregate principal amount of up to $150.0 million. We may also at any time request an incremental term loan in an amount not to exceed $260.0 million on terms to be agreed and subject to the consent of the lenders providing such incremental term loan. In August 2023, we received the first tranche of the senior secured delayed draw term loan facility in the amount of $100.0 million in gross proceeds.</w:t>
      </w:r>
    </w:p>
    <w:p>
      <w:pPr>
        <w:spacing w:after="0" w:line="178"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Our level of indebtedness could affect our business in the following ways, among other things: make it more difficult for us to satisfy our contractual and commercial commitments; require us to use a substantial portion of our cash flow from operations to pay interest and principal,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spacing w:after="0" w:line="178"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Financing Agreement requires us to make certain payments of principal and interest over time and contains several other restrictive covenants. Among other requirements of the Financing Agreement, we and our subsidiaries party to the Financing Agreement must maintain a minimum consolidated liquidity of $80.0 million. These and other terms in the Financing Agreement could restrict our ability to grow our business or enter into transactions that we believe would be beneficial to our business.</w:t>
      </w:r>
    </w:p>
    <w:p>
      <w:pPr>
        <w:spacing w:after="0" w:line="18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60" w:right="2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8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have entered into collaborations and licenses with CStone, Zai Lab, Proteovant, Clementia and IDRx for the development and commercialization of several of our drugs and drug candidates, and may enter into additional collaborations and licenses with other third parties in the future. The success of these arrangements will depend heavily on the efforts and activities of our collaborators and licensing partners. Collaborators generally have significant discretion in determining the efforts and resources that they will apply to these collaborations.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or result in litigation or arbitration, which would be time-consuming</w:t>
      </w:r>
    </w:p>
    <w:p>
      <w:pPr>
        <w:sectPr>
          <w:pgSz w:w="11900" w:h="16838" w:orient="portrait"/>
          <w:cols w:equalWidth="0" w:num="1">
            <w:col w:w="9019"/>
          </w:cols>
          <w:pgMar w:left="1440" w:top="513" w:right="1440" w:bottom="1440" w:gutter="0" w:footer="0" w:header="0"/>
        </w:sect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and expensive. Licensors generally have sole discretion in determining the efforts and resources that they will apply to the licensed products.</w:t>
      </w:r>
    </w:p>
    <w:p>
      <w:pPr>
        <w:spacing w:after="0" w:line="162"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Collaborations and licenses with pharmaceutical or biotechnology companies and other third parties often are terminated or allowed to expire by the other party. Any termination or expiration of our collaboration or license agreements with CStone, Zai Lab, Proteovant, Clementia or IDRx, or of any future collaboration or license agreement, could adversely affect us financially or harm our business reputation. For example, in February 2023, Roche provided written notice of its election to terminate for convenience our collaboration agreement for the development and commercialization of GAVRETO worldwide, excluding the CStone Territory. While we will regain rights to the development and commercialization of GAVRETO following the effective date of such termination, there can be no assurance that we will be able to successfully enter into a new arrangement with a third party to collaborate on the development and commercialization or GAVRETO. Further, following the termination of such collaboration agreement, we have not otherwise met the net sales milestone thresholds under the Royalty Purchase Agreement with Royalty Pharma and are no longer be eligible to receive any of the contingent milestone payments under the Royalty Purchase Agreement. However, the failure to meet such milestone thresholds shall not affect the $175.0 million upfront payment received.</w:t>
      </w:r>
    </w:p>
    <w:p>
      <w:pPr>
        <w:spacing w:after="0" w:line="179" w:lineRule="exact"/>
        <w:rPr>
          <w:sz w:val="20"/>
          <w:szCs w:val="20"/>
          <w:color w:val="auto"/>
        </w:rPr>
      </w:pPr>
    </w:p>
    <w:p>
      <w:pPr>
        <w:ind w:left="60" w:right="5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5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9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9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9" w:lineRule="exact"/>
        <w:rPr>
          <w:sz w:val="20"/>
          <w:szCs w:val="20"/>
          <w:color w:val="auto"/>
        </w:rPr>
      </w:pPr>
    </w:p>
    <w:p>
      <w:pPr>
        <w:ind w:left="1340" w:hanging="318"/>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hanging="318"/>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Some of these factors may be beyond our control.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9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spacing w:after="0" w:line="188" w:lineRule="exact"/>
        <w:rPr>
          <w:sz w:val="20"/>
          <w:szCs w:val="20"/>
          <w:color w:val="auto"/>
        </w:rPr>
      </w:pPr>
    </w:p>
    <w:p>
      <w:pPr>
        <w:ind w:left="60" w:right="4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84"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facilities used by our contract manufacturing organizations (CMOs) to manufacture our drugs and drug candidates must be approved by the FDA pursuant to inspections that will be conducted after we submit our marketing applications to the FDA. We do not control the manufacturing process of, and will be completely dependent on, our CMOs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CMOs to maintain adequate quality control, quality assurance and qualified personnel. If the FDA or a comparable foreign regulatory authority does not approve these facilities for the manufacture of our drugs and drug candidates,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w:t>
      </w:r>
    </w:p>
    <w:p>
      <w:pPr>
        <w:sectPr>
          <w:pgSz w:w="11900" w:h="16838" w:orient="portrait"/>
          <w:cols w:equalWidth="0" w:num="1">
            <w:col w:w="9019"/>
          </w:cols>
          <w:pgMar w:left="1440" w:top="513" w:right="1440" w:bottom="1440" w:gutter="0" w:footer="0" w:header="0"/>
        </w:sect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67" w:lineRule="auto"/>
        <w:rPr>
          <w:sz w:val="20"/>
          <w:szCs w:val="20"/>
          <w:color w:val="auto"/>
        </w:rPr>
      </w:pPr>
      <w:r>
        <w:rPr>
          <w:rFonts w:ascii="Times New Roman" w:cs="Times New Roman" w:eastAsia="Times New Roman" w:hAnsi="Times New Roman"/>
          <w:sz w:val="17"/>
          <w:szCs w:val="17"/>
          <w:color w:val="auto"/>
        </w:rPr>
        <w:t>clinical trials supply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drug candidate according to the specifications previously submitted to or approved by the FDA or another regulatory authority. The delays associated with the verification of a new CMO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CMO or require us to obtain a license from such CMO in order to have another CMO manufacture our drug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200" w:lineRule="exact"/>
        <w:rPr>
          <w:sz w:val="20"/>
          <w:szCs w:val="20"/>
          <w:color w:val="auto"/>
        </w:rPr>
      </w:pPr>
    </w:p>
    <w:p>
      <w:pPr>
        <w:spacing w:after="0" w:line="20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do not have long-term supply agreements with all of our CMOs, and may purchase our required drug supply, including the API, drug product and drug substance used in our drugs and drug candidates, on a purchase order basis with certain CMOs.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83" w:lineRule="exact"/>
        <w:rPr>
          <w:sz w:val="20"/>
          <w:szCs w:val="20"/>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225" w:lineRule="exact"/>
        <w:rPr>
          <w:rFonts w:ascii="Times New Roman" w:cs="Times New Roman" w:eastAsia="Times New Roman" w:hAnsi="Times New Roman"/>
          <w:sz w:val="18"/>
          <w:szCs w:val="18"/>
          <w:color w:val="auto"/>
        </w:rPr>
      </w:pPr>
    </w:p>
    <w:p>
      <w:pPr>
        <w:ind w:left="1340" w:right="159" w:hanging="318"/>
        <w:spacing w:after="0" w:line="282" w:lineRule="auto"/>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61" w:lineRule="exact"/>
        <w:rPr>
          <w:rFonts w:ascii="Times New Roman" w:cs="Times New Roman" w:eastAsia="Times New Roman" w:hAnsi="Times New Roman"/>
          <w:sz w:val="18"/>
          <w:szCs w:val="18"/>
          <w:color w:val="auto"/>
        </w:rPr>
      </w:pPr>
    </w:p>
    <w:p>
      <w:pPr>
        <w:ind w:left="1340" w:right="499" w:hanging="318"/>
        <w:spacing w:after="0" w:line="282" w:lineRule="auto"/>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48" w:lineRule="exact"/>
        <w:rPr>
          <w:sz w:val="20"/>
          <w:szCs w:val="20"/>
          <w:color w:val="auto"/>
        </w:rPr>
      </w:pPr>
    </w:p>
    <w:p>
      <w:pPr>
        <w:ind w:left="60" w:right="179" w:firstLine="648"/>
        <w:spacing w:after="0" w:line="269" w:lineRule="auto"/>
        <w:rPr>
          <w:sz w:val="20"/>
          <w:szCs w:val="20"/>
          <w:color w:val="auto"/>
        </w:rPr>
      </w:pPr>
      <w:r>
        <w:rPr>
          <w:rFonts w:ascii="Times New Roman" w:cs="Times New Roman" w:eastAsia="Times New Roman" w:hAnsi="Times New Roman"/>
          <w:sz w:val="17"/>
          <w:szCs w:val="17"/>
          <w:color w:val="auto"/>
        </w:rPr>
        <w:t>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COVID-19 pandemic, there was public concern over the availability and accessibility of critical medical products, and the CARES Act enhanced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 If we experience shortages in the supply of our marketed products, our results could be materially impacted.</w:t>
      </w:r>
    </w:p>
    <w:p>
      <w:pPr>
        <w:spacing w:after="0" w:line="17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all of our bulk drug substances. If our current CMOs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176"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substance and drug product used in avapritinib are our sole source of supply, and the loss of any of these suppliers could significantly harm our business.</w:t>
      </w:r>
    </w:p>
    <w:p>
      <w:pPr>
        <w:spacing w:after="0" w:line="15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or approved drugs and our financial condition.</w:t>
      </w:r>
    </w:p>
    <w:p>
      <w:pPr>
        <w:spacing w:after="0" w:line="193"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2023.</w:t>
      </w:r>
    </w:p>
    <w:p>
      <w:pPr>
        <w:spacing w:after="0" w:line="19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88"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67"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We have relied on certain third parties located in China to manufacture and supply certain raw materials used in our drugs and our drug candidates, and we expect to continue to use such third-party manufacturers for such purposes. In addition, certain of our drug candidates are being evaluated at clinical trial sites in China under our collaboration with CStone and through CROs located in China. A natural disaster, epidemic or pandemic disease outbreaks, trade war, political unrest or other events in China could disrupt the business or operations of CROs, collaborators, manufacturers or other third parties with whom we conduct business now or in the 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w:t>
      </w:r>
    </w:p>
    <w:p>
      <w:pPr>
        <w:sectPr>
          <w:pgSz w:w="11900" w:h="16838" w:orient="portrait"/>
          <w:cols w:equalWidth="0" w:num="1">
            <w:col w:w="9019"/>
          </w:cols>
          <w:pgMar w:left="1440" w:top="513" w:right="1440" w:bottom="1440" w:gutter="0" w:footer="0" w:header="0"/>
        </w:sect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appreciation of the local currency in China or increased labor costs if the demand for skilled laborers increases in China and the availability of skilled labor declines in China.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6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drugs and drug candidates and our core technologies, including our novel target discovery engine, our proprietary compound library, targeted protein degrader platform and other know-how. We seek to protect our proprietary and intellectual property position by, among other methods, filing patent applications in the U.S. and abroad related to our proprietary compounds, as well as the use of these compounds in the treatment of diseases, formulations, solid forms, and manufacturing processes and other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78" w:lineRule="exact"/>
        <w:rPr>
          <w:sz w:val="20"/>
          <w:szCs w:val="20"/>
          <w:color w:val="auto"/>
        </w:rPr>
      </w:pPr>
    </w:p>
    <w:p>
      <w:pPr>
        <w:ind w:left="60" w:right="599" w:firstLine="648"/>
        <w:spacing w:after="0" w:line="26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6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a patent owned by third parties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69" w:lineRule="exact"/>
        <w:rPr>
          <w:sz w:val="20"/>
          <w:szCs w:val="20"/>
          <w:color w:val="auto"/>
        </w:rPr>
      </w:pPr>
    </w:p>
    <w:p>
      <w:pPr>
        <w:jc w:val="both"/>
        <w:ind w:left="60" w:right="259" w:firstLine="648"/>
        <w:spacing w:after="0" w:line="289" w:lineRule="auto"/>
        <w:rPr>
          <w:sz w:val="20"/>
          <w:szCs w:val="20"/>
          <w:color w:val="auto"/>
        </w:rPr>
      </w:pPr>
      <w:r>
        <w:rPr>
          <w:rFonts w:ascii="Times New Roman" w:cs="Times New Roman" w:eastAsia="Times New Roman" w:hAnsi="Times New Roman"/>
          <w:sz w:val="17"/>
          <w:szCs w:val="17"/>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w:t>
      </w:r>
    </w:p>
    <w:p>
      <w:pPr>
        <w:sectPr>
          <w:pgSz w:w="11900" w:h="16838" w:orient="portrait"/>
          <w:cols w:equalWidth="0" w:num="1">
            <w:col w:w="9019"/>
          </w:cols>
          <w:pgMar w:left="1440" w:top="513" w:right="1440" w:bottom="1440" w:gutter="0" w:footer="0" w:header="0"/>
        </w:sect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Trademark Office, or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 and if our patents are successfully challenged, we may face generic competition prior to the expiration dates of our U.S. Orange Book listed patents.</w:t>
      </w:r>
    </w:p>
    <w:p>
      <w:pPr>
        <w:spacing w:after="0" w:line="16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165"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188" w:lineRule="exact"/>
        <w:rPr>
          <w:sz w:val="20"/>
          <w:szCs w:val="20"/>
          <w:color w:val="auto"/>
        </w:rPr>
      </w:pPr>
    </w:p>
    <w:p>
      <w:pPr>
        <w:ind w:left="60" w:right="6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36"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w:t>
      </w:r>
    </w:p>
    <w:p>
      <w:pPr>
        <w:sectPr>
          <w:pgSz w:w="11900" w:h="16838" w:orient="portrait"/>
          <w:cols w:equalWidth="0" w:num="1">
            <w:col w:w="9019"/>
          </w:cols>
          <w:pgMar w:left="1440" w:top="513" w:right="1440"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0" w:lineRule="auto"/>
        <w:rPr>
          <w:sz w:val="20"/>
          <w:szCs w:val="20"/>
          <w:color w:val="auto"/>
        </w:rPr>
      </w:pPr>
      <w:r>
        <w:rPr>
          <w:rFonts w:ascii="Times New Roman" w:cs="Times New Roman" w:eastAsia="Times New Roman" w:hAnsi="Times New Roman"/>
          <w:sz w:val="18"/>
          <w:szCs w:val="18"/>
          <w:color w:val="auto"/>
        </w:rPr>
        <w:t>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For example, we are aware of a patent owned by a third party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95"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pacing w:after="0" w:line="19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186"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59"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and other intellectual property rights. To counter infringement or unauthorized use, including against ANDA filers, we may be required to resort to litigation, that includes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1"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79"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4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90" w:lineRule="exact"/>
        <w:rPr>
          <w:sz w:val="20"/>
          <w:szCs w:val="20"/>
          <w:color w:val="auto"/>
        </w:rPr>
      </w:pPr>
    </w:p>
    <w:p>
      <w:pPr>
        <w:ind w:left="60" w:right="259" w:firstLine="648"/>
        <w:spacing w:after="0" w:line="274" w:lineRule="auto"/>
        <w:rPr>
          <w:sz w:val="20"/>
          <w:szCs w:val="20"/>
          <w:color w:val="auto"/>
        </w:rPr>
      </w:pPr>
      <w:r>
        <w:rPr>
          <w:rFonts w:ascii="Times New Roman" w:cs="Times New Roman" w:eastAsia="Times New Roman" w:hAnsi="Times New Roman"/>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55" w:lineRule="exact"/>
        <w:rPr>
          <w:sz w:val="20"/>
          <w:szCs w:val="20"/>
          <w:color w:val="auto"/>
        </w:rPr>
      </w:pPr>
    </w:p>
    <w:p>
      <w:pPr>
        <w:ind w:left="6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obtain, or in applicable cases maintain, patent term extension or non-patent exclusivity in the United States under the Hatch-Waxman Act and in foreign countries under similar legislation, thereby potentially extending the marketing exclusivity term of our products or product candidates, our business may be materially harmed.</w:t>
      </w:r>
    </w:p>
    <w:p>
      <w:pPr>
        <w:spacing w:after="0" w:line="49" w:lineRule="exact"/>
        <w:rPr>
          <w:sz w:val="20"/>
          <w:szCs w:val="20"/>
          <w:color w:val="auto"/>
        </w:rPr>
      </w:pPr>
    </w:p>
    <w:p>
      <w:pPr>
        <w:ind w:left="60" w:right="79" w:firstLine="500"/>
        <w:spacing w:after="0" w:line="250"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products or product candidates, one of the U.S. patents covering each of such products or product candidates or the use thereof may be eligible for up to five years of patent term extension under the Hatch-Waxman Act.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94" w:lineRule="exact"/>
        <w:rPr>
          <w:sz w:val="20"/>
          <w:szCs w:val="20"/>
          <w:color w:val="auto"/>
        </w:rPr>
      </w:pPr>
    </w:p>
    <w:p>
      <w:pPr>
        <w:ind w:left="60" w:right="79" w:firstLine="500"/>
        <w:spacing w:after="0" w:line="261" w:lineRule="auto"/>
        <w:rPr>
          <w:sz w:val="20"/>
          <w:szCs w:val="20"/>
          <w:color w:val="auto"/>
        </w:rPr>
      </w:pPr>
      <w:r>
        <w:rPr>
          <w:rFonts w:ascii="Times New Roman" w:cs="Times New Roman" w:eastAsia="Times New Roman" w:hAnsi="Times New Roman"/>
          <w:sz w:val="18"/>
          <w:szCs w:val="18"/>
          <w:color w:val="auto"/>
        </w:rPr>
        <w:t>If we are unable to obtain patent term extension,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w:t>
      </w:r>
    </w:p>
    <w:p>
      <w:pPr>
        <w:spacing w:after="0" w:line="180" w:lineRule="exact"/>
        <w:rPr>
          <w:sz w:val="20"/>
          <w:szCs w:val="20"/>
          <w:color w:val="auto"/>
        </w:rPr>
      </w:pPr>
    </w:p>
    <w:p>
      <w:pPr>
        <w:ind w:left="60" w:right="79" w:firstLine="500"/>
        <w:spacing w:after="0" w:line="253" w:lineRule="auto"/>
        <w:rPr>
          <w:sz w:val="20"/>
          <w:szCs w:val="20"/>
          <w:color w:val="auto"/>
        </w:rPr>
      </w:pPr>
      <w:r>
        <w:rPr>
          <w:rFonts w:ascii="Times New Roman" w:cs="Times New Roman" w:eastAsia="Times New Roman" w:hAnsi="Times New Roman"/>
          <w:sz w:val="18"/>
          <w:szCs w:val="18"/>
          <w:color w:val="auto"/>
        </w:rPr>
        <w:t>It is possible that we will not obtain patent term extension under the Hatch-Waxman Act for a U.S. patent covering a product candidate even where that patent is eligible for patent term extension, or if we obtain such an extension, it may be for a shorter period than we had sought. Further, for certain of our licensed patents, we do not have the right to control prosecution, including filing with the USPTO, an application for patent term extension under the Hatch-Waxman Act. Thus, if one of our licensed patents is eligible for patent term extension under the Hatch-Waxman Act, we may not be able to control whether an application to obtain a patent term extension is filed, or an extension obtained, from the USPTO.</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firstLine="500"/>
        <w:spacing w:after="0" w:line="255" w:lineRule="auto"/>
        <w:rPr>
          <w:sz w:val="20"/>
          <w:szCs w:val="20"/>
          <w:color w:val="auto"/>
        </w:rPr>
      </w:pPr>
      <w:r>
        <w:rPr>
          <w:rFonts w:ascii="Times New Roman" w:cs="Times New Roman" w:eastAsia="Times New Roman" w:hAnsi="Times New Roman"/>
          <w:sz w:val="18"/>
          <w:szCs w:val="18"/>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a patent covering one of our approved products is not listed in the Orange Book, a manufacturer of generic drugs would not have to provide advance notice to us of any abbreviated new drug application, or ANDA, filed with the FDA to obtain permission to sell a generic version of such product.</w:t>
      </w:r>
    </w:p>
    <w:p>
      <w:pPr>
        <w:spacing w:after="0" w:line="175" w:lineRule="exact"/>
        <w:rPr>
          <w:sz w:val="20"/>
          <w:szCs w:val="20"/>
          <w:color w:val="auto"/>
        </w:rPr>
      </w:pPr>
    </w:p>
    <w:p>
      <w:pPr>
        <w:ind w:left="60" w:right="99" w:firstLine="500"/>
        <w:spacing w:after="0" w:line="256" w:lineRule="auto"/>
        <w:rPr>
          <w:sz w:val="20"/>
          <w:szCs w:val="20"/>
          <w:color w:val="auto"/>
        </w:rPr>
      </w:pPr>
      <w:r>
        <w:rPr>
          <w:rFonts w:ascii="Times New Roman" w:cs="Times New Roman" w:eastAsia="Times New Roman" w:hAnsi="Times New Roman"/>
          <w:sz w:val="18"/>
          <w:szCs w:val="18"/>
          <w:color w:val="auto"/>
        </w:rPr>
        <w:t>Depending upon the timing and specifics of marketing approval of our products, the FDA and other applicable regulatory authorities may grant certain non-patent exclusivities. However, we may be unable to secure or maintain additional non-patent exclusivity for our products or maintain any non-patent exclusivity. Similarly, although we intend to seek new chemical entity exclusivity, and potentially other exclusivities, for product candidates we are developing, we may not be successful in doing so. Moreover, these non-patent exclusivities, if granted, are limited and other companies may be able to submit marketing applications and receive approval earlier than we anticipate.</w:t>
      </w:r>
    </w:p>
    <w:p>
      <w:pPr>
        <w:spacing w:after="0" w:line="170"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enforce our intellectual property rights throughout the world.</w:t>
      </w:r>
    </w:p>
    <w:p>
      <w:pPr>
        <w:spacing w:after="0" w:line="216"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195"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159"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Under our current license agreements, we may not have the final or sole decision on whether we are able to opt out certain of our in-licensed European patents and patent applications from the recently created Unified Patent Court (UPC) for the European Union, that was ratified on June 1, 2023. Our licensors may decide to not opt out the of the UPC, which would subject our in-licensed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176"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45" w:lineRule="exact"/>
        <w:rPr>
          <w:sz w:val="20"/>
          <w:szCs w:val="20"/>
          <w:color w:val="auto"/>
        </w:rPr>
      </w:pPr>
    </w:p>
    <w:p>
      <w:pPr>
        <w:ind w:left="60" w:right="179" w:firstLine="648"/>
        <w:spacing w:after="0" w:line="251"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recently created UPC for the European Union, that was ratified on June 1, 2023.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19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59"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or the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94" w:lineRule="exact"/>
        <w:rPr>
          <w:sz w:val="20"/>
          <w:szCs w:val="20"/>
          <w:color w:val="auto"/>
        </w:rPr>
      </w:pPr>
    </w:p>
    <w:p>
      <w:pPr>
        <w:ind w:left="60" w:right="199" w:firstLine="648"/>
        <w:spacing w:after="0" w:line="270" w:lineRule="auto"/>
        <w:rPr>
          <w:sz w:val="20"/>
          <w:szCs w:val="20"/>
          <w:color w:val="auto"/>
        </w:rPr>
      </w:pPr>
      <w:r>
        <w:rPr>
          <w:rFonts w:ascii="Times New Roman" w:cs="Times New Roman" w:eastAsia="Times New Roman" w:hAnsi="Times New Roman"/>
          <w:sz w:val="17"/>
          <w:szCs w:val="17"/>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5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and targeted degrader platform,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194"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5" w:lineRule="exact"/>
        <w:rPr>
          <w:sz w:val="20"/>
          <w:szCs w:val="20"/>
          <w:color w:val="auto"/>
        </w:rPr>
      </w:pPr>
    </w:p>
    <w:p>
      <w:pPr>
        <w:ind w:left="60" w:right="139" w:firstLine="648"/>
        <w:spacing w:after="0" w:line="249"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including Employee Matters, Managing Growth and Others</w:t>
      </w:r>
    </w:p>
    <w:p>
      <w:pPr>
        <w:spacing w:after="0" w:line="225" w:lineRule="exact"/>
        <w:rPr>
          <w:sz w:val="20"/>
          <w:szCs w:val="20"/>
          <w:color w:val="auto"/>
        </w:rPr>
      </w:pPr>
    </w:p>
    <w:p>
      <w:pPr>
        <w:ind w:left="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5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commercial, business development, financial and legal expertise of our executive officers, as well as the other principal members of our management, scientific and clinical team. Although we have entered into employment agreements with our executive officers, each of</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our executive officers may terminate their employment with us at any time. In addition, insurance coverage is increasingly expensive, including with respect to directors and officers liability insurance, or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70"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9"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As of January 31, 2024, we had 655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231"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186"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COVID-19 pandemic caused extreme volatility and disruptions in the capital and credit markets. In addition, geopolitical developments, such as the Israeli-Palestinian conflict, Russian invasion of Ukraine or deterioration in the bilateral relationship between the U.S. and China could contribute to disruption, instability and volatility in the global markets, as well as an increased inflation, which in turn could adversely impact our operations and those of third parties upon which we rely. Geopolitical conflicts could also have an adverse impact on third parties located in the involved jurisdictions, which could in turn have an adverse impact on our business. For example, certain of our distributors are located in Israel, and may be adversely impacted by the Israeli-Palestinian conflict. Related sanctions, export controls or other actions that may be initiated by nations including the U.S., the EU, Israel or Russia (e.g., potential cyberattacks, disruption of energy flows) could adversely affect our business, our supply</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chain, CROs, CMOs, clinical trial sites, collaborative partners, distributors or other third parties with which we conduct business. There can be no assurance that further deterioration in credit and financial markets and confidence in economic conditions will not occur.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Political developments can also lead to uncertainty around regulations and rules that may materially affect our business. For example, as the UK regulatory system is now independent from the EU, a long-term effect of Brexit could be that the UK significantly alters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 and elsewhere.</w:t>
      </w:r>
    </w:p>
    <w:p>
      <w:pPr>
        <w:spacing w:after="0" w:line="183"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Rising inflation rates could negatively impact our revenues and profitability if increases in the prices of our products or a decrease in spending on products in the biopharmaceutical industry in general results in lower sales by us or those who we collaborate with. In addition, if our costs increase and we are not able to correspondingly adjust our commercial relationships to account for this increase, our net income would be adversely affected, and the adverse impact may be material.</w:t>
      </w:r>
    </w:p>
    <w:p>
      <w:pPr>
        <w:spacing w:after="0" w:line="18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United States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and potential adverse impacts on our competitive position if there is a decrease in spending on products in the biopharmaceutical industry in general or a negative reaction to our pricing or the pricing of those we do, or will collaborate with. A reduction in our revenue would be detrimental to our profitability and financial condition and could also have an adverse impact on our future growth.</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rates fluctuations could have an adverse impact on our operating results.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contract with vendors that are located in Asia and Europe, which are denominated in foreign currencies. We are subject to fluctuations in foreign currency rates in connection with these agreements.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Continued fluctuations in foreign exchange rates can impact our operating results and financial condition.</w:t>
      </w:r>
    </w:p>
    <w:p>
      <w:pPr>
        <w:spacing w:after="0" w:line="18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4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spacing w:after="0" w:line="180" w:lineRule="exact"/>
        <w:rPr>
          <w:sz w:val="20"/>
          <w:szCs w:val="20"/>
          <w:color w:val="auto"/>
        </w:rPr>
      </w:pPr>
    </w:p>
    <w:p>
      <w:pPr>
        <w:ind w:left="60" w:right="179" w:firstLine="648"/>
        <w:spacing w:after="0" w:line="249" w:lineRule="auto"/>
        <w:rPr>
          <w:sz w:val="20"/>
          <w:szCs w:val="20"/>
          <w:color w:val="auto"/>
        </w:rPr>
      </w:pPr>
      <w:r>
        <w:rPr>
          <w:rFonts w:ascii="Times New Roman" w:cs="Times New Roman" w:eastAsia="Times New Roman" w:hAnsi="Times New Roman"/>
          <w:sz w:val="18"/>
          <w:szCs w:val="18"/>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 and could include the use of artificial intelligence, or AI, and machine learning to launch more automated, targeted and coordinated attacks on targets.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202"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74"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Similarly, the increasing use of AI, and machine learning technology in the biopharmaceutical industry presents new risks and challenges. The use of AI based software may lead to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w:t>
      </w:r>
    </w:p>
    <w:p>
      <w:pPr>
        <w:spacing w:after="0" w:line="171" w:lineRule="exact"/>
        <w:rPr>
          <w:sz w:val="20"/>
          <w:szCs w:val="20"/>
          <w:color w:val="auto"/>
        </w:rPr>
      </w:pPr>
    </w:p>
    <w:p>
      <w:pPr>
        <w:jc w:val="both"/>
        <w:ind w:left="60" w:right="1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3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color w:val="auto"/>
        </w:rPr>
        <w:t>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w:t>
      </w:r>
    </w:p>
    <w:p>
      <w:pPr>
        <w:spacing w:after="0" w:line="1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do not have control over the operations of the facilities of our cloud service providers and our third-party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223"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20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Notably, for example, in Europe, the European General Data Protection Regulation 2016/679, which is commonly referred to as GDPR applies to any company established in the European Economic Area, or EEA, as well as any company outside the EEA that collects or otherwise processes personal data in connection with the offering goods or services to individuals in the EEA or the monitoring of their behavior. The GDPR imposes data protection obligations on processors and controllers of personal data, including, for example, disclosures about how personal information is to be used, having a valid legal basis to process personal data, maintaining records of our processing activities and documenting data protection impact assessments where there is high risk processing, limitations on retention of information, mandatory data breach notification requirements, ensuring appropriate technical and organizational measures are put in place to safeguard personal data and onerous obligations on services providers. Penalties under the GDPR include fines of up to €20 million or 4% of total worldwide annual turnover, whichever is higher. EEA Member States have adopted national laws to implement the GDPR which may partially deviate from the GDPR. Further, competent authorities in the EEA Member States may interpret GDPR obligations slightly differently from country to country. For these reasons, we do not expect to operate in a uniform legal landscape in the EEA.</w:t>
      </w:r>
    </w:p>
    <w:p>
      <w:pPr>
        <w:spacing w:after="0" w:line="223"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Further to the UK’s exit from the European Union on January 31, 2020, the UK incorporated the GDPR (as it existed on December 31, 2020 but subject to certain UK specific amendments) into UK law (referred to as the UK GDPR). The UK GDPR and the UK Data Protection Act 2018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European Commission has issued a decision recognizing the UK as providing adequate protection under the EU GDPR and, therefore, transfers of personal data originating in the EEA to the UK remain unrestricted. Likewise The UK government has confirmed that personal data transfers from the UK to the EEA remain free flowing. The UK Government has introduced a Data Protection and Digital Information Bill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(“EC”). This may lead to additional compliance costs and could increase our overall risk. The respective provisions and enforcement of the EU GDPR and UK GDPR may further diverge in the future and create additional regulatory challenges and uncertainties.</w:t>
      </w:r>
    </w:p>
    <w:p>
      <w:pPr>
        <w:spacing w:after="0" w:line="223"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UK or EEA.</w:t>
      </w:r>
    </w:p>
    <w:p>
      <w:pPr>
        <w:spacing w:after="0" w:line="207"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Further, European data protection laws also regulates the transfer of personal data from the EEA, the UK and Switzerland to third countries that are not considered to provide adequate protections to personal data. On June 4, 2021,</w:t>
      </w:r>
    </w:p>
    <w:p>
      <w:pPr>
        <w:sectPr>
          <w:pgSz w:w="11900" w:h="16838" w:orient="portrait"/>
          <w:cols w:equalWidth="0" w:num="1">
            <w:col w:w="9019"/>
          </w:cols>
          <w:pgMar w:left="1440" w:top="513" w:right="1440" w:bottom="144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European Commission (“EC”) issued new Standard Contractual Clauses (“SCCs”) for data transfers from controllers or processors in the EEA (or otherwise subject to the EU GDPR) to controllers or processors established outside the EEA (and not subject to the EU GDPR). The new SCCs replace the SCCs that were adopted previously under the Data Protection Directive. The UK is not subject to the EC’s new SCCs but has published its own standard clauses, the International Data Transfer Agreement, which enables transfers from the UK. We will be required to implement these new safeguards when conducting restricted data transfers under the EU GDPR and UK GDPR and doing so will require significant effort and cost. Where relying on the SCCs or UK IDTA for data transfers, we may also be required to carry out transfer impact assessments to assess whether the recipient is subject to local laws which allow public authority access to personal data.</w:t>
      </w:r>
    </w:p>
    <w:p>
      <w:pPr>
        <w:spacing w:after="0" w:line="23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July 10, 2023, the EU adopted an adequacy decision for a new “Data Privacy Framework,” which replaces the Privacy Shield, which the European Court of Justice invalidated in 2020 for personal data transferred from the EU to the U.S. On July 17, 2023 the U.S. Department of Commerce released registration means and requirements for U.S. companies to register. The Framework provides additional certification mechanisms to provide for UK and Swiss data transfers. We have registered and have active membership under the Framework, allowing for transfer of HR and non-HR data from Switzerland and EEA member states. We will be required to maintain these new safeguards when conducting restricted cross-border data transfers and doing so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21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While we have taken steps to mitigate the impact on us with respect to transfers of data, such as registering with the U.S. governing bodies managing the Data Privacy Framework, and implementing the SCCs where necessary in new contracts with our service providers, customers, subsidiaries, the validity of these transfer mechanisms remains uncertain. The previous data transfer mechanisms providing adequacy to enable cross-border transfers between the US and the EEA have been invalidated, and the Data Privacy Framework has already been challenged in several jurisdictions. Complying with this guidance as it exists today and evolves will be expensive and time consuming and may ultimately prevent us from transferring personal data outside Europe which would cause significant business disruption for ourselves and our customers and potentially require the changes in the way our products are configured, hosted and supported.</w:t>
      </w:r>
    </w:p>
    <w:p>
      <w:pPr>
        <w:spacing w:after="0" w:line="232" w:lineRule="exact"/>
        <w:rPr>
          <w:sz w:val="20"/>
          <w:szCs w:val="20"/>
          <w:color w:val="auto"/>
        </w:rPr>
      </w:pPr>
    </w:p>
    <w:p>
      <w:pPr>
        <w:jc w:val="both"/>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addition, we are subject to Swiss data protection laws, including the Federal Act on Data Protection, or FADP. While the FADP provides broad protections to personal data, on September 25, 2020, the Swiss federal Parliament enacted a revised version of the FADP, which is anticipated to become effective in September 2023. The new version of the FADP aligns Swiss data protection law with the GDPR. We have updated our agreements to reflect the new requirements per the FADP, but further modifications or changes may require revisiting these agreements.</w:t>
      </w:r>
    </w:p>
    <w:p>
      <w:pPr>
        <w:spacing w:after="0" w:line="22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Further, in addition to existing European data protection law, the European Union also is considering another draft data protection regulation. The proposed regulation, known as the Regulation on Privacy and Electronic Communications (ePrivacy Regulation), would replace the current ePrivacy Directive. It is unclear whether and/or when the Draft Regulation will enter into force.</w:t>
      </w:r>
    </w:p>
    <w:p>
      <w:pPr>
        <w:spacing w:after="0" w:line="22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Preparing for and complying with the evolving application of the GDPR, national laws in Switzerland and the UK, as well as ePrivacy Regulation (if and when it becomes effective) has required and will continue to require us to incur substantial operational costs and may require us to change our business practices. Despite our efforts to bring practices into compliance with the GDPR, appliable national data protection laws and before the effective date of the ePrivacy Regulation, we may not be successful either due to internal or external factors such as resource allocation limitations. Non-compliance could result in proceedings, fines or penalties against us by governmental entities, customers, data subjects, consumer associations or others.</w:t>
      </w:r>
    </w:p>
    <w:p>
      <w:pPr>
        <w:spacing w:after="0" w:line="214" w:lineRule="exact"/>
        <w:rPr>
          <w:sz w:val="20"/>
          <w:szCs w:val="20"/>
          <w:color w:val="auto"/>
        </w:rPr>
      </w:pPr>
    </w:p>
    <w:p>
      <w:pPr>
        <w:ind w:left="60" w:right="239" w:firstLine="648"/>
        <w:spacing w:after="0" w:line="274" w:lineRule="auto"/>
        <w:rPr>
          <w:sz w:val="20"/>
          <w:szCs w:val="20"/>
          <w:color w:val="auto"/>
        </w:rPr>
      </w:pPr>
      <w:r>
        <w:rPr>
          <w:rFonts w:ascii="Times New Roman" w:cs="Times New Roman" w:eastAsia="Times New Roman" w:hAnsi="Times New Roman"/>
          <w:sz w:val="17"/>
          <w:szCs w:val="17"/>
          <w:color w:val="auto"/>
        </w:rPr>
        <w:t>In addition to European data protection requirements, we are subject to the California Consumer Privacy Act, or CCPA,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w:t>
      </w: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73" w:lineRule="auto"/>
        <w:rPr>
          <w:sz w:val="20"/>
          <w:szCs w:val="20"/>
          <w:color w:val="auto"/>
        </w:rPr>
      </w:pPr>
      <w:r>
        <w:rPr>
          <w:rFonts w:ascii="Times New Roman" w:cs="Times New Roman" w:eastAsia="Times New Roman" w:hAnsi="Times New Roman"/>
          <w:sz w:val="17"/>
          <w:szCs w:val="17"/>
          <w:color w:val="auto"/>
        </w:rPr>
        <w:t>July 1, 2020, but there continues to be uncertainty about how the law will be interpreted and enforced. The CCPA was amended by the California Privacy Rights Act (CPRA) which became effective on January 1, 2023. The CPRA imposes additional obligations on companies covered by the legislation and significantly modified the CCPA, including by expanding consumers’ rights with respect to certain sensitive personal information. The CPRA also created a new state agency that is vested with authority to implement and enforce the CCPA. The effects of the CCPA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9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CCPA, new privacy and data security laws have been enacted in numerous other states and have been proposed in even more states as well as in the U.S. Congress, reflecting a trend toward more stringent privacy legislation in the U.S., which may accelerate. Furthermore, a smaller number of states have passed or are considering laws that are specifically focused upon health privacy, such as Washington’s My Health My Data Act. The effects of state and federal privacy laws are potentially significant and may require us to modify our data processing practices and policies and to incur substantial costs and potential liability in an effort to comply with such legislation.</w:t>
      </w:r>
    </w:p>
    <w:p>
      <w:pPr>
        <w:spacing w:after="0" w:line="230" w:lineRule="exact"/>
        <w:rPr>
          <w:sz w:val="20"/>
          <w:szCs w:val="20"/>
          <w:color w:val="auto"/>
        </w:rPr>
      </w:pPr>
    </w:p>
    <w:p>
      <w:pPr>
        <w:ind w:left="60" w:right="299" w:firstLine="648"/>
        <w:spacing w:after="0" w:line="254" w:lineRule="auto"/>
        <w:rPr>
          <w:sz w:val="20"/>
          <w:szCs w:val="20"/>
          <w:color w:val="auto"/>
        </w:rPr>
      </w:pPr>
      <w:r>
        <w:rPr>
          <w:rFonts w:ascii="Times New Roman" w:cs="Times New Roman" w:eastAsia="Times New Roman" w:hAnsi="Times New Roman"/>
          <w:sz w:val="18"/>
          <w:szCs w:val="18"/>
          <w:color w:val="auto"/>
        </w:rPr>
        <w:t>Additionally, the Federal Trade Commission (FTC) has focused enforcement actions in the healthcare space. Multiple enforcement actions around how healthcare companies collect, notice and share personal data have provided important signals on points of emphasis for us to focus our compliance efforts. We have taken necessary steps to comply with guidance to date, however guidance and enforcement actions may require additional investment of resources in compliance programs and/or changes in business practices and policies.</w:t>
      </w:r>
    </w:p>
    <w:p>
      <w:pPr>
        <w:spacing w:after="0" w:line="22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On October 30, 2023, President Biden issued an Executive Order on Safe, Secure, and Trustworthy Artificial Intelligence which provided a framework for and a call for Congress to enact laws establishing the appropriate development and use of artificial intelligence (AI.) The widespread use of generative AI and natural language processing tools have significant risk when used in the healthcare space. We are exposed to risks associated with employees utilizing generative AI in methods and ways that are contrary to the framework laid out by the Executive Order or the subsequent complementary laws. We will need to invest resources to ensure appropriate development and use of any generative AI, or like-technology, and to develop internal compliance policies and procedures addressing this use.</w:t>
      </w:r>
    </w:p>
    <w:p>
      <w:pPr>
        <w:spacing w:after="0" w:line="228"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Cybersecurity presents an ongoing risk vector for our company. A cybersecurity incident impacting our internal systems or network could compromise sensitive information of patients and employees, requiring additional resources to enable us to ensure remediation and proper notification. Additionally, we rely on vendors to provide many services where they collect, use or process sensitive data on our behalf or jointly. An incident compromising the databases of our internal network or our vendor’s information may materially impact our ability to continue development of our products or have appropriate data to complete FDA submissions. If data related to drug development is compromised, the integrity of that data might be impacted in such a way to render it unusable or potentially modified to a degree it will not be reliable. This type of attack may have material financial impacts resulting from a cybersecurity incident disclosing or making unavailable IP related to our drug development through a ransomware attack or similar method. The continued development and management of our Information Security function may require additional investment of resources to mature our ability to prevent and respond to cybersecurity incidents.</w:t>
      </w:r>
    </w:p>
    <w:p>
      <w:pPr>
        <w:spacing w:after="0" w:line="23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83"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w:t>
      </w:r>
    </w:p>
    <w:p>
      <w:pPr>
        <w:spacing w:after="0" w:line="1" w:lineRule="exact"/>
        <w:rPr>
          <w:sz w:val="20"/>
          <w:szCs w:val="20"/>
          <w:color w:val="auto"/>
        </w:rPr>
      </w:pPr>
    </w:p>
    <w:p>
      <w:pPr>
        <w:ind w:left="60" w:right="219"/>
        <w:spacing w:after="0" w:line="249" w:lineRule="auto"/>
        <w:rPr>
          <w:sz w:val="20"/>
          <w:szCs w:val="20"/>
          <w:color w:val="auto"/>
        </w:rPr>
      </w:pPr>
      <w:r>
        <w:rPr>
          <w:rFonts w:ascii="Times New Roman" w:cs="Times New Roman" w:eastAsia="Times New Roman" w:hAnsi="Times New Roman"/>
          <w:sz w:val="18"/>
          <w:szCs w:val="18"/>
          <w:color w:val="auto"/>
        </w:rPr>
        <w:t>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9" w:lineRule="exact"/>
        <w:rPr>
          <w:sz w:val="20"/>
          <w:szCs w:val="20"/>
          <w:color w:val="auto"/>
        </w:rPr>
      </w:pPr>
    </w:p>
    <w:p>
      <w:pPr>
        <w:jc w:val="both"/>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29"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tax years beginning after December 31, 2021, the Tax Cuts and Jobs Act of 2017 (TCJA) eliminates the once available option to deduct research and development expenditures currently and requires taxpayers to amortize specified research expenditures attributable to domestic research over a period of five years and fifteen years for research activities attributable to foreign research. As of December 31, 2023, the U.S. Congress has not passed legislation that would defer the amortization requirement to future periods and as such the inability to deduct research and development expenditures in their entirety in 2023 had a material impact on the carryover of taxable losses used to offset future taxable income, and in turn will impact our cash flows in future years.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in the future be volatile and fluctuate substantially.</w:t>
      </w:r>
    </w:p>
    <w:p>
      <w:pPr>
        <w:spacing w:after="0" w:line="216" w:lineRule="exact"/>
        <w:rPr>
          <w:sz w:val="20"/>
          <w:szCs w:val="20"/>
          <w:color w:val="auto"/>
        </w:rPr>
      </w:pPr>
    </w:p>
    <w:p>
      <w:pPr>
        <w:jc w:val="both"/>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February 13, 2024. As a result of this volatility, our stockholders could incur substantial losses.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firstLine="648"/>
        <w:spacing w:after="0" w:line="277" w:lineRule="auto"/>
        <w:rPr>
          <w:sz w:val="20"/>
          <w:szCs w:val="20"/>
          <w:color w:val="auto"/>
        </w:rPr>
      </w:pPr>
      <w:r>
        <w:rPr>
          <w:rFonts w:ascii="Times New Roman" w:cs="Times New Roman" w:eastAsia="Times New Roman" w:hAnsi="Times New Roman"/>
          <w:sz w:val="17"/>
          <w:szCs w:val="17"/>
          <w:color w:val="auto"/>
        </w:rPr>
        <w:t>The stock market in general has recently experienced relatively large price and volume fluctuations.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168" w:lineRule="exact"/>
        <w:rPr>
          <w:sz w:val="20"/>
          <w:szCs w:val="20"/>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commercialization of our drugs and drug candidates, if approved;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drug candidates or those of our competitors;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drug candidates or clinical development programs;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drug candidates or drugs;</w:t>
      </w:r>
    </w:p>
    <w:p>
      <w:pPr>
        <w:spacing w:after="0" w:line="225" w:lineRule="exact"/>
        <w:rPr>
          <w:rFonts w:ascii="Times New Roman" w:cs="Times New Roman" w:eastAsia="Times New Roman" w:hAnsi="Times New Roman"/>
          <w:sz w:val="18"/>
          <w:szCs w:val="18"/>
          <w:color w:val="auto"/>
        </w:rPr>
      </w:pPr>
    </w:p>
    <w:p>
      <w:pPr>
        <w:ind w:left="1380" w:right="1179" w:hanging="331"/>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1380" w:right="399" w:hanging="331"/>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including the COVID-19 pandemic, trade wars, political unrest or other similar events;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Future sales or issuances of common stock or other equity related securities may also adversely affect the market price of our common stock. In February 2022, we entered into a new sales agreement with Cowen and Company, LLC through which we may, from time to time, issue and sell shares of our common stock having an aggregate offering price of up to $300.0 million, subject to the terms and conditions of the sales agreement. We did not sell any shares of common stock under this sales agreement during the year ended December 31, 2023. If we seek authorization to sell shares of common stock under the new sales agreement, enter into new “at the market” stock offering programs, or conduct a public offering or private offering through other means, it could lead to additional dilution for our stockholders and may impact our stock price adversely.</w:t>
      </w:r>
    </w:p>
    <w:p>
      <w:pPr>
        <w:spacing w:after="0" w:line="192"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in part on sales of our common shares through our at-the-market (ATM) offering program to raise capital. Increased volatility and decreases in market prices of equity securities generally and of our common shares in particular may have an adverse impact on our willingness and/or ability to continue to sell our common shares through our ATM offering. Decreases in these sales could affect the cost or availability of equity capital, which could in turn have an adverse effect on our business, including current operations, future growth, revenues, net income and the market prices of our common shares.</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February 2022, we commenced a new at-the-market, or ATM, program to raise capital. Under our ATM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program, we have entered into a sales agreement to sell common shares, up to a maximum aggregate market value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$300.0 million, through one or more at-the-market offerings. Given volatility in the capital markets, we may not be willing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or able to continue to raise equity capital through our ATM program. We may, therefore, need to turn to other sources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funding that may have terms that are not favorable to us, or reduce our business operations given capital constraints.</w:t>
      </w:r>
    </w:p>
    <w:p>
      <w:pPr>
        <w:spacing w:after="0" w:line="20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the company’s equity ownership in the subsidiary, which would adversely affect the rights of holders of both the company’s equity securities and its debt and debt securities.</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increase our net loss, and these impacts may be material. If the issuance of new securities results in diminished rights to holders of our common stock, the market price of our common shares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18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publish negative evaluations of or downgrade our common stock, the price of our common stock could decline.</w:t>
      </w:r>
    </w:p>
    <w:p>
      <w:pPr>
        <w:spacing w:after="0" w:line="159" w:lineRule="exact"/>
        <w:rPr>
          <w:sz w:val="20"/>
          <w:szCs w:val="20"/>
          <w:color w:val="auto"/>
        </w:rPr>
      </w:pPr>
    </w:p>
    <w:p>
      <w:pPr>
        <w:ind w:left="60" w:right="299" w:firstLine="648"/>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3"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7" w:lineRule="exact"/>
        <w:rPr>
          <w:sz w:val="20"/>
          <w:szCs w:val="20"/>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99" w:hanging="331"/>
        <w:spacing w:after="0" w:line="282"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acquiror from making a tender offer or otherwise attempting to obtain control of us.</w:t>
      </w:r>
    </w:p>
    <w:p>
      <w:pPr>
        <w:spacing w:after="0" w:line="158"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enhanced procedural mechanics and disclosure requirements in connection with stockholder nominations and submissions of stockholder proposals,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6"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159"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Our amended and restated bylaws,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federal district courts of the United States will be the exclusive forum for resolving any complaint asserting a cause of action arising under the Securities Act, which we refer to as the federal forum provision. We have chosen the federal district courts of the United States as the exclusive forum for such Securities Act causes of action. In addition, our bylaws provide that any person or entity purchasing or otherwise acquiring any interest in shares of our common stock is deemed to have notice of and consented to the Delaware forum provision and the federal forum provision.</w:t>
      </w:r>
    </w:p>
    <w:p>
      <w:pPr>
        <w:spacing w:after="0" w:line="234"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addition, our bylaws provide that any person or entity purchasing or otherwise acquiring any interest in shares of our common stock is deemed to have notice of and consented to the Delaware forum provision and the federal forum provision.</w:t>
      </w:r>
    </w:p>
    <w:p>
      <w:pPr>
        <w:spacing w:after="0" w:line="223"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bringing a claim that is covered by the Delaware forum provision do not reside in or near the State of Delaware.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85" w:lineRule="exact"/>
        <w:rPr>
          <w:sz w:val="20"/>
          <w:szCs w:val="20"/>
          <w:color w:val="auto"/>
        </w:rPr>
      </w:pPr>
    </w:p>
    <w:p>
      <w:pPr>
        <w:ind w:left="60" w:right="3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will continue to incur substantial costs as a result of operating as a public company, and our management is required to devote substantial time to new compliance initiatives and corporate governance practices.</w:t>
      </w:r>
    </w:p>
    <w:p>
      <w:pPr>
        <w:spacing w:after="0" w:line="12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8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Pursuant to Section 404 of the Sarbanes-Oxley Act of 2002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7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84" w:lineRule="exact"/>
        <w:rPr>
          <w:sz w:val="20"/>
          <w:szCs w:val="20"/>
          <w:color w:val="auto"/>
        </w:rPr>
      </w:pPr>
    </w:p>
    <w:p>
      <w:pPr>
        <w:ind w:left="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5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our capital stock may be subject to additional tax.</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Congress recently enacted a new 1% excise tax on certain stock repurchases (or similar transactions) effected by publicly traded domestic corporations such as ours This tax could make stock repurchases less desirable (and therefore less likely) as compared with other possible uses of our funds, and could reduce the amount of cash available if we do determine to pursue a stock repurchase.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ind w:left="60" w:right="139" w:firstLine="648"/>
        <w:spacing w:after="0" w:line="269" w:lineRule="auto"/>
        <w:rPr>
          <w:sz w:val="20"/>
          <w:szCs w:val="20"/>
          <w:color w:val="auto"/>
        </w:rPr>
      </w:pPr>
      <w:r>
        <w:rPr>
          <w:rFonts w:ascii="Times New Roman" w:cs="Times New Roman" w:eastAsia="Times New Roman" w:hAnsi="Times New Roman"/>
          <w:sz w:val="17"/>
          <w:szCs w:val="17"/>
          <w:color w:val="auto"/>
        </w:rPr>
        <w:t>Under Section 382 of the Internal Revenue Code of 1986, as amended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2023, we had federal net operating loss carryforwards of approximately $809.5 million, and our ability to utilize those net operating loss carryforwards could be limited by an “ownership change” as described above, which could result in increased tax liability to us. In addition, pursuant to the TCJA,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w:t>
      </w:r>
    </w:p>
    <w:p>
      <w:pPr>
        <w:spacing w:after="0" w:line="182" w:lineRule="exact"/>
        <w:rPr>
          <w:sz w:val="20"/>
          <w:szCs w:val="20"/>
          <w:color w:val="auto"/>
        </w:rPr>
      </w:pPr>
    </w:p>
    <w:p>
      <w:pPr>
        <w:ind w:left="60" w:right="119" w:firstLine="648"/>
        <w:spacing w:after="0" w:line="270" w:lineRule="auto"/>
        <w:rPr>
          <w:sz w:val="20"/>
          <w:szCs w:val="20"/>
          <w:color w:val="auto"/>
        </w:rPr>
      </w:pPr>
      <w:r>
        <w:rPr>
          <w:rFonts w:ascii="Times New Roman" w:cs="Times New Roman" w:eastAsia="Times New Roman" w:hAnsi="Times New Roman"/>
          <w:sz w:val="17"/>
          <w:szCs w:val="17"/>
          <w:color w:val="auto"/>
        </w:rPr>
        <w:t>In April 2022, the Company completed an update to the prior Section 382 study dated February 25, 2021. Since the Section 382 owner shifts are tested on a cumulative basis, the current update incorporates the period from February 7, 2017, the day of the last identified ownership change, through December 31, 2021. The analysis concluded that it is more likely than not that an additional ownership change did not occur during the update analysis period. This is assuming that no further significant shifts in stock ownership have occurred by virtue of equity events that have not yet been reported in publicly available SEC filings. The Company engaged its external tax advisor to determine if the Company had equity activity through December 31, 2022 that would give rise to a greater than 50% ownership change. The previous Section 382 model, through December 31, 2021, was updated for reported transactions among the Company’s 5% owners. The analysis concluded that there was no additional Company equity activity through December 31, 2022 that would rise to the level of a &gt;50% ownership change. The Company has not performed an analysis through December 31, 2023 at this time.</w:t>
      </w:r>
    </w:p>
    <w:p>
      <w:pPr>
        <w:spacing w:after="0" w:line="17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As part of this update, the Company also analyzed the shifts in the stock ownership of Lengo, which was acquired by the Company on December 29, 2021, for purposes of determining (1) whether and when Lengo experienced an “ownership change,” as defined in Section 382(g)(1) of the Code, during the period beginning March 6, 2019, the date of the first reported issuance of Lengo stock, and ending on December 29, 2021 (Owner Shift Analysis), and (2) the extent to which Lengo’s net operating loss and tax credit carryforwards may be subject to limitation under Sections 382 and 383 as a result of any such ownership changes (Limitation Analysis) (collectively, the Analysis). The analysis concluded that it is more likely than not that ownership changes occurred on (1) March 26, 2020 in connection with the issuance of Series A preferred stock and (2) on December 29, 2021 in connection with the Company’s acquisition of the Lengo. An analysis of Lengo was not required as it was merged into the Company effective June 24, 2022.</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E2E38"/>
        </w:rPr>
        <w:t>Governance Related to Cybersecurity Risks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involvement and input from our audit committee, performs an annual enterprise-wide risk management (ERM) assessment to identify and manage key existing and emerging risks for our company. Our ERM process seeks to identify both the potential impacts to our company of a particular risk and the likelihood and proximity of any such risk. Our management team is responsible for implementing and overseeing our ERM process. Cybersecurity</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is among the risks identified for board of directors’ level risk oversight as a result of our most recent ERM assessment, with our audit committee of the board of directors having been delegated responsibility for overseeing our policies, practices and assessments with respect to cybersecurity and other information technology risks.</w:t>
      </w:r>
    </w:p>
    <w:p>
      <w:pPr>
        <w:spacing w:after="0" w:line="24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2E2E38"/>
        </w:rPr>
        <w:t>Our information security team is led by the SVP of IS, who reports to our chief financial officer. Our SVP of IS has over 25 years of experience managing and securing technology infrastructure. The information security team has responsibility for the planning and execution of our processes to manage cybersecurity and other information technology risks. The information security team also institutes and maintains controls for our systems, applications, and databases.</w:t>
      </w:r>
    </w:p>
    <w:p>
      <w:pPr>
        <w:spacing w:after="0" w:line="247"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The audit committee receives periodic updates on our cybersecurity risks from our information security team, which include biannual presentations on the status of our cybersecurity risk management program by the SVP IS. These reports include updates on our performance preparing for, preventing, detecting, responding to and recovering from cyber incidents, if any. In addition, as needed, management updates the audit committee regarding any material cybersecurity incidents. We have also implemented an annual process for employees to complete security awareness training.</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21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Our processes to identify, assess, and manage risks presented by cybersecurity threats are based on the National Institute of Standards and Technology Cybersecurity Framework. Our SVP of IS, with support from the information security team, is informed about and monitors the prevention, detection, mitigation, and remediation of cybersecurity risks and incidents through various means, which include leveraging external third parties for security testing.</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information security team monitors security alerts from information security research sources and peer networking, and we have implemented processes and technologies for monitoring our networks for exfiltration of sensitive company information. Before contracting with third parties or purchasing third party technology or other solutions that involve exposure to sensitive company information the team assesses vendor risk, including by requesting SOC2 reports and/or security documentation from a vendor, where appropriate, and we receive and review security updates and alerts from these third parties. Penetration testing is performed periodically across our network boundaries to identify issues for remediation. Additionally, we maintain off-site back-ups and disaster recovery plans to restore our information and systems in the event of a disruptive event.</w:t>
      </w:r>
    </w:p>
    <w:p>
      <w:pPr>
        <w:spacing w:after="0" w:line="178" w:lineRule="exact"/>
        <w:rPr>
          <w:sz w:val="20"/>
          <w:szCs w:val="20"/>
          <w:color w:val="auto"/>
        </w:rPr>
      </w:pPr>
    </w:p>
    <w:p>
      <w:pPr>
        <w:jc w:val="both"/>
        <w:ind w:left="60" w:right="159" w:firstLine="648"/>
        <w:spacing w:after="0" w:line="258" w:lineRule="auto"/>
        <w:rPr>
          <w:sz w:val="20"/>
          <w:szCs w:val="20"/>
          <w:color w:val="auto"/>
        </w:rPr>
      </w:pPr>
      <w:r>
        <w:rPr>
          <w:rFonts w:ascii="Times New Roman" w:cs="Times New Roman" w:eastAsia="Times New Roman" w:hAnsi="Times New Roman"/>
          <w:sz w:val="18"/>
          <w:szCs w:val="18"/>
          <w:color w:val="2E2E38"/>
        </w:rPr>
        <w:t xml:space="preserve">The information security team also has processes in place to inform and update management and, as needed, the audit committee about </w:t>
      </w:r>
      <w:r>
        <w:rPr>
          <w:rFonts w:ascii="Times New Roman" w:cs="Times New Roman" w:eastAsia="Times New Roman" w:hAnsi="Times New Roman"/>
          <w:sz w:val="18"/>
          <w:szCs w:val="18"/>
          <w:color w:val="000000"/>
        </w:rPr>
        <w:t>cybersecurity incidents that may pose significant risk to the company. Although risks from cybersecurity</w:t>
      </w:r>
      <w:r>
        <w:rPr>
          <w:rFonts w:ascii="Times New Roman" w:cs="Times New Roman" w:eastAsia="Times New Roman" w:hAnsi="Times New Roman"/>
          <w:sz w:val="18"/>
          <w:szCs w:val="18"/>
          <w:color w:val="2E2E38"/>
        </w:rPr>
        <w:t xml:space="preserve"> </w:t>
      </w:r>
      <w:r>
        <w:rPr>
          <w:rFonts w:ascii="Times New Roman" w:cs="Times New Roman" w:eastAsia="Times New Roman" w:hAnsi="Times New Roman"/>
          <w:sz w:val="18"/>
          <w:szCs w:val="18"/>
          <w:color w:val="000000"/>
        </w:rPr>
        <w:t>threats have to date not materially affected us, our business strategy, results of operations or financial condition, we have, from time to time, experienced threats and security incidents relating to our and our third-party vendors’ data and systems. For more information, please see “</w:t>
      </w:r>
      <w:r>
        <w:rPr>
          <w:rFonts w:ascii="Times New Roman" w:cs="Times New Roman" w:eastAsia="Times New Roman" w:hAnsi="Times New Roman"/>
          <w:sz w:val="18"/>
          <w:szCs w:val="18"/>
          <w:i w:val="1"/>
          <w:iCs w:val="1"/>
          <w:color w:val="000000"/>
        </w:rPr>
        <w:t>Item 1A, Risk Factors.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headquarters are located at 45 Sidney Street in Cambridge, Massachusetts where we occupy approximately</w:t>
      </w:r>
    </w:p>
    <w:p>
      <w:pPr>
        <w:spacing w:after="0" w:line="16"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139,216 rentable square feet of office and laboratory space under a lease that will expire on November 30, 2029, unless terminated sooner.</w:t>
      </w:r>
    </w:p>
    <w:p>
      <w:pPr>
        <w:spacing w:after="0" w:line="183"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We also lease approximately 39,000 rentable square feet at our former corporate headquarters at 38 Sidney Street in Cambridge, Massachusetts under a lease that was extended in December 2021, and will now expire on November 30, 2029.</w:t>
      </w:r>
    </w:p>
    <w:p>
      <w:pPr>
        <w:spacing w:after="0" w:line="17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office and laboratory space is sufficient to meet our needs for the foreseeable future and that suitable additional space will be available as and when needed.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43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Information Regarding the Trading of Our Common Stock</w:t>
      </w:r>
    </w:p>
    <w:p>
      <w:pPr>
        <w:spacing w:after="0" w:line="16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Our common stock trades under the symbol “BPMC” on the Nasdaq Global Select Market and has been publicly traded since April 30, 2015.</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62"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As of January 31, 2024, there were 9 holders of record of our common stock. This number does not include beneficial owners whose shares are held by nominees in street name.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2"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12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following performance graph compares the performance of our common stock to the Nasdaq Composite Index and to the Nasdaq Biotechnology Index from December 31, 2015 through December 31, 2023. The comparison assumes $100 was invested in our common stock and in each of the foregoing indices after the market closed on December 31, 2015, and it assumes reinvestment of dividends, if any. The stock price performance included in this graph is not necessarily indicative of, nor is it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130810</wp:posOffset>
            </wp:positionV>
            <wp:extent cx="5357495" cy="29914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57495" cy="299148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Information about our equity compensation plans will be included in our definitive proxy statement to be filed with the SEC with respect to our 2024 Annual Meeting of Stockholders and is incorporated herein by reference.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We did not purchase any of our registered equity securities during the period covered by this Annual Report on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68" w:lineRule="exact"/>
        <w:rPr>
          <w:sz w:val="20"/>
          <w:szCs w:val="20"/>
          <w:color w:val="auto"/>
        </w:rPr>
      </w:pPr>
    </w:p>
    <w:p>
      <w:pPr>
        <w:ind w:left="60" w:right="4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or timing of certain events could differ materially from the results or timing described in, or implied by, these forward-looking statements.</w:t>
      </w:r>
    </w:p>
    <w:p>
      <w:pPr>
        <w:spacing w:after="0" w:line="21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Information pertaining to fiscal year 2021 was included in the Company’s Annual Report on Form 10-K for the year ended December 31, 2022 on pages 113 through 125 under Part II, Item 7, “Management’s Discussion and Analysis of Financial Position and Results of Operations,” which was filed with the Securities and Exchange Commission (the “SEC”) on February 16, 2023.</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7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a fully-integrated, commercial-stage, global biopharmaceutical company that invents life-changing medicines in two core, strategic areas of allergy/inflammation and oncology/hematology. We pursue discovery, development, and commercialization of therapies that potently and selectively target primary drivers of disease, with focused investment in therapeutic areas where we can leverage our core expertise and business infrastructure to bring scale to our science. We are bringing AYVAKIT®/AYVAKYT® (avapritinib) to people living with systemic mastocytosis (SM) and PDGFRA Exon 18 mutant GIST in the U.S. and Europe. Additionally, we have a pipeline of research and development programs that range from early science to advanced clinical trials in mast cell-mediated diseases, including SM and chronic urticaria, breast cancer, and other solid tumors vulnerable to CDK2 inhibition.</w:t>
      </w:r>
    </w:p>
    <w:p>
      <w:pPr>
        <w:spacing w:after="0" w:line="21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Since 2011, we have advanced a drug discovery approach that combines evolving biological insights with our proprietary research platform and drug design capabilities, which currently includes kinase inhibition and targeted protein degradation. We aim to rapidly and reproducibly translate science into durable clinical benefit for broad populations of patients with significant medical needs, including patients with mast cell-mediated diseases, breast cancer and other solid tumors. Our focused business model integrates our research engine with robust clinical development and commercial capabilities in allergy/inflammation and solid tumors to create a sustainable cycle of innovation.</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As described in Part I,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of this Annual Report on Form 10-K, we currently have two products that have received marketing approval, including one partnered product, and multiple investigational programs of various stages advancing towards potential commercialization. In Part I,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you can also find a summary of key events from 2023 and 2024 to-date related to our marketed products and our clinical development programs.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70"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 and license agreements, future royalty and revenue monetization, and a term loan. Through December 31, 2023, we have received an aggregate of $3.7 billion from such transactions, including $1.9 billion in aggregate gross proceeds from the sale of common stock in our initial public offering, or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and milestone payments under our collaborations with Roche, CStone and Zai Lab, our license agreement with Clementia and our former collaboration with Alexion Pharma Holding, or Alexion and $250.0 million in gross proceeds from a term loan from Sixth Street Partners. In addition, since January 2020, we have also generated revenue through the sales of our approved drug products.</w:t>
      </w:r>
    </w:p>
    <w:p>
      <w:pPr>
        <w:spacing w:after="0" w:line="234"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$507.0 million for the year ended December 31, 2023. Our net losses were $557.5 million and $644.1 million for the years ended December 31, 2022 and 2021, respectively. As of December 31, 2023, we had an accumulated deficit of $2,339.9 million. We expect to continue to incur significant expenses and operating losses over the next few years. We anticipate variability in our expenses in future periods in connection with our ongoing activities, particularly as we:</w:t>
      </w:r>
    </w:p>
    <w:p>
      <w:pPr>
        <w:spacing w:after="0" w:line="228" w:lineRule="exact"/>
        <w:rPr>
          <w:sz w:val="20"/>
          <w:szCs w:val="20"/>
          <w:color w:val="auto"/>
        </w:rPr>
      </w:pPr>
    </w:p>
    <w:p>
      <w:pPr>
        <w:ind w:left="1380" w:right="319" w:hanging="331"/>
        <w:spacing w:after="0" w:line="312" w:lineRule="auto"/>
        <w:tabs>
          <w:tab w:leader="none" w:pos="13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expand our sales, marketing and distribution infrastructure to continue to commercialize our drug and any current or future drug candidates for which we may obtain marketing approval;</w:t>
      </w:r>
    </w:p>
    <w:p>
      <w:pPr>
        <w:spacing w:after="0" w:line="139" w:lineRule="exact"/>
        <w:rPr>
          <w:rFonts w:ascii="Times New Roman" w:cs="Times New Roman" w:eastAsia="Times New Roman" w:hAnsi="Times New Roman"/>
          <w:sz w:val="17"/>
          <w:szCs w:val="17"/>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 for avapritinib in additional geographies;</w:t>
      </w:r>
    </w:p>
    <w:p>
      <w:pPr>
        <w:spacing w:after="0" w:line="225" w:lineRule="exact"/>
        <w:rPr>
          <w:rFonts w:ascii="Times New Roman" w:cs="Times New Roman" w:eastAsia="Times New Roman" w:hAnsi="Times New Roman"/>
          <w:sz w:val="18"/>
          <w:szCs w:val="18"/>
          <w:color w:val="auto"/>
        </w:rPr>
      </w:pPr>
    </w:p>
    <w:p>
      <w:pPr>
        <w:ind w:left="1380" w:right="799" w:hanging="331"/>
        <w:spacing w:after="0" w:line="282"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advance clinical development activities for other current or future drug candidates as monotherapies or in combination with other agents;</w:t>
      </w:r>
    </w:p>
    <w:p>
      <w:pPr>
        <w:spacing w:after="0" w:line="161"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discover, validate and develop additional drug candidates or development candidates, including elenestinib (BLU-263), BLU-222, BLU-808 and BLU-956;</w:t>
      </w:r>
    </w:p>
    <w:p>
      <w:pPr>
        <w:spacing w:after="0" w:line="161" w:lineRule="exact"/>
        <w:rPr>
          <w:rFonts w:ascii="Times New Roman" w:cs="Times New Roman" w:eastAsia="Times New Roman" w:hAnsi="Times New Roman"/>
          <w:sz w:val="18"/>
          <w:szCs w:val="18"/>
          <w:color w:val="auto"/>
        </w:rPr>
      </w:pPr>
    </w:p>
    <w:p>
      <w:pPr>
        <w:ind w:left="1380" w:right="299" w:hanging="331"/>
        <w:spacing w:after="0" w:line="255"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manufacture increasing quantities of drug substance and drug product material for use in preclinical studies, clinical trials and commercialization; and to purchase quantities of other agents for use in our clinical trial as we develop our drugs and drug candidates either as potential combination therapies or for use as comparator agents;</w:t>
      </w:r>
    </w:p>
    <w:p>
      <w:pPr>
        <w:spacing w:after="0" w:line="18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research and development activities under certain collaborations;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businesses, technologies, drugs or drug candidates, form strategic alliances or create joint ventures with third parties; and</w:t>
      </w:r>
    </w:p>
    <w:p>
      <w:pPr>
        <w:spacing w:after="0" w:line="161" w:lineRule="exact"/>
        <w:rPr>
          <w:rFonts w:ascii="Times New Roman" w:cs="Times New Roman" w:eastAsia="Times New Roman" w:hAnsi="Times New Roman"/>
          <w:sz w:val="18"/>
          <w:szCs w:val="18"/>
          <w:color w:val="auto"/>
        </w:rPr>
      </w:pPr>
    </w:p>
    <w:p>
      <w:pPr>
        <w:ind w:left="1380" w:right="679" w:hanging="331"/>
        <w:spacing w:after="0" w:line="282"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clinical, quality, manufacturing, regulatory, commercial and general and administrative personnel.</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SM. In March 2022, the European Commission expanded the marketing authorization for AYVAKYT to include the treatment of adult patients with ASM, SM-AHN, or MCL, after at least one systemic therapy. In May 2023, the FDA approved AYVAKIT for the treatment of adult patients with indolent SM and in December 2023, the European Commission approved AYVAKYT for the treatment of adult patients with indolent SM with moderate to severe symptoms inadequately controlled on symptomatic treatment.</w:t>
      </w:r>
    </w:p>
    <w:p>
      <w:pPr>
        <w:spacing w:after="0" w:line="216" w:lineRule="exact"/>
        <w:rPr>
          <w:sz w:val="20"/>
          <w:szCs w:val="20"/>
          <w:color w:val="auto"/>
        </w:rPr>
      </w:pPr>
    </w:p>
    <w:p>
      <w:pPr>
        <w:ind w:left="60" w:right="659"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our revenue primarily consisted of product sales of AYVAKIT/AYVAKYT as well as collaboration and license revenue under our collaboration agreements with our collaboration partners. Collaboration and license revenue for the year ended December 31, 2023 primarily included amounts that were recognized, under our collaboration agreements, related to research and development services, a milestone achieved, amounts due to us for supply of inventory and royalties on drug sales.</w:t>
      </w:r>
    </w:p>
    <w:p>
      <w:pPr>
        <w:spacing w:after="0" w:line="21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 and license agreements, including revenues related to the supply of our drug candidates or approved drugs to our various collaboration partners. We anticipate variability in revenue in the future as a result of the timing and amount of product sales, license fees, manufacturing services, and achievement of milestones or other payments under our collaboration or license agreements, if any.</w:t>
      </w:r>
    </w:p>
    <w:p>
      <w:pPr>
        <w:spacing w:after="0" w:line="228" w:lineRule="exact"/>
        <w:rPr>
          <w:sz w:val="20"/>
          <w:szCs w:val="20"/>
          <w:color w:val="auto"/>
        </w:rPr>
      </w:pPr>
    </w:p>
    <w:p>
      <w:pPr>
        <w:ind w:left="60" w:right="659" w:firstLine="648"/>
        <w:spacing w:after="0" w:line="312" w:lineRule="auto"/>
        <w:rPr>
          <w:sz w:val="20"/>
          <w:szCs w:val="20"/>
          <w:color w:val="auto"/>
        </w:rPr>
      </w:pPr>
      <w:r>
        <w:rPr>
          <w:rFonts w:ascii="Times New Roman" w:cs="Times New Roman" w:eastAsia="Times New Roman" w:hAnsi="Times New Roman"/>
          <w:sz w:val="17"/>
          <w:szCs w:val="17"/>
          <w:color w:val="auto"/>
        </w:rPr>
        <w:t>During 2024, we expect net product revenues to increase, as compared to 2023, as we continue to add new patients onto AYVAKIT/AYVAKYT, including advanced SM and indolent SM with the recent label expansion.</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70"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Our cost of sales includes the cost of producing and distributing inventories that are related to product revenue as well as the sales of drug substance and drug product to our collaboration partners during the respective period, including salary related expenses and stock-based compensation expense for employees involved with production and distribution, freight, and indirect overhead costs. In addition, shipping and handling costs for product shipments are recorded in cost of sales as incurred.</w:t>
      </w:r>
    </w:p>
    <w:p>
      <w:pPr>
        <w:spacing w:after="0" w:line="228"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Prior to receiving the initial FDA approval for AYVAKIT in January 2020, and subsequent indication approval in June 2021, we manufactured inventory to be sold upon commercialization and recorded approximately $31.0 million related to this inventory as research and development expense. As a result, the manufacturing costs related to the inventory build-up incurred before FDA approval were expensed in prior periods and are therefore excluded from the cost of goods sold for the years ended December 31, 2023, 2022 and 2021. We estimate our cost of goods sold related to product revenue as a percentage of net product revenue will continue to be positively impacted as we sell through certain inventory that was previously expensed prior to FDA approval. We expect to sell through our pre-launch inventory in the near term. Once the low-cost inventory balances are sold through, we estimate our costs of goods sold related to product sales to remain in the mid-single digit percentage range. Cost of goods sold related to sales of drug products to our collaboration partners are at lower margins and partially offset the positive impact of the previously expensed inventory.</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5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July 1, 2021, Roche took over certain responsibilities associated with product sales to customers, pricing and distribution matters related to GAVRETO in the U.S. and became the principal for recording product sales to customers in the U.S. Collaboration loss sharing consists of our share of the losses incurred from sales of GAVRETO to customers in the U.S. under our collaboration for pralsetinib with Roche. In February 2023, the Company received written notice from Roche of their election to terminate for convenience the Roche pralsetinib collaboration agreement. The termination will become effective in February 22, 2024. We expect to continue to incur collaboration loss sharing until the termination of the collaboration for pralsetinib with Roche is effective. For additional information, see Note 11, </w:t>
      </w:r>
      <w:r>
        <w:rPr>
          <w:rFonts w:ascii="Times New Roman" w:cs="Times New Roman" w:eastAsia="Times New Roman" w:hAnsi="Times New Roman"/>
          <w:sz w:val="18"/>
          <w:szCs w:val="18"/>
          <w:i w:val="1"/>
          <w:iCs w:val="1"/>
          <w:color w:val="auto"/>
        </w:rPr>
        <w:t>Collaboration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to our consolidated financial statements included in this Form 10-K.</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ind w:left="60" w:right="719" w:firstLine="648"/>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80" w:lineRule="exact"/>
        <w:rPr>
          <w:sz w:val="20"/>
          <w:szCs w:val="20"/>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acquire in-process research and development asset with no alternative future use;</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225" w:lineRule="exact"/>
        <w:rPr>
          <w:rFonts w:ascii="Times New Roman" w:cs="Times New Roman" w:eastAsia="Times New Roman" w:hAnsi="Times New Roman"/>
          <w:sz w:val="18"/>
          <w:szCs w:val="18"/>
          <w:color w:val="auto"/>
        </w:rPr>
      </w:pPr>
    </w:p>
    <w:p>
      <w:pPr>
        <w:ind w:left="1380" w:right="859" w:hanging="331"/>
        <w:spacing w:after="0" w:line="266"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that conduct research and development, preclinical activities, clinical activities and manufacturing on our behalf;</w:t>
      </w:r>
    </w:p>
    <w:p>
      <w:pPr>
        <w:spacing w:after="0" w:line="189" w:lineRule="exact"/>
        <w:rPr>
          <w:rFonts w:ascii="Times New Roman" w:cs="Times New Roman" w:eastAsia="Times New Roman" w:hAnsi="Times New Roman"/>
          <w:sz w:val="18"/>
          <w:szCs w:val="18"/>
          <w:color w:val="auto"/>
        </w:rPr>
      </w:pPr>
    </w:p>
    <w:p>
      <w:pPr>
        <w:ind w:left="1380" w:right="139" w:hanging="331"/>
        <w:spacing w:after="0" w:line="266"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development activities under our collaboration for pralsetinib with Roche and research and development activities under our collaboration with Proteovant/VantAI;</w:t>
      </w:r>
    </w:p>
    <w:p>
      <w:pPr>
        <w:spacing w:after="0" w:line="18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 connection with our research and development activities;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regulatory quality assurance and quality control operations;</w:t>
      </w:r>
    </w:p>
    <w:p>
      <w:pPr>
        <w:spacing w:after="0" w:line="225" w:lineRule="exact"/>
        <w:rPr>
          <w:rFonts w:ascii="Times New Roman" w:cs="Times New Roman" w:eastAsia="Times New Roman" w:hAnsi="Times New Roman"/>
          <w:sz w:val="18"/>
          <w:szCs w:val="18"/>
          <w:color w:val="auto"/>
        </w:rPr>
      </w:pPr>
    </w:p>
    <w:p>
      <w:pPr>
        <w:ind w:left="1380" w:right="119" w:hanging="331"/>
        <w:spacing w:after="0" w:line="266"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materials, clinical trial materials and pre-validated commercial supply materials; and</w:t>
      </w:r>
    </w:p>
    <w:p>
      <w:pPr>
        <w:spacing w:after="0" w:line="189" w:lineRule="exact"/>
        <w:rPr>
          <w:rFonts w:ascii="Times New Roman" w:cs="Times New Roman" w:eastAsia="Times New Roman" w:hAnsi="Times New Roman"/>
          <w:sz w:val="18"/>
          <w:szCs w:val="18"/>
          <w:color w:val="auto"/>
        </w:rPr>
      </w:pPr>
    </w:p>
    <w:p>
      <w:pPr>
        <w:ind w:left="1380" w:right="319" w:hanging="331"/>
        <w:spacing w:after="0" w:line="258"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lease expenses and maintenance of facilities, insurance, and other operating costs in support of research and development activities.</w:t>
      </w:r>
    </w:p>
    <w:p>
      <w:pPr>
        <w:spacing w:after="0" w:line="223"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20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material net cash inflows will commence from the sale of our current or future drug candidates for which we received marketing approval. This is due to the numerous risks and uncertainties associated with developing drugs, including the uncertainty of:</w:t>
      </w:r>
    </w:p>
    <w:p>
      <w:pPr>
        <w:spacing w:after="0" w:line="210" w:lineRule="exact"/>
        <w:rPr>
          <w:sz w:val="20"/>
          <w:szCs w:val="20"/>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toxicology studies;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enrollment in, and completion of clinical trials;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79" w:hanging="331"/>
        <w:spacing w:after="0" w:line="282"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to ensure adequate clinical and commercial supply;</w:t>
      </w:r>
    </w:p>
    <w:p>
      <w:pPr>
        <w:spacing w:after="0" w:line="161" w:lineRule="exact"/>
        <w:rPr>
          <w:rFonts w:ascii="Times New Roman" w:cs="Times New Roman" w:eastAsia="Times New Roman" w:hAnsi="Times New Roman"/>
          <w:sz w:val="18"/>
          <w:szCs w:val="18"/>
          <w:color w:val="auto"/>
        </w:rPr>
      </w:pPr>
    </w:p>
    <w:p>
      <w:pPr>
        <w:ind w:left="1380" w:right="1139" w:hanging="331"/>
        <w:spacing w:after="0" w:line="282"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AYVAKIT/AYVAKYT and GAVRETO and our drug candidates;</w:t>
      </w:r>
    </w:p>
    <w:p>
      <w:pPr>
        <w:spacing w:after="0" w:line="161" w:lineRule="exact"/>
        <w:rPr>
          <w:rFonts w:ascii="Times New Roman" w:cs="Times New Roman" w:eastAsia="Times New Roman" w:hAnsi="Times New Roman"/>
          <w:sz w:val="18"/>
          <w:szCs w:val="18"/>
          <w:color w:val="auto"/>
        </w:rPr>
      </w:pPr>
    </w:p>
    <w:p>
      <w:pPr>
        <w:ind w:left="1380" w:right="819" w:hanging="331"/>
        <w:spacing w:after="0" w:line="282"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AYVAKIT/AYVAKYT and GAVRETO and our drug candidates, if and when approved, whether alone or in collaboration with others;</w:t>
      </w:r>
    </w:p>
    <w:p>
      <w:pPr>
        <w:spacing w:after="0" w:line="161" w:lineRule="exact"/>
        <w:rPr>
          <w:rFonts w:ascii="Times New Roman" w:cs="Times New Roman" w:eastAsia="Times New Roman" w:hAnsi="Times New Roman"/>
          <w:sz w:val="18"/>
          <w:szCs w:val="18"/>
          <w:color w:val="auto"/>
        </w:rPr>
      </w:pPr>
    </w:p>
    <w:p>
      <w:pPr>
        <w:ind w:left="1380" w:right="1139" w:hanging="331"/>
        <w:spacing w:after="0" w:line="282"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AYVAKIT/AYVAKYT and GAVRETO and any future drug we may commercialize;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the drugs following approval.</w:t>
      </w:r>
    </w:p>
    <w:p>
      <w:pPr>
        <w:spacing w:after="0" w:line="26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drug candidates would significantly change the costs and timing associated with the development of that drug candidate.</w:t>
      </w:r>
    </w:p>
    <w:p>
      <w:pPr>
        <w:spacing w:after="0" w:line="189"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w:t>
      </w:r>
    </w:p>
    <w:p>
      <w:pPr>
        <w:spacing w:after="0" w:line="21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spacing w:after="0" w:line="228" w:lineRule="exact"/>
        <w:rPr>
          <w:sz w:val="20"/>
          <w:szCs w:val="20"/>
          <w:color w:val="auto"/>
        </w:rPr>
      </w:pPr>
    </w:p>
    <w:p>
      <w:pPr>
        <w:ind w:left="60" w:right="459" w:firstLine="648"/>
        <w:spacing w:after="0" w:line="25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for the years ended December 31, 2023 and 2022. Other development and pre-development candidate expenses, unallocated expenses and internal research and development expenses have been classified separately.</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78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Avapritinib external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Pralsetinib external expenses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Elenestinib external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EGFR franchise (BLU-451/525/701/945) expenses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BLU-222 external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BLU-808 external expenses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development and pre-development candidate expenses and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133,350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427,720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477,419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(49,699)</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1020" w:right="179" w:hanging="322"/>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Pralsetinib external expenses include expenses reimbursable to Roche under our collaboration for pralsetinib with Roche, and other development and pre-development candidate expenses include expenses reimbursable to us under our other collaboration agreements.</w:t>
      </w:r>
    </w:p>
    <w:p>
      <w:pPr>
        <w:spacing w:after="0" w:line="20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expect variability in our research and development expenses in future periods as our drug candidate development programs progress. The costs related to the implementation and expansion of clinical trial sites and related patient enrollment, monitoring, program management and manufacturing expenses for active pharmaceutical ingredient, or API, drug product and drug substance for current and future clinical trials will vary depending on clinical data results and our resources allocation priorities. In addition, our research and development expenses may increase with potential new collaborations and future acquisitions. We do not believe that it is possible at this time to accurately project total</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210"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During 2024, we expect our research and development expenses will decline, as compared to 2023, due to our focused approach towards optimizing operational efficiency across our portfolio while executing across our top priority programs.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ind w:left="60" w:right="179" w:firstLine="648"/>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compensation and benefits, including stock-based compensation expense,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insurance fees, legal fees related to intellectual property and corporate matters and fees for accounting and consulting services.</w:t>
      </w:r>
    </w:p>
    <w:p>
      <w:pPr>
        <w:spacing w:after="0" w:line="195"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expenses associated with operating as a public company and expanding the scope of our operations.</w:t>
      </w:r>
    </w:p>
    <w:p>
      <w:pPr>
        <w:spacing w:after="0" w:line="228"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During 2024, we expect that selling, general and administrative expenses will increase modestly, as compared to 2023, as we continue to expand our global commercial and compliance infrastructure to support the commercialization of AYVAKIT/AYVAKYT.</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68"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Interest income (expense), net consists primarily of interest expense related to our financing arrangements with Royalty Pharma and Sixth Street Partners. Interest expense on liabilities related to the sale of future royalties and revenues consists of the periodic interest calculated using the effective interest rate method over the future estimated royalty payments due to Royalty Pharma and Sixth Street Partners over the life of the agreements. Interest expense on the term loan with Sixth Street Partners results from the amortization of the debt liability using the effective interest method over the maturity of the term loan. We anticipate variability in interest expense from period to period as a result of the timing and amount of the sales of the underlying products and the changes in interest rates. 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consolidated financial statements included in this Form 10-K.</w:t>
      </w:r>
    </w:p>
    <w:p>
      <w:pPr>
        <w:spacing w:after="0" w:line="219"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Interest income (expense), net also includes income earned on cash equivalents and marketable securities. Our interest income may fluctuate depending on the movement of interest rates and our total amount of cash equivalents and marketable securities.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68"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of miscellaneous income and expenses unrelated to our core operations, including the impacts of foreign currency exchange differences.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Income tax expense consists of federal, state and foreign income taxes incurred.</w:t>
      </w:r>
    </w:p>
    <w:p>
      <w:pPr>
        <w:sectPr>
          <w:pgSz w:w="11900" w:h="16838" w:orient="portrait"/>
          <w:cols w:equalWidth="0" w:num="1">
            <w:col w:w="9019"/>
          </w:cols>
          <w:pgMar w:left="1440" w:top="513" w:right="1440"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70"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are believed to be reasonable under the circumstances.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report. We evaluate our judgments and estimates in light of changes in circumstances, facts and experience on an ongoing basis.</w:t>
      </w:r>
    </w:p>
    <w:p>
      <w:pPr>
        <w:spacing w:after="0" w:line="234"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 xml:space="preserve">Critical accounting estimates are those estimates that, in accordance with generally accepted accounting principles, involve a significant level of estimation uncertainty and have had or are reasonably likely to have a material impact on our consolidated financial statements. Management has determined that our most critical accounting estimates are those relating to revenue recognition, accrued research and development expenses, acquisitions, equity investments, and liabilities related to the sale of future royalties and revenues. We have reviewed our critical accounting estimates with our audit committee. For further discussion about our general accounting policies, see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and Recent Accounting Pronouncements, </w:t>
      </w:r>
      <w:r>
        <w:rPr>
          <w:rFonts w:ascii="Times New Roman" w:cs="Times New Roman" w:eastAsia="Times New Roman" w:hAnsi="Times New Roman"/>
          <w:sz w:val="18"/>
          <w:szCs w:val="18"/>
          <w:color w:val="auto"/>
        </w:rPr>
        <w:t>to our consolidated financial statements included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68"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recognize revenue when we transfer control of goods or services to our customers. Revenue is measured as the amount of consideration we expect to receive in exchange for goods and services. We generate revenue from product sales and revenue transactions under our collaboration and license agreements.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54"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For product sales to customers, provisions for returns, rebates and discounts are established in the same period the related product sales are recognized. To determine the appropriate transaction price for our product sales at the time we recognize a sale to a direct customer, we estimate any rebates, chargebacks or discounts that ultimately will be due to the direct customer and other customers in the distribution chain under the terms of our contracts. Significant judgments are required in making these estimates. The largest of our sales rebate and discount amounts are rebates associated with sales covered by Medicaid and chargeback contracts in the U.S. We utilize the expected value method to determine the appropriate amount for estimates based on factors such as historical rebate payments for these programs, the current contractual and statutory requirements, specific known market events and sales trends, industry data and forecasted customer buying and payment patterns, the percentage of our products that are sold via these programs, and our product</w:t>
      </w:r>
    </w:p>
    <w:p>
      <w:pPr>
        <w:spacing w:after="0" w:line="1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pricing. Actual amounts of consideration ultimately received may differ from our estimates. If actual results vary from our estimates, we adjust these estimates, which would affect net product revenue and earnings in the period such variances become known.</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254" w:lineRule="exact"/>
        <w:rPr>
          <w:sz w:val="20"/>
          <w:szCs w:val="20"/>
          <w:color w:val="auto"/>
        </w:rPr>
      </w:pPr>
    </w:p>
    <w:p>
      <w:pPr>
        <w:ind w:left="60" w:right="479" w:firstLine="648"/>
        <w:spacing w:after="0" w:line="312" w:lineRule="auto"/>
        <w:rPr>
          <w:sz w:val="20"/>
          <w:szCs w:val="20"/>
          <w:color w:val="auto"/>
        </w:rPr>
      </w:pPr>
      <w:r>
        <w:rPr>
          <w:rFonts w:ascii="Times New Roman" w:cs="Times New Roman" w:eastAsia="Times New Roman" w:hAnsi="Times New Roman"/>
          <w:sz w:val="17"/>
          <w:szCs w:val="17"/>
          <w:color w:val="auto"/>
        </w:rPr>
        <w:t>Revenue recognized from collaboration and license agreements includes royalties on drug sales, upfront, milestone, profit sharing and other payments, if any, under any current or future collaborations and licenses, including</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revenues related to the supply of our drug candidates or approved drugs to our various collaboration partners under these types of contracts.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Accrued Research and Development Expenses</w:t>
      </w:r>
    </w:p>
    <w:p>
      <w:pPr>
        <w:spacing w:after="0" w:line="25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230"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33"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54"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To determine whether acquisitions or licensing transactions should be accounted for as a business combination or as an asset acquisition, we make certain judgments, which include assessing whether the acquired set of activities and assets would meet the definition of a business under the relevant accounting rules.</w:t>
      </w:r>
    </w:p>
    <w:p>
      <w:pPr>
        <w:spacing w:after="0" w:line="21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the acquired set of activities and assets meets the definition of a business, assets acquired and liabilities assumed are required to be recorded at their respective fair values as of the acquisition date. The excess of the purchase price over the fair value of the acquired net assets, where applicable, is recorded as goodwill. If the acquired set of activities and assets does not meet the definition of a business, the transaction is recorded as an acquisition of assets and, therefore, any acquired in-process research and development assets that does not have an alternative future use is charged to research and development expense at the acquisition date, and goodwill is not recorded.</w:t>
      </w:r>
    </w:p>
    <w:p>
      <w:pPr>
        <w:spacing w:after="0" w:line="230"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The judgments made in determining the estimated fair values of the identifiable intangible assets acquired, the allocation of cost to assets acquired and liabilities assumed in a business combination, as well as estimated asset lives, can materially affect our consolidated results of operations. The fair values of intangible assets, including acquired in-process research and development assets, are determined using information available near the acquisition date based on estimates and assumptions that are deemed reasonable by management. Significant estimates and assumptions include, but are not limited to, probability of technical success, revenue growth and discount rate. When significant identifiable intangible assets are acquired, we generally engage an independent third-party valuation firm to assist in determining the fair values of these assets.</w:t>
      </w:r>
    </w:p>
    <w:p>
      <w:pPr>
        <w:sectPr>
          <w:pgSz w:w="11900" w:h="16838" w:orient="portrait"/>
          <w:cols w:equalWidth="0" w:num="1">
            <w:col w:w="9019"/>
          </w:cols>
          <w:pgMar w:left="1440" w:top="513" w:right="1440" w:bottom="144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Investment</w:t>
      </w:r>
    </w:p>
    <w:p>
      <w:pPr>
        <w:spacing w:after="0" w:line="26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Investments in non-marketable equity securities of privately-held companies that do not have readily determinable fair values and where we have no significant influence are measured at cost, less any impairments, plus or minus changes resulting from observable price changes in orderly transactions for the identical or a similar investment of the same issuer. Each period we assess relevant transactions to identify observable price changes, and regularly monitor these investments to evaluate whether there is an indication of impairment. Judgement is required in identifying the existence of impairment indicators. If indicators of impairment exist, we evaluate whether an investment’s fair value is less than its carrying value using an estimate of fair value.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Liabilities related to the sale of future royalties and revenues</w:t>
      </w:r>
    </w:p>
    <w:p>
      <w:pPr>
        <w:spacing w:after="0" w:line="268"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We account for net proceeds from sales of our rights to receive future royalty payments and from sales of future revenues as liabilities related to the sale of future royalties and revenues as we have significant continuing involvement in the generation of the related future cash flows. Interest on the liabilities related to the sale of future royalties and revenues is recognized using the effective interest rate method over the life of the related royalty or revenue stream. The liabilities related to the sale of future royalties and revenues and the related interest expenses are based on our current estimates of future royalties and revenues as well as commercial milestones expected to be achieved and received over the life of the arrangement, which we determine by using forecasts of the underlying drug products of the underlying regions. We periodically assess the expected payments and to the extent the amount or timing of the future estimated payments is materially different than previous estimates, we account for any such change by adjusting carrying value of the liabilities related to the sale of future royalties and revenues, and prospectively recognizing the related interest expenses. An increase or decrease of 5% to the interest rate would result in an increase or decrease to our liability related to the sale of future royalties of approximately $0.4 million.</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56"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 together with the changes in those items in dollars and as a percentage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4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4"/>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249,380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204,036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735,657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(5,897)</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(19,739)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(14,763)</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(4,976)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(506,016)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(552,281)</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46,265</w:t>
            </w:r>
          </w:p>
        </w:tc>
        <w:tc>
          <w:tcPr>
            <w:tcW w:w="140" w:type="dxa"/>
            <w:vAlign w:val="bottom"/>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(4,268)</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(506,984)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(557,517)</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50,533</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Total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revenues consist of the following (in thousands):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Borders>
              <w:bottom w:val="single" w:sz="8" w:color="auto"/>
            </w:tcBorders>
            <w:gridSpan w:val="6"/>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880" w:type="dxa"/>
            <w:vAlign w:val="bottom"/>
            <w:gridSpan w:val="2"/>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20" w:type="dxa"/>
            <w:vAlign w:val="bottom"/>
          </w:tcPr>
          <w:p>
            <w:pPr>
              <w:spacing w:after="0"/>
              <w:rPr>
                <w:sz w:val="18"/>
                <w:szCs w:val="18"/>
                <w:color w:val="auto"/>
              </w:rPr>
            </w:pPr>
          </w:p>
        </w:tc>
        <w:tc>
          <w:tcPr>
            <w:tcW w:w="8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$ 204,207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45,173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(20,370)</w:t>
            </w:r>
          </w:p>
        </w:tc>
        <w:tc>
          <w:tcPr>
            <w:tcW w:w="8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revenue - related party</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(27,500)</w:t>
            </w:r>
          </w:p>
        </w:tc>
        <w:tc>
          <w:tcPr>
            <w:tcW w:w="84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$ 249,380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204,036</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54"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started generating revenue from sales of AYVAKIT in the first quarter of 2020 following FDA approval of AYVAKIT for the treatment of adults with unresectable or metastatic GIST harboring a PDGFRA exon 18 mutation, including PDGFRA D842V mutations. In September 2020, the European Commission granted conditional marketing authorization to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 March 2022, the European Commission expanded the marketing authorization for AYVAKYT to include the treatment of adult patients with ASM, SM-AHN, or MCL, after at least one systemic therapy. In May 2023, the FDA approved AYVAKIT for the treatment of adult patients with indolent SM and in December 2023, the European Commission approved AYVAKYT for the treatment of adult patients with indolent SM with moderate to severe symptoms inadequately controlled on symptomatic treatment.</w:t>
      </w:r>
    </w:p>
    <w:p>
      <w:pPr>
        <w:spacing w:after="0" w:line="2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revenue recognized from sales of AYVAKIT/AYVAKYT during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and 2022 (in thousands):</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440" w:type="dxa"/>
            <w:vAlign w:val="bottom"/>
          </w:tcPr>
          <w:p>
            <w:pPr>
              <w:spacing w:after="0"/>
              <w:rPr>
                <w:sz w:val="16"/>
                <w:szCs w:val="16"/>
                <w:color w:val="auto"/>
              </w:rPr>
            </w:pPr>
          </w:p>
        </w:tc>
        <w:tc>
          <w:tcPr>
            <w:tcW w:w="17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8"/>
        </w:trPr>
        <w:tc>
          <w:tcPr>
            <w:tcW w:w="5440" w:type="dxa"/>
            <w:vAlign w:val="bottom"/>
          </w:tcPr>
          <w:p>
            <w:pPr>
              <w:spacing w:after="0"/>
              <w:rPr>
                <w:sz w:val="17"/>
                <w:szCs w:val="17"/>
                <w:color w:val="auto"/>
              </w:rPr>
            </w:pPr>
          </w:p>
        </w:tc>
        <w:tc>
          <w:tcPr>
            <w:tcW w:w="8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5"/>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$ 181,971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97,226</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84,745</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87 %</w:t>
            </w:r>
          </w:p>
        </w:tc>
      </w:tr>
      <w:tr>
        <w:trPr>
          <w:trHeight w:val="21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$ 204,207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93,214</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84 %</w:t>
            </w:r>
          </w:p>
        </w:tc>
      </w:tr>
      <w:tr>
        <w:trPr>
          <w:trHeight w:val="20"/>
        </w:trPr>
        <w:tc>
          <w:tcPr>
            <w:tcW w:w="5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499" w:firstLine="648"/>
        <w:spacing w:after="0" w:line="258" w:lineRule="auto"/>
        <w:rPr>
          <w:sz w:val="20"/>
          <w:szCs w:val="20"/>
          <w:color w:val="auto"/>
        </w:rPr>
      </w:pPr>
      <w:r>
        <w:rPr>
          <w:rFonts w:ascii="Times New Roman" w:cs="Times New Roman" w:eastAsia="Times New Roman" w:hAnsi="Times New Roman"/>
          <w:sz w:val="18"/>
          <w:szCs w:val="18"/>
          <w:color w:val="auto"/>
        </w:rPr>
        <w:t>Product revenue, net increased during the year ended December 31, 2023 as compared to the year ended December 31, 2022 primarily driven by growth in the number of SM patients on therapy, including advanced SM and indolent SM with the recent label expansion.</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268"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revenue recognized from our collaboration and license agreements during the years ended December 31, 2023 and 2022 (in thousands):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18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5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 immunotherapy collaboration</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23,432</w:t>
            </w:r>
          </w:p>
        </w:tc>
        <w:tc>
          <w:tcPr>
            <w:tcW w:w="1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20" w:type="dxa"/>
            <w:vAlign w:val="bottom"/>
            <w:tcBorders>
              <w:top w:val="single" w:sz="8" w:color="CCEEFF"/>
            </w:tcBorders>
            <w:shd w:val="clear" w:color="auto" w:fill="CCEEFF"/>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CStone collaboration</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(6,982)</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with Roche for pralsetinib</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(5,415)</w:t>
            </w: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9"/>
                <w:szCs w:val="19"/>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Clementia license agreement</w:t>
            </w: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(1,405)</w:t>
            </w: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9"/>
                <w:szCs w:val="19"/>
                <w:color w:val="auto"/>
              </w:rPr>
            </w:pPr>
          </w:p>
        </w:tc>
      </w:tr>
      <w:tr>
        <w:trPr>
          <w:trHeight w:val="20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collaboration and license revenue</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45,173</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65,543</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Revenue recognized from our collaboration and license agreements decreased during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as compared to the year ended December 31, 2022 primarily due to:</w:t>
      </w:r>
    </w:p>
    <w:p>
      <w:pPr>
        <w:spacing w:after="0" w:line="234" w:lineRule="exact"/>
        <w:rPr>
          <w:sz w:val="20"/>
          <w:szCs w:val="20"/>
          <w:color w:val="auto"/>
        </w:rPr>
      </w:pPr>
    </w:p>
    <w:p>
      <w:pPr>
        <w:ind w:left="800" w:right="299" w:hanging="318"/>
        <w:spacing w:after="0" w:line="261" w:lineRule="auto"/>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revenue from our license agreement with Clementia due to revenue from a $30.0 million milestone payment related to a specified development milestone achieved during the year ended December 31, 2022;</w:t>
      </w:r>
    </w:p>
    <w:p>
      <w:pPr>
        <w:ind w:left="800" w:right="99" w:hanging="318"/>
        <w:spacing w:after="0" w:line="250" w:lineRule="auto"/>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revenue under our CStone collaboration primarily due to a decrease in manufacturing services related to CStone Territory-specific activities; and</w:t>
      </w:r>
    </w:p>
    <w:p>
      <w:pPr>
        <w:ind w:left="800" w:right="999" w:hanging="318"/>
        <w:spacing w:after="0" w:line="260" w:lineRule="auto"/>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revenue under our collaboration with Roche for pralsetinib primarily due to a decrease in manufacturing services related to Roche Territory-specific activities.</w:t>
      </w:r>
    </w:p>
    <w:p>
      <w:pPr>
        <w:spacing w:after="0" w:line="222"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These decreases were partially offset by increased revenue under our Roche immunotherapy collaboration during the year ended December 31, 2023 due to the collaboration agreement termination which resulted in the reduction in the costs incurred to satisfy our performance obligation under the Roche immunotherapy collaboration, and consequently, increased the transaction price and the percentage of completion of revenue to be recognized under the collaboration agreement. For additional information, see Note 11</w:t>
      </w:r>
      <w:r>
        <w:rPr>
          <w:rFonts w:ascii="Times New Roman" w:cs="Times New Roman" w:eastAsia="Times New Roman" w:hAnsi="Times New Roman"/>
          <w:sz w:val="18"/>
          <w:szCs w:val="18"/>
          <w:i w:val="1"/>
          <w:iCs w:val="1"/>
          <w:color w:val="auto"/>
        </w:rPr>
        <w:t>, Collaboration and License Agreements</w:t>
      </w:r>
      <w:r>
        <w:rPr>
          <w:rFonts w:ascii="Times New Roman" w:cs="Times New Roman" w:eastAsia="Times New Roman" w:hAnsi="Times New Roman"/>
          <w:sz w:val="18"/>
          <w:szCs w:val="18"/>
          <w:color w:val="auto"/>
        </w:rPr>
        <w:t>, to our consolidated financial statements included in this Form 10-K.</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Revenue – Related Party</w:t>
      </w:r>
    </w:p>
    <w:p>
      <w:pPr>
        <w:spacing w:after="0" w:line="254"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License revenue – related party decreased by $27.5 million during the year ended December 31, 2023 as compared to the year ended December 31, 2022. The decrease resulted from the license revenue recorded under the IDRx License Agreement during the year ended December 31, 2022 whereas no revenue was recorded under the IDRx License Agreement during the year ended 31, 2023. For additional information, see Note 11</w:t>
      </w:r>
      <w:r>
        <w:rPr>
          <w:rFonts w:ascii="Times New Roman" w:cs="Times New Roman" w:eastAsia="Times New Roman" w:hAnsi="Times New Roman"/>
          <w:sz w:val="18"/>
          <w:szCs w:val="18"/>
          <w:i w:val="1"/>
          <w:iCs w:val="1"/>
          <w:color w:val="auto"/>
        </w:rPr>
        <w:t>, Collaboration and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to our consolidated financial statements included in this Form 10-K.</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268"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cost of product sales during the years ended December 31, 2023 and 2022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5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collaboration sales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(12,765)</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Cost of sales decreased during the year ended December 31, 2023 as compared to the year ended</w:t>
      </w:r>
    </w:p>
    <w:p>
      <w:pPr>
        <w:spacing w:after="0" w:line="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December 31, 2022 primarily due to a decrease in the cost of collaboration related sales which was driven primarily by a decrease in manufacturing services related to our collaboration partners. The increase in cost of product sales was primarily driven by an increase in product sales.</w:t>
      </w:r>
    </w:p>
    <w:p>
      <w:pPr>
        <w:sectPr>
          <w:pgSz w:w="11900" w:h="16838" w:orient="portrait"/>
          <w:cols w:equalWidth="0" w:num="1">
            <w:col w:w="9019"/>
          </w:cols>
          <w:pgMar w:left="1440" w:top="513" w:right="1440" w:bottom="1440"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6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collaboration loss sharing expense during the year ended December 31, 2023 and 2022 (in thousands):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8"/>
        </w:trPr>
        <w:tc>
          <w:tcPr>
            <w:tcW w:w="5380" w:type="dxa"/>
            <w:vAlign w:val="bottom"/>
          </w:tcPr>
          <w:p>
            <w:pPr>
              <w:spacing w:after="0"/>
              <w:rPr>
                <w:sz w:val="17"/>
                <w:szCs w:val="17"/>
                <w:color w:val="auto"/>
              </w:rPr>
            </w:pPr>
          </w:p>
        </w:tc>
        <w:tc>
          <w:tcPr>
            <w:tcW w:w="7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4,256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8,948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5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Collaboration loss sharing under the collaboration with Roche for pralsetinib decreased during the year ended December 31, 2023 as compared to the year ended December 31, 2022 due to lower commercial related expenses and higher GAVRETO product sales in the U.S. during the year ended December 31, 2023 as compared to the year ended December 31, 2022.</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68"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research and development expenses during the years ended December 31, 2023 and 2022 (in thousands):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9"/>
        </w:trPr>
        <w:tc>
          <w:tcPr>
            <w:tcW w:w="5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and manufacturing related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(59,516)</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Early drug discovery and platform</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9"/>
                <w:szCs w:val="19"/>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(3,844)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and IT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9"/>
                <w:szCs w:val="19"/>
                <w:color w:val="auto"/>
              </w:rPr>
            </w:pPr>
          </w:p>
        </w:tc>
      </w:tr>
      <w:tr>
        <w:trPr>
          <w:trHeight w:val="21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427,720</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477,419</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(49,699)</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during the year ended December 31, 2023 as compared to the year ended December 31, 2022 primarily due to</w:t>
      </w:r>
    </w:p>
    <w:p>
      <w:pPr>
        <w:spacing w:after="0" w:line="189" w:lineRule="exact"/>
        <w:rPr>
          <w:sz w:val="20"/>
          <w:szCs w:val="20"/>
          <w:color w:val="auto"/>
        </w:rPr>
      </w:pPr>
    </w:p>
    <w:p>
      <w:pPr>
        <w:ind w:left="800" w:right="219" w:hanging="318"/>
        <w:spacing w:after="0" w:line="263" w:lineRule="auto"/>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7"/>
          <w:szCs w:val="17"/>
          <w:color w:val="auto"/>
        </w:rPr>
        <w:t>decrease of $59.5 million in clinical and manufacturing related activities primarily due to our focused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approach towards optimizing operational efficiency across our portfolio while executing across our top priority programs, the timing of manufacturing of clinical trial materials and decreased activities related to pralsetinib clinical studies; partially offset by</w:t>
      </w:r>
    </w:p>
    <w:p>
      <w:pPr>
        <w:spacing w:after="0" w:line="1" w:lineRule="exact"/>
        <w:rPr>
          <w:rFonts w:ascii="Times New Roman" w:cs="Times New Roman" w:eastAsia="Times New Roman" w:hAnsi="Times New Roman"/>
          <w:sz w:val="18"/>
          <w:szCs w:val="18"/>
          <w:color w:val="auto"/>
        </w:rPr>
      </w:pPr>
    </w:p>
    <w:p>
      <w:pPr>
        <w:ind w:left="800" w:right="119" w:hanging="318"/>
        <w:spacing w:after="0" w:line="258" w:lineRule="auto"/>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$14.1 million in compensation and related expenses primarily driven by increased headcount and increased labor related costs.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sales, general and administrative expenses during the years ended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and 2022 (in thousands):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19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9"/>
        </w:trPr>
        <w:tc>
          <w:tcPr>
            <w:tcW w:w="5100" w:type="dxa"/>
            <w:vAlign w:val="bottom"/>
          </w:tcPr>
          <w:p>
            <w:pPr>
              <w:spacing w:after="0"/>
              <w:rPr>
                <w:sz w:val="18"/>
                <w:szCs w:val="18"/>
                <w:color w:val="auto"/>
              </w:rPr>
            </w:pPr>
          </w:p>
        </w:tc>
        <w:tc>
          <w:tcPr>
            <w:tcW w:w="80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5"/>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$ 120,756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(7,531)</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related expenses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IT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9"/>
                <w:szCs w:val="19"/>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tcPr>
          <w:p>
            <w:pPr>
              <w:spacing w:after="0"/>
              <w:rPr>
                <w:sz w:val="19"/>
                <w:szCs w:val="19"/>
                <w:color w:val="auto"/>
              </w:rPr>
            </w:pPr>
          </w:p>
        </w:tc>
      </w:tr>
      <w:tr>
        <w:trPr>
          <w:trHeight w:val="21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 general and administrative expenses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$ 295,141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237,374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57,767</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80"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increased during the year ended December 31, 2023 as compared to the year ended December 31, 2022 primarily due to:</w:t>
      </w:r>
    </w:p>
    <w:p>
      <w:pPr>
        <w:spacing w:after="0" w:line="202" w:lineRule="exact"/>
        <w:rPr>
          <w:sz w:val="20"/>
          <w:szCs w:val="20"/>
          <w:color w:val="auto"/>
        </w:rPr>
      </w:pPr>
    </w:p>
    <w:p>
      <w:pPr>
        <w:ind w:left="800" w:right="260" w:hanging="318"/>
        <w:spacing w:after="0" w:line="257"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$36.4 million in compensation and related expenses driven by increased headcount in our salesforce to support our commercial activities related to indolent SM launch and increased labor related costs; and</w:t>
      </w:r>
    </w:p>
    <w:p>
      <w:pPr>
        <w:spacing w:after="0" w:line="1" w:lineRule="exact"/>
        <w:rPr>
          <w:rFonts w:ascii="Times New Roman" w:cs="Times New Roman" w:eastAsia="Times New Roman" w:hAnsi="Times New Roman"/>
          <w:sz w:val="18"/>
          <w:szCs w:val="18"/>
          <w:color w:val="auto"/>
        </w:rPr>
      </w:pPr>
    </w:p>
    <w:p>
      <w:pPr>
        <w:ind w:left="800" w:right="600" w:hanging="318"/>
        <w:spacing w:after="0" w:line="260"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$20.2 million in commercial and related activities primarily related to the expansion of our commercial infrastructure for commercialization of AYVAKIT/AYVAKYT.</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68" w:lineRule="exact"/>
        <w:rPr>
          <w:sz w:val="20"/>
          <w:szCs w:val="20"/>
          <w:color w:val="auto"/>
        </w:rPr>
      </w:pPr>
    </w:p>
    <w:p>
      <w:pPr>
        <w:ind w:left="60"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interest expense, net, during the years ended December 31, 2023 and 2022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18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9"/>
        </w:trPr>
        <w:tc>
          <w:tcPr>
            <w:tcW w:w="5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5"/>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(51,605)</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(25,619)</w:t>
            </w: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(25,986)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9"/>
                <w:szCs w:val="19"/>
                <w:color w:val="auto"/>
              </w:rPr>
            </w:pPr>
          </w:p>
        </w:tc>
      </w:tr>
      <w:tr>
        <w:trPr>
          <w:trHeight w:val="209"/>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80" w:firstLine="648"/>
        <w:spacing w:after="0" w:line="255" w:lineRule="auto"/>
        <w:rPr>
          <w:sz w:val="20"/>
          <w:szCs w:val="20"/>
          <w:color w:val="auto"/>
        </w:rPr>
      </w:pPr>
      <w:r>
        <w:rPr>
          <w:rFonts w:ascii="Times New Roman" w:cs="Times New Roman" w:eastAsia="Times New Roman" w:hAnsi="Times New Roman"/>
          <w:sz w:val="18"/>
          <w:szCs w:val="18"/>
          <w:color w:val="auto"/>
        </w:rPr>
        <w:t>Interest expense, net increased during the year ended December 31, 2023 as compared to the year ended December 31, 2022 primarily due to the interest charges on the liability related to the sale of future revenues and the term loan with Sixth Street Partners. The increase in interest expense was partially offset by higher interest income earned on the Company’s investments during the year ended December 31, 2023 as compared to the year ended December 31, 2022.</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68" w:lineRule="exact"/>
        <w:rPr>
          <w:sz w:val="20"/>
          <w:szCs w:val="20"/>
          <w:color w:val="auto"/>
        </w:rPr>
      </w:pPr>
    </w:p>
    <w:p>
      <w:pPr>
        <w:ind w:left="60" w:right="220" w:firstLine="648"/>
        <w:spacing w:after="0" w:line="278" w:lineRule="auto"/>
        <w:rPr>
          <w:sz w:val="20"/>
          <w:szCs w:val="20"/>
          <w:color w:val="auto"/>
        </w:rPr>
      </w:pPr>
      <w:r>
        <w:rPr>
          <w:rFonts w:ascii="Times New Roman" w:cs="Times New Roman" w:eastAsia="Times New Roman" w:hAnsi="Times New Roman"/>
          <w:sz w:val="18"/>
          <w:szCs w:val="18"/>
          <w:color w:val="auto"/>
        </w:rPr>
        <w:t>The following table summarizes the other income (expense), net, during the years ended December 31, 2023 and 2022 (in thousands):</w:t>
      </w:r>
    </w:p>
    <w:tbl>
      <w:tblPr>
        <w:tblLayout w:type="fixed"/>
        <w:tblInd w:w="40" w:type="dxa"/>
        <w:tblCellMar>
          <w:top w:w="0" w:type="dxa"/>
          <w:left w:w="0" w:type="dxa"/>
          <w:bottom w:w="0" w:type="dxa"/>
          <w:right w:w="0" w:type="dxa"/>
        </w:tblCellMar>
      </w:tblPr>
      <w:tr>
        <w:trPr>
          <w:trHeight w:val="194"/>
        </w:trPr>
        <w:tc>
          <w:tcPr>
            <w:tcW w:w="5440" w:type="dxa"/>
            <w:vAlign w:val="bottom"/>
          </w:tcPr>
          <w:p>
            <w:pPr>
              <w:spacing w:after="0"/>
              <w:rPr>
                <w:sz w:val="16"/>
                <w:szCs w:val="16"/>
                <w:color w:val="auto"/>
              </w:rPr>
            </w:pPr>
          </w:p>
        </w:tc>
        <w:tc>
          <w:tcPr>
            <w:tcW w:w="1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8"/>
        </w:trPr>
        <w:tc>
          <w:tcPr>
            <w:tcW w:w="5440" w:type="dxa"/>
            <w:vAlign w:val="bottom"/>
          </w:tcPr>
          <w:p>
            <w:pPr>
              <w:spacing w:after="0"/>
              <w:rPr>
                <w:sz w:val="17"/>
                <w:szCs w:val="17"/>
                <w:color w:val="auto"/>
              </w:rPr>
            </w:pPr>
          </w:p>
        </w:tc>
        <w:tc>
          <w:tcPr>
            <w:tcW w:w="7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5"/>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5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80" w:firstLine="648"/>
        <w:spacing w:after="0" w:line="261" w:lineRule="auto"/>
        <w:rPr>
          <w:sz w:val="20"/>
          <w:szCs w:val="20"/>
          <w:color w:val="auto"/>
        </w:rPr>
      </w:pPr>
      <w:r>
        <w:rPr>
          <w:rFonts w:ascii="Times New Roman" w:cs="Times New Roman" w:eastAsia="Times New Roman" w:hAnsi="Times New Roman"/>
          <w:sz w:val="18"/>
          <w:szCs w:val="18"/>
          <w:color w:val="auto"/>
        </w:rPr>
        <w:t>Other expense, net increased during the year ended December 31, 2023 as compared to the year ended December 31, 2022 primarily due a decrease in other income and an increase in foreign exchange losses. During the year ended December 31, 2022, we recorded other income from a transfer of pre-launch inventory to a third party, whereas no such other income was recorded during the year ended December 31, 2023.</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68" w:lineRule="exact"/>
        <w:rPr>
          <w:sz w:val="20"/>
          <w:szCs w:val="20"/>
          <w:color w:val="auto"/>
        </w:rPr>
      </w:pPr>
    </w:p>
    <w:p>
      <w:pPr>
        <w:ind w:left="60"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income tax expense during the years ended December 31, 2023 and 2022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4"/>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5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8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8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3" w:right="1419"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Income tax expense decreased during the year ended December 31, 2023 as compared to the year ended December 31, 2022 primarily due to the Company’s estimated taxable loss position for the year ended December 31, 2023, whereas the Company was in estimated taxable income position for the calendar year ended December 31, 2022 due to the cash considerations received under the royalty purchase agreement and the purchase and sale agreement entered into with Royalty Pharma and Sixth Street Partners in June 2022. For additional information, see Note 15,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our consolidated financial statements included in this Form 10-K.</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placements of our convertible preferred and common stock, collaborations and license agreements, future royalty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 monetization, and a term loan. Through December 31, 2023, we have received an aggregate of $3.7 billion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such transactions, including $1.9 billion in aggregate gross proceeds from the sale of common stock in our IPO, follow-on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public offerings, through our “at the market” stock offering program and the equity investment by Roche, $115.1 million in</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proceeds from the issuance of convertible preferred stock, $175.0 million in gross proceeds from our Royalty</w:t>
      </w:r>
    </w:p>
    <w:p>
      <w:pPr>
        <w:ind w:left="60"/>
        <w:spacing w:after="0"/>
        <w:rPr>
          <w:sz w:val="20"/>
          <w:szCs w:val="20"/>
          <w:color w:val="auto"/>
        </w:rPr>
      </w:pPr>
      <w:r>
        <w:rPr>
          <w:rFonts w:ascii="Times New Roman" w:cs="Times New Roman" w:eastAsia="Times New Roman" w:hAnsi="Times New Roman"/>
          <w:sz w:val="18"/>
          <w:szCs w:val="18"/>
          <w:color w:val="auto"/>
        </w:rPr>
        <w:t>Purchase Agreement with Royalty Pharma, $250.0 million in gross proceeds from our Future Revenue Purchase</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with Sixth Street Partners, $1.0 billion in upfront payments and milestone payments under our collaborations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Roche, CStone and Zai Lab, our license agreement with Clementia and our former collaboration with Alexion,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$250.0 million in gross proceeds from a term loan from Sixth Street Partners. In addition, since January 2020, we have also</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generated revenue through the sales of our approved drug products.</w:t>
      </w:r>
    </w:p>
    <w:p>
      <w:pPr>
        <w:spacing w:after="0" w:line="2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2023, we had cash, cash equivalents and marketable securities of $767.2 million.</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2023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2022:</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68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(502,277)</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274,040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(149,541)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119,225</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561,810</w:t>
            </w:r>
          </w:p>
        </w:tc>
        <w:tc>
          <w:tcPr>
            <w:tcW w:w="0" w:type="dxa"/>
            <w:vAlign w:val="bottom"/>
          </w:tcPr>
          <w:p>
            <w:pPr>
              <w:spacing w:after="0"/>
              <w:rPr>
                <w:sz w:val="1"/>
                <w:szCs w:val="1"/>
                <w:color w:val="auto"/>
              </w:rPr>
            </w:pP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(43,582)</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(90,008)</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For the year ended December 31, 2023,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the $65.4 million decrease in net cash used in operating activities was primarily due to a decrease in net loss of $50.5 million and changes in our operating assets and liabilities of $12.7 million. The changes in net cash flows related to changes in our operating assets and liabilities were generally due to the timing of vendor invoicing and payments.</w:t>
      </w:r>
    </w:p>
    <w:p>
      <w:pPr>
        <w:spacing w:after="0" w:line="224" w:lineRule="exact"/>
        <w:rPr>
          <w:sz w:val="20"/>
          <w:szCs w:val="20"/>
          <w:color w:val="auto"/>
        </w:rPr>
      </w:pPr>
    </w:p>
    <w:p>
      <w:pPr>
        <w:jc w:val="both"/>
        <w:ind w:left="60" w:right="4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Investing Activities. </w:t>
      </w:r>
      <w:r>
        <w:rPr>
          <w:rFonts w:ascii="Times New Roman" w:cs="Times New Roman" w:eastAsia="Times New Roman" w:hAnsi="Times New Roman"/>
          <w:sz w:val="18"/>
          <w:szCs w:val="18"/>
          <w:color w:val="auto"/>
        </w:rPr>
        <w:t>For the year ended December 31, 2023,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2022, the $423.6 million increase in net cash provided by investing activities was primarily due to the $430.4 million increase in net proceeds received from maturities of available for sale investments.</w:t>
      </w:r>
    </w:p>
    <w:p>
      <w:pPr>
        <w:spacing w:after="0" w:line="160" w:lineRule="exact"/>
        <w:rPr>
          <w:sz w:val="20"/>
          <w:szCs w:val="20"/>
          <w:color w:val="auto"/>
        </w:rPr>
      </w:pPr>
    </w:p>
    <w:p>
      <w:pPr>
        <w:jc w:val="both"/>
        <w:ind w:left="60" w:right="1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For the year ended December 31, 2023,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2022, the $442.6 million decrease in net cash provided by financing activities was primarily due to the $415.8 million in net proceeds provided by the sale of future royalties and future revenues during the year ended December 31, 2022 and the $39.9 million decrease in net proceeds provided by the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June 2022, we entered into a Royalty Purchase Agreement with Royalty Pharma. Pursuant to the Royalty Purchase Agreement, we received an upfront payment of $175.0 million in consideration for our rights to receive royalty payments on the net sales of GAVRETO worldwide excluding the CStone Territory and U.S. territory under the terms of the Roche pralsetinib collaboration agreement. Net proceeds from the transaction were recorded as liabilities related to sale of future royalties and revenues on the consolidated balance sheet and as of December 31, 2023, the net carrying value of the liability related to this arrangement was $175.0 million.</w:t>
      </w:r>
    </w:p>
    <w:p>
      <w:pPr>
        <w:spacing w:after="0" w:line="189" w:lineRule="exact"/>
        <w:rPr>
          <w:sz w:val="20"/>
          <w:szCs w:val="20"/>
          <w:color w:val="auto"/>
        </w:rPr>
      </w:pPr>
    </w:p>
    <w:p>
      <w:pPr>
        <w:ind w:left="60" w:right="259" w:firstLine="648"/>
        <w:spacing w:after="0" w:line="276" w:lineRule="auto"/>
        <w:rPr>
          <w:sz w:val="20"/>
          <w:szCs w:val="20"/>
          <w:color w:val="auto"/>
        </w:rPr>
      </w:pPr>
      <w:r>
        <w:rPr>
          <w:rFonts w:ascii="Times New Roman" w:cs="Times New Roman" w:eastAsia="Times New Roman" w:hAnsi="Times New Roman"/>
          <w:sz w:val="17"/>
          <w:szCs w:val="17"/>
          <w:color w:val="auto"/>
        </w:rPr>
        <w:t>In July 2022, we closed a Future Revenue Purchase Agreement with Sixth Street Partners and received gross proceeds of $250.0 million in exchange for future royalty payments at a rate of 9.75% on up to $900 million each year of</w:t>
      </w:r>
    </w:p>
    <w:p>
      <w:pPr>
        <w:spacing w:after="0" w:line="1" w:lineRule="exact"/>
        <w:rPr>
          <w:sz w:val="20"/>
          <w:szCs w:val="20"/>
          <w:color w:val="auto"/>
        </w:rPr>
      </w:pPr>
    </w:p>
    <w:p>
      <w:pPr>
        <w:ind w:left="60" w:right="59" w:hanging="10"/>
        <w:spacing w:after="0" w:line="249" w:lineRule="auto"/>
        <w:tabs>
          <w:tab w:leader="none" w:pos="2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worldwide annual net product sales of AYVAKIT/AYVAKYT (avapritinib) and (ii) if it is approved, aggregate worldwide annual net product sales of elenestinib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Net proceeds from the transaction were recorded as liabilities related to sale of future royalties and revenues on the consolidated balance sheet and as of December 31, 2023, the net carrying value of the liability related to this arrangement was $266.7 million.</w:t>
      </w:r>
    </w:p>
    <w:p>
      <w:pPr>
        <w:spacing w:after="0" w:line="193"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In July 2022, we closed a Financing Agreement for up to $660.0 million with Sixth Street Partners. The Financing Agreement, entered into by the parties in connection with the transaction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August 2023, we received the first tranche of the senior secured delayed draw term loan facility in the amount of $100.0 million in gross proceeds. In addition, we may at any time request an incremental term loan in an amount not to exceed $260.0 million on terms to be agreed and subject to the consent of the lenders providing such incremental term loan. As of December 31, 2023, the net carrying value of the term loan was $238.8 million.</w:t>
      </w:r>
    </w:p>
    <w:p>
      <w:pPr>
        <w:spacing w:after="0" w:line="166"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Our obligations under the Financing Agreement are secured, subject to certain exceptions, by security interests in the substantially all of our assets and our certain subsidiaries. The Financing Agreement contains negative covenants that, among other things and subject to certain exceptions, could restrict our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us to have consolidated liquidity of at least (i) $50.0 million during the period commencing from the date on which the term loans are funded to the date which is the day before the next term loans are funded and (ii) $80.0 million for each day thereafter.</w:t>
      </w:r>
    </w:p>
    <w:p>
      <w:pPr>
        <w:spacing w:after="0" w:line="188" w:lineRule="exact"/>
        <w:rPr>
          <w:sz w:val="20"/>
          <w:szCs w:val="20"/>
          <w:color w:val="auto"/>
        </w:rPr>
      </w:pPr>
    </w:p>
    <w:p>
      <w:pPr>
        <w:ind w:left="60" w:right="719"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consolidated financial statements included in this Form 10-K .</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268"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We expect variability in our expenses in connection with our ongoing activities, particularly as we continue the research and development of, initiate or continue clinical trials of, and seek marketing approval for our drug candidates.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incur additional significant costs if we choose to pursue additional indications or geographies for any of our approved drugs or drug candidates or otherwise expand more rapidly than we presently anticipate. Accordingly, we may seek to obtain additional funding from time to time in connection with our continuing operations or business objectives. If we are unable to raise capital when needed or on attractive terms, we may be forced to delay, reduce or eliminate certain of our research and development programs or future commercialization efforts.</w:t>
      </w:r>
    </w:p>
    <w:p>
      <w:pPr>
        <w:sectPr>
          <w:pgSz w:w="11900" w:h="16838" w:orient="portrait"/>
          <w:cols w:equalWidth="0" w:num="1">
            <w:col w:w="9019"/>
          </w:cols>
          <w:pgMar w:left="1440" w:top="513" w:right="1440" w:bottom="1440"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we had cash, cash equivalents and marketable securities of $767.2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and may increase as a result of many factors, including:</w:t>
      </w:r>
    </w:p>
    <w:p>
      <w:pPr>
        <w:spacing w:after="0" w:line="212" w:lineRule="exact"/>
        <w:rPr>
          <w:sz w:val="20"/>
          <w:szCs w:val="20"/>
          <w:color w:val="auto"/>
        </w:rPr>
      </w:pPr>
    </w:p>
    <w:p>
      <w:pPr>
        <w:ind w:left="1380" w:right="119" w:hanging="331"/>
        <w:spacing w:after="0" w:line="282"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commercialization efforts and market acceptance for AYVAKIT/AYVAKYT or any of our current or future drug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380" w:right="339" w:hanging="331"/>
        <w:spacing w:after="0" w:line="266"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175" w:lineRule="exact"/>
        <w:rPr>
          <w:rFonts w:ascii="Times New Roman" w:cs="Times New Roman" w:eastAsia="Times New Roman" w:hAnsi="Times New Roman"/>
          <w:sz w:val="18"/>
          <w:szCs w:val="18"/>
          <w:color w:val="auto"/>
        </w:rPr>
      </w:pPr>
    </w:p>
    <w:p>
      <w:pPr>
        <w:ind w:left="1380" w:right="139" w:hanging="331"/>
        <w:spacing w:after="0" w:line="261"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packaging and labeling arrangements to ensure adequate supply for development activities and commercial production, including API, drug substance and drug product material for use in preclinical studies, clinical trials, our compassionate use program and for use as commercial supply, as applicable;</w:t>
      </w:r>
    </w:p>
    <w:p>
      <w:pPr>
        <w:spacing w:after="0" w:line="166"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purchasing quantities of agents for use in our clinical trials in connection with our efforts to develop our drugs and drug candidates, including for development as combination therapies;</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82"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61" w:lineRule="exact"/>
        <w:rPr>
          <w:rFonts w:ascii="Times New Roman" w:cs="Times New Roman" w:eastAsia="Times New Roman" w:hAnsi="Times New Roman"/>
          <w:sz w:val="18"/>
          <w:szCs w:val="18"/>
          <w:color w:val="auto"/>
        </w:rPr>
      </w:pPr>
    </w:p>
    <w:p>
      <w:pPr>
        <w:ind w:left="1380" w:right="139" w:hanging="331"/>
        <w:spacing w:after="0" w:line="282"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to the extent these expenses are not the responsibility of our collaboration partners;</w:t>
      </w:r>
    </w:p>
    <w:p>
      <w:pPr>
        <w:spacing w:after="0" w:line="161" w:lineRule="exact"/>
        <w:rPr>
          <w:rFonts w:ascii="Times New Roman" w:cs="Times New Roman" w:eastAsia="Times New Roman" w:hAnsi="Times New Roman"/>
          <w:sz w:val="18"/>
          <w:szCs w:val="18"/>
          <w:color w:val="auto"/>
        </w:rPr>
      </w:pPr>
    </w:p>
    <w:p>
      <w:pPr>
        <w:ind w:left="1380" w:right="739" w:hanging="331"/>
        <w:spacing w:after="0" w:line="266"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CStone, Zai Lab and VantAI, our license agreements with Clementia and IDRx, as well as our ability to establish and maintain additional collaborations, partnerships or licenses on favorable terms, if at all;</w:t>
      </w:r>
    </w:p>
    <w:p>
      <w:pPr>
        <w:spacing w:after="0" w:line="175" w:lineRule="exact"/>
        <w:rPr>
          <w:rFonts w:ascii="Times New Roman" w:cs="Times New Roman" w:eastAsia="Times New Roman" w:hAnsi="Times New Roman"/>
          <w:sz w:val="18"/>
          <w:szCs w:val="18"/>
          <w:color w:val="auto"/>
        </w:rPr>
      </w:pPr>
    </w:p>
    <w:p>
      <w:pPr>
        <w:ind w:left="1380" w:right="459" w:hanging="331"/>
        <w:spacing w:after="0" w:line="266"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or license agreements, our financing arrangements, or any collaboration, partnership, financing or license agreements that we may enter into in the future;</w:t>
      </w:r>
    </w:p>
    <w:p>
      <w:pPr>
        <w:spacing w:after="0" w:line="175" w:lineRule="exact"/>
        <w:rPr>
          <w:rFonts w:ascii="Times New Roman" w:cs="Times New Roman" w:eastAsia="Times New Roman" w:hAnsi="Times New Roman"/>
          <w:sz w:val="18"/>
          <w:szCs w:val="18"/>
          <w:color w:val="auto"/>
        </w:rPr>
      </w:pPr>
    </w:p>
    <w:p>
      <w:pPr>
        <w:ind w:left="1380" w:right="759" w:hanging="331"/>
        <w:spacing w:after="0" w:line="282"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161" w:lineRule="exact"/>
        <w:rPr>
          <w:rFonts w:ascii="Times New Roman" w:cs="Times New Roman" w:eastAsia="Times New Roman" w:hAnsi="Times New Roman"/>
          <w:sz w:val="18"/>
          <w:szCs w:val="18"/>
          <w:color w:val="auto"/>
        </w:rPr>
      </w:pPr>
    </w:p>
    <w:p>
      <w:pPr>
        <w:ind w:left="1380" w:right="759" w:hanging="331"/>
        <w:spacing w:after="0" w:line="282"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pacing w:after="0" w:line="26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and achieve substantial revenues for any of our drugs or drug candidates that receive marketing approval. In addition, our drugs and any current or future drug candidates that receive marketing approvals may not achieve commercial success. Accordingly, we may need to rely on additional financing to achieve our business objectives. Adequate additional financing may not be available to us on acceptable terms, or at all.</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Until we can generate material net cash inflows from our operations, we may choose to finance our cash needs primarily through a combination of public and private equity offerings, debt financings, future revenue monetizations, collaborations, strategic alliances and licensing arrangements. We do not have any committed external sources of funds, other than our collaborations with CStone and Zai Lab, the license agreements with Clementia and IDRx, and the Financing Agreement with Sixth Street Partners,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additional covenants limiting or restricting our ability to take specific actions, such as incurring additional debt, making capital expenditures or declaring dividends.</w:t>
      </w:r>
    </w:p>
    <w:p>
      <w:pPr>
        <w:spacing w:after="0" w:line="215"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70"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 Our contractual obligations primarily consist of our obligations under unconditional purchase obligations related to certain clinical and commercial manufacturing agreements, non-cancellable operating leases, term loan and defined benefit obligation.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agreements</w:t>
      </w:r>
    </w:p>
    <w:p>
      <w:pPr>
        <w:spacing w:after="0" w:line="254"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aggregate amount of future minimum purchase obligations under the manufacturing agreements over the period of next five years was approximately $7.0 million as of December 31, 2023, of which $5.0 million are expected to be paid within one year.</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68"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aggregate amount of future operating lease obligations over the term of our leases was $115.6 million as of December 31, 2023, of which $18.2 million are expected to be paid within one year. For additional information on our leases and timing of future payments, see Note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included in this Form 10-K.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Long-term debt obligations</w:t>
      </w:r>
    </w:p>
    <w:p>
      <w:pPr>
        <w:spacing w:after="0" w:line="268" w:lineRule="exact"/>
        <w:rPr>
          <w:sz w:val="20"/>
          <w:szCs w:val="20"/>
          <w:color w:val="auto"/>
        </w:rPr>
      </w:pPr>
    </w:p>
    <w:p>
      <w:pPr>
        <w:jc w:val="both"/>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long-term debt obligation related to our term loan over the period of next five years was $385.3 million as of December 31, 2023, of which $30.3 million are expected to be paid within one year. For additional information on the term loan,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the consolidated financial statements included in this Form 10-K.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Defined benefit obligation</w:t>
      </w:r>
    </w:p>
    <w:p>
      <w:pPr>
        <w:spacing w:after="0" w:line="254"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benefits expected to be paid under our pension plan covering employees of our Swiss subsidiary, Blueprint Medicines (Switzerland) GmbH over the next five years and thereafter was $4.9 million as of December 31, 2023, of which $0.5 million is expected to become payable from the plan within one year. For additional information on the defined benefit plan, see Note 17,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to the consolidated financial statements included in this Form 10-K.</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service commitments</w:t>
      </w:r>
    </w:p>
    <w:p>
      <w:pPr>
        <w:spacing w:after="0" w:line="26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also have obligations to make future payments to third parties that become due and payable on the achievement of certain development and sales milestones, including future payments to third parties with whom we have entered into agreements to develop and commercialize certain of our research and development programs. As of December 31, 2023, we have an obligation to pay $5.0 million under one of such commitments within one year. We have not included these other such commitments on our balance sheet or in the contractual obligations above because the achievement and timing of these milestones is not fixed and determinable.</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26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contract research organizations for clinical trials and vendors for clinical supply manufacturing, preclinical research studies, synthetic chemistry and other services and products for operating purposes. We have not included all of these payments in the contractual obligations above since majority of the contracts are generally cancelable at any time by us upon less than 180 days’ prior written notice. Certain of these agreements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issued accounting pronouncements that may potentially impact our financial position and results of operations is disclosed in Note 2, </w:t>
      </w:r>
      <w:r>
        <w:rPr>
          <w:rFonts w:ascii="Times New Roman" w:cs="Times New Roman" w:eastAsia="Times New Roman" w:hAnsi="Times New Roman"/>
          <w:sz w:val="18"/>
          <w:szCs w:val="18"/>
          <w:i w:val="1"/>
          <w:iCs w:val="1"/>
          <w:color w:val="auto"/>
        </w:rPr>
        <w:t>Summary of Significant Accounting Policies and Recent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Pronouncements</w:t>
      </w:r>
      <w:r>
        <w:rPr>
          <w:rFonts w:ascii="Times New Roman" w:cs="Times New Roman" w:eastAsia="Times New Roman" w:hAnsi="Times New Roman"/>
          <w:sz w:val="18"/>
          <w:szCs w:val="18"/>
          <w:color w:val="auto"/>
        </w:rPr>
        <w:t>, to our consolidated financial statements included in this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2022, we had cash, cash equivalents and marketable securities of $767.2 million and $1,078.5 million, respectively, consisting primarily of money market funds and investments in U.S. government agency securities and treasury obligations.</w:t>
      </w:r>
    </w:p>
    <w:p>
      <w:pPr>
        <w:spacing w:after="0" w:line="13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resulting from the Federal Reserve’s raising of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4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including recent changes resulting from monetary policy from the U.S. and international central banks, inflationary pressures, and geopolitical developments, or instability or volatility in the global markets.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December 31, 2023 and 2022, we held limited funds and future obligations denominated in foreign currencies.</w:t>
      </w:r>
    </w:p>
    <w:p>
      <w:pPr>
        <w:spacing w:after="0" w:line="147" w:lineRule="exact"/>
        <w:rPr>
          <w:sz w:val="20"/>
          <w:szCs w:val="20"/>
          <w:color w:val="auto"/>
        </w:rPr>
      </w:pPr>
    </w:p>
    <w:p>
      <w:pPr>
        <w:ind w:left="60" w:right="219" w:firstLine="648"/>
        <w:spacing w:after="0" w:line="272" w:lineRule="auto"/>
        <w:rPr>
          <w:sz w:val="20"/>
          <w:szCs w:val="20"/>
          <w:color w:val="auto"/>
        </w:rPr>
      </w:pPr>
      <w:r>
        <w:rPr>
          <w:rFonts w:ascii="Times New Roman" w:cs="Times New Roman" w:eastAsia="Times New Roman" w:hAnsi="Times New Roman"/>
          <w:sz w:val="17"/>
          <w:szCs w:val="17"/>
          <w:color w:val="auto"/>
        </w:rPr>
        <w:t>Inflation generally affects us by increasing our cost of labor, clinical trial and manufacturing costs and indirectly increasing interest rates. Inflation rates, particularly in the U.S., have increased recently to levels not seen in years. We have not seen a significant impact from inflation on our business, financial condition or results of operations during the years ended December 31, 2023, 2022 and 2021. However, if inflation remains at current levels for an extended period of time, or increases, our costs are likely to increase, which may negatively impact our margins and cash flows.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financial statements and the report of our independent registered public accounting firm (PCAOB ID:42) required to be filed pursuant to this Item 8 are appended to this Annual Report on Form 10-K. An index of those financial statements is found in Item 15 of this Annual Report on Form 10-K.</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 in and Disagreements with Accountants on Accounting and Financial Disclosure.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Evaluation of our Disclosure Controls and Procedures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2023. Based upon such evaluation, our Chief Executive Officer and Chief Financial Officer have concluded that, as of December 31, 2023, our disclosure controls and procedures were effective at the reasonable assurance level.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7" w:lineRule="exact"/>
        <w:rPr>
          <w:sz w:val="20"/>
          <w:szCs w:val="20"/>
          <w:color w:val="auto"/>
        </w:rPr>
      </w:pPr>
    </w:p>
    <w:p>
      <w:pPr>
        <w:ind w:left="1380" w:right="919" w:hanging="331"/>
        <w:spacing w:after="0" w:line="282"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61"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66" w:lineRule="exact"/>
        <w:rPr>
          <w:rFonts w:ascii="Times New Roman" w:cs="Times New Roman" w:eastAsia="Times New Roman" w:hAnsi="Times New Roman"/>
          <w:sz w:val="18"/>
          <w:szCs w:val="18"/>
          <w:color w:val="auto"/>
        </w:rPr>
      </w:pPr>
    </w:p>
    <w:p>
      <w:pPr>
        <w:ind w:left="1380" w:right="239" w:hanging="331"/>
        <w:spacing w:after="0" w:line="282"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principal executive officer and principal financial officer, our management assessed the effectiveness of our internal control over financial reporting as of December 31, 2023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2023.</w:t>
      </w:r>
    </w:p>
    <w:p>
      <w:pPr>
        <w:spacing w:after="0" w:line="183"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attestation report of our internal control over financial reporting. This report appears below.</w:t>
      </w:r>
    </w:p>
    <w:p>
      <w:pPr>
        <w:spacing w:after="0" w:line="1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 of Blueprint Medicines Corporation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audited Blueprint Medicines Corporation’s internal control over financial reporting as of December 31, 2023, based on criteria established in Internal Control—Integrated Framework issued by the Committee of Sponsoring Organizations of the Treadway Commission (2013 Framework) (the COSO criteria). In our opinion, Blueprint Medicines Corporation (the Company) maintained, in all material respects, effective internal control over financial reporting as of December 31, 2023, based on the COSO criteria.</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Blueprint Medicines Corporation as of December 31, 2023 and 2022, the related consolidated statements of operations and comprehensive loss, stockholders’ equity and cash flows for each of the three years in the period ended December 31, 2023, and the related notes and our report dated February 15, 2024 expressed an unqualified opinion thereon.</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year ended December 31, 2023 that has materially affected, or is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one of our officers adopted a “Rule 10b5-1 trading arrangement,” as the term is defined in Item 408(a) of Regulation S-K. We describe the material terms of this Rule 10b5-1 trading arrangement below.</w:t>
      </w:r>
    </w:p>
    <w:p>
      <w:pPr>
        <w:spacing w:after="0" w:line="188" w:lineRule="exact"/>
        <w:rPr>
          <w:sz w:val="20"/>
          <w:szCs w:val="20"/>
          <w:color w:val="auto"/>
        </w:rPr>
      </w:pPr>
    </w:p>
    <w:tbl>
      <w:tblPr>
        <w:tblLayout w:type="fixed"/>
        <w:tblInd w:w="50" w:type="dxa"/>
        <w:tblCellMar>
          <w:top w:w="0" w:type="dxa"/>
          <w:left w:w="0" w:type="dxa"/>
          <w:bottom w:w="0" w:type="dxa"/>
          <w:right w:w="0" w:type="dxa"/>
        </w:tblCellMar>
      </w:tblPr>
      <w:tr>
        <w:trPr>
          <w:trHeight w:val="241"/>
        </w:trPr>
        <w:tc>
          <w:tcPr>
            <w:tcW w:w="1800" w:type="dxa"/>
            <w:vAlign w:val="bottom"/>
            <w:tcBorders>
              <w:top w:val="single" w:sz="8" w:color="auto"/>
              <w:left w:val="single" w:sz="8" w:color="auto"/>
              <w:right w:val="single" w:sz="8" w:color="auto"/>
            </w:tcBorders>
            <w:shd w:val="clear" w:color="auto" w:fill="D9D9D9"/>
          </w:tcPr>
          <w:p>
            <w:pPr>
              <w:spacing w:after="0"/>
              <w:rPr>
                <w:sz w:val="20"/>
                <w:szCs w:val="20"/>
                <w:color w:val="auto"/>
              </w:rPr>
            </w:pPr>
          </w:p>
        </w:tc>
        <w:tc>
          <w:tcPr>
            <w:tcW w:w="8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5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Type of Trading</w:t>
            </w:r>
          </w:p>
        </w:tc>
        <w:tc>
          <w:tcPr>
            <w:tcW w:w="17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Nature of Trading</w:t>
            </w:r>
          </w:p>
        </w:tc>
        <w:tc>
          <w:tcPr>
            <w:tcW w:w="15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Duration of</w:t>
            </w:r>
          </w:p>
        </w:tc>
        <w:tc>
          <w:tcPr>
            <w:tcW w:w="1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94"/>
        </w:trPr>
        <w:tc>
          <w:tcPr>
            <w:tcW w:w="180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880" w:type="dxa"/>
            <w:vAlign w:val="bottom"/>
            <w:tcBorders>
              <w:right w:val="single" w:sz="8" w:color="auto"/>
            </w:tcBorders>
            <w:vMerge w:val="continue"/>
            <w:shd w:val="clear" w:color="auto" w:fill="D9D9D9"/>
          </w:tcPr>
          <w:p>
            <w:pPr>
              <w:spacing w:after="0"/>
              <w:rPr>
                <w:sz w:val="8"/>
                <w:szCs w:val="8"/>
                <w:color w:val="auto"/>
              </w:rPr>
            </w:pPr>
          </w:p>
        </w:tc>
        <w:tc>
          <w:tcPr>
            <w:tcW w:w="1580" w:type="dxa"/>
            <w:vAlign w:val="bottom"/>
            <w:tcBorders>
              <w:right w:val="single" w:sz="8" w:color="auto"/>
            </w:tcBorders>
            <w:vMerge w:val="continue"/>
            <w:shd w:val="clear" w:color="auto" w:fill="D9D9D9"/>
          </w:tcPr>
          <w:p>
            <w:pPr>
              <w:spacing w:after="0"/>
              <w:rPr>
                <w:sz w:val="8"/>
                <w:szCs w:val="8"/>
                <w:color w:val="auto"/>
              </w:rPr>
            </w:pPr>
          </w:p>
        </w:tc>
        <w:tc>
          <w:tcPr>
            <w:tcW w:w="1700" w:type="dxa"/>
            <w:vAlign w:val="bottom"/>
            <w:tcBorders>
              <w:right w:val="single" w:sz="8" w:color="auto"/>
            </w:tcBorders>
            <w:vMerge w:val="continue"/>
            <w:shd w:val="clear" w:color="auto" w:fill="D9D9D9"/>
          </w:tcPr>
          <w:p>
            <w:pPr>
              <w:spacing w:after="0"/>
              <w:rPr>
                <w:sz w:val="8"/>
                <w:szCs w:val="8"/>
                <w:color w:val="auto"/>
              </w:rPr>
            </w:pPr>
          </w:p>
        </w:tc>
        <w:tc>
          <w:tcPr>
            <w:tcW w:w="15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1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95"/>
        </w:trPr>
        <w:tc>
          <w:tcPr>
            <w:tcW w:w="1800" w:type="dxa"/>
            <w:vAlign w:val="bottom"/>
            <w:tcBorders>
              <w:left w:val="single" w:sz="8" w:color="auto"/>
              <w:right w:val="single" w:sz="8" w:color="auto"/>
            </w:tcBorders>
            <w:vMerge w:val="continue"/>
            <w:shd w:val="clear" w:color="auto" w:fill="D9D9D9"/>
          </w:tcPr>
          <w:p>
            <w:pPr>
              <w:spacing w:after="0"/>
              <w:rPr>
                <w:sz w:val="8"/>
                <w:szCs w:val="8"/>
                <w:color w:val="auto"/>
              </w:rPr>
            </w:pPr>
          </w:p>
        </w:tc>
        <w:tc>
          <w:tcPr>
            <w:tcW w:w="8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Taken</w:t>
            </w: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Arrangement</w:t>
            </w:r>
          </w:p>
        </w:tc>
        <w:tc>
          <w:tcPr>
            <w:tcW w:w="17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Arrangement</w:t>
            </w:r>
          </w:p>
        </w:tc>
        <w:tc>
          <w:tcPr>
            <w:tcW w:w="1540" w:type="dxa"/>
            <w:vAlign w:val="bottom"/>
            <w:tcBorders>
              <w:right w:val="single" w:sz="8" w:color="auto"/>
            </w:tcBorders>
            <w:vMerge w:val="continue"/>
            <w:shd w:val="clear" w:color="auto" w:fill="D9D9D9"/>
          </w:tcPr>
          <w:p>
            <w:pPr>
              <w:spacing w:after="0"/>
              <w:rPr>
                <w:sz w:val="8"/>
                <w:szCs w:val="8"/>
                <w:color w:val="auto"/>
              </w:rPr>
            </w:pPr>
          </w:p>
        </w:tc>
        <w:tc>
          <w:tcPr>
            <w:tcW w:w="112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00" w:type="dxa"/>
            <w:vAlign w:val="bottom"/>
            <w:tcBorders>
              <w:left w:val="single" w:sz="8" w:color="auto"/>
              <w:right w:val="single" w:sz="8" w:color="auto"/>
            </w:tcBorders>
            <w:shd w:val="clear" w:color="auto" w:fill="D9D9D9"/>
          </w:tcPr>
          <w:p>
            <w:pPr>
              <w:spacing w:after="0"/>
              <w:rPr>
                <w:sz w:val="10"/>
                <w:szCs w:val="10"/>
                <w:color w:val="auto"/>
              </w:rPr>
            </w:pPr>
          </w:p>
        </w:tc>
        <w:tc>
          <w:tcPr>
            <w:tcW w:w="880" w:type="dxa"/>
            <w:vAlign w:val="bottom"/>
            <w:tcBorders>
              <w:right w:val="single" w:sz="8" w:color="auto"/>
            </w:tcBorders>
            <w:vMerge w:val="continue"/>
            <w:shd w:val="clear" w:color="auto" w:fill="D9D9D9"/>
          </w:tcPr>
          <w:p>
            <w:pPr>
              <w:spacing w:after="0"/>
              <w:rPr>
                <w:sz w:val="10"/>
                <w:szCs w:val="10"/>
                <w:color w:val="auto"/>
              </w:rPr>
            </w:pPr>
          </w:p>
        </w:tc>
        <w:tc>
          <w:tcPr>
            <w:tcW w:w="1580" w:type="dxa"/>
            <w:vAlign w:val="bottom"/>
            <w:tcBorders>
              <w:right w:val="single" w:sz="8" w:color="auto"/>
            </w:tcBorders>
            <w:vMerge w:val="continue"/>
            <w:shd w:val="clear" w:color="auto" w:fill="D9D9D9"/>
          </w:tcPr>
          <w:p>
            <w:pPr>
              <w:spacing w:after="0"/>
              <w:rPr>
                <w:sz w:val="10"/>
                <w:szCs w:val="10"/>
                <w:color w:val="auto"/>
              </w:rPr>
            </w:pPr>
          </w:p>
        </w:tc>
        <w:tc>
          <w:tcPr>
            <w:tcW w:w="1700" w:type="dxa"/>
            <w:vAlign w:val="bottom"/>
            <w:tcBorders>
              <w:right w:val="single" w:sz="8" w:color="auto"/>
            </w:tcBorders>
            <w:vMerge w:val="continue"/>
            <w:shd w:val="clear" w:color="auto" w:fill="D9D9D9"/>
          </w:tcPr>
          <w:p>
            <w:pPr>
              <w:spacing w:after="0"/>
              <w:rPr>
                <w:sz w:val="10"/>
                <w:szCs w:val="10"/>
                <w:color w:val="auto"/>
              </w:rPr>
            </w:pPr>
          </w:p>
        </w:tc>
        <w:tc>
          <w:tcPr>
            <w:tcW w:w="15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1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0" w:type="dxa"/>
            <w:vAlign w:val="bottom"/>
          </w:tcPr>
          <w:p>
            <w:pPr>
              <w:spacing w:after="0"/>
              <w:rPr>
                <w:sz w:val="1"/>
                <w:szCs w:val="1"/>
                <w:color w:val="auto"/>
              </w:rPr>
            </w:pPr>
          </w:p>
        </w:tc>
      </w:tr>
      <w:tr>
        <w:trPr>
          <w:trHeight w:val="155"/>
        </w:trPr>
        <w:tc>
          <w:tcPr>
            <w:tcW w:w="1800" w:type="dxa"/>
            <w:vAlign w:val="bottom"/>
            <w:tcBorders>
              <w:left w:val="single" w:sz="8" w:color="auto"/>
              <w:bottom w:val="single" w:sz="8" w:color="D9D9D9"/>
              <w:right w:val="single" w:sz="8" w:color="auto"/>
            </w:tcBorders>
            <w:shd w:val="clear" w:color="auto" w:fill="D9D9D9"/>
          </w:tcPr>
          <w:p>
            <w:pPr>
              <w:spacing w:after="0"/>
              <w:rPr>
                <w:sz w:val="13"/>
                <w:szCs w:val="13"/>
                <w:color w:val="auto"/>
              </w:rPr>
            </w:pPr>
          </w:p>
        </w:tc>
        <w:tc>
          <w:tcPr>
            <w:tcW w:w="880" w:type="dxa"/>
            <w:vAlign w:val="bottom"/>
            <w:tcBorders>
              <w:bottom w:val="single" w:sz="8" w:color="D9D9D9"/>
              <w:right w:val="single" w:sz="8" w:color="auto"/>
            </w:tcBorders>
            <w:shd w:val="clear" w:color="auto" w:fill="D9D9D9"/>
          </w:tcPr>
          <w:p>
            <w:pPr>
              <w:spacing w:after="0"/>
              <w:rPr>
                <w:sz w:val="13"/>
                <w:szCs w:val="13"/>
                <w:color w:val="auto"/>
              </w:rPr>
            </w:pPr>
          </w:p>
        </w:tc>
        <w:tc>
          <w:tcPr>
            <w:tcW w:w="1580" w:type="dxa"/>
            <w:vAlign w:val="bottom"/>
            <w:tcBorders>
              <w:bottom w:val="single" w:sz="8" w:color="D9D9D9"/>
              <w:right w:val="single" w:sz="8" w:color="auto"/>
            </w:tcBorders>
            <w:shd w:val="clear" w:color="auto" w:fill="D9D9D9"/>
          </w:tcPr>
          <w:p>
            <w:pPr>
              <w:spacing w:after="0"/>
              <w:rPr>
                <w:sz w:val="13"/>
                <w:szCs w:val="13"/>
                <w:color w:val="auto"/>
              </w:rPr>
            </w:pPr>
          </w:p>
        </w:tc>
        <w:tc>
          <w:tcPr>
            <w:tcW w:w="1700" w:type="dxa"/>
            <w:vAlign w:val="bottom"/>
            <w:tcBorders>
              <w:bottom w:val="single" w:sz="8" w:color="D9D9D9"/>
              <w:right w:val="single" w:sz="8" w:color="auto"/>
            </w:tcBorders>
            <w:shd w:val="clear" w:color="auto" w:fill="D9D9D9"/>
          </w:tcPr>
          <w:p>
            <w:pPr>
              <w:spacing w:after="0"/>
              <w:rPr>
                <w:sz w:val="13"/>
                <w:szCs w:val="13"/>
                <w:color w:val="auto"/>
              </w:rPr>
            </w:pPr>
          </w:p>
        </w:tc>
        <w:tc>
          <w:tcPr>
            <w:tcW w:w="1540" w:type="dxa"/>
            <w:vAlign w:val="bottom"/>
            <w:tcBorders>
              <w:bottom w:val="single" w:sz="8" w:color="D9D9D9"/>
              <w:right w:val="single" w:sz="8" w:color="auto"/>
            </w:tcBorders>
            <w:vMerge w:val="continue"/>
            <w:shd w:val="clear" w:color="auto" w:fill="D9D9D9"/>
          </w:tcPr>
          <w:p>
            <w:pPr>
              <w:spacing w:after="0"/>
              <w:rPr>
                <w:sz w:val="13"/>
                <w:szCs w:val="13"/>
                <w:color w:val="auto"/>
              </w:rPr>
            </w:pPr>
          </w:p>
        </w:tc>
        <w:tc>
          <w:tcPr>
            <w:tcW w:w="1120" w:type="dxa"/>
            <w:vAlign w:val="bottom"/>
            <w:tcBorders>
              <w:bottom w:val="single" w:sz="8" w:color="D9D9D9"/>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Michael Landsittel</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Adoption</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plan</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Sale of the Company’s</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12/6/23 – 12/1/24</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36,993</w:t>
            </w:r>
          </w:p>
        </w:tc>
        <w:tc>
          <w:tcPr>
            <w:tcW w:w="0" w:type="dxa"/>
            <w:vAlign w:val="bottom"/>
          </w:tcPr>
          <w:p>
            <w:pPr>
              <w:spacing w:after="0"/>
              <w:rPr>
                <w:sz w:val="1"/>
                <w:szCs w:val="1"/>
                <w:color w:val="auto"/>
              </w:rPr>
            </w:pPr>
          </w:p>
        </w:tc>
      </w:tr>
      <w:tr>
        <w:trPr>
          <w:trHeight w:val="191"/>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Chief Financial</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12/6/23</w:t>
            </w:r>
            <w:r>
              <w:rPr>
                <w:rFonts w:ascii="Times New Roman" w:cs="Times New Roman" w:eastAsia="Times New Roman" w:hAnsi="Times New Roman"/>
                <w:sz w:val="16"/>
                <w:szCs w:val="16"/>
                <w:color w:val="auto"/>
              </w:rPr>
              <w:t>)</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intended to satisfy</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15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800" w:type="dxa"/>
            <w:vAlign w:val="bottom"/>
            <w:tcBorders>
              <w:left w:val="single" w:sz="8" w:color="auto"/>
              <w:right w:val="single" w:sz="8" w:color="auto"/>
            </w:tcBorders>
            <w:vMerge w:val="continue"/>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the affirmative</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pursuant to the terms</w:t>
            </w:r>
          </w:p>
        </w:tc>
        <w:tc>
          <w:tcPr>
            <w:tcW w:w="154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800" w:type="dxa"/>
            <w:vAlign w:val="bottom"/>
            <w:tcBorders>
              <w:left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i w:val="1"/>
                <w:iCs w:val="1"/>
                <w:color w:val="auto"/>
              </w:rPr>
              <w:t xml:space="preserve">Officer </w:t>
            </w:r>
            <w:r>
              <w:rPr>
                <w:rFonts w:ascii="Times New Roman" w:cs="Times New Roman" w:eastAsia="Times New Roman" w:hAnsi="Times New Roman"/>
                <w:sz w:val="16"/>
                <w:szCs w:val="16"/>
                <w:color w:val="auto"/>
              </w:rPr>
              <w:t>)</w:t>
            </w:r>
          </w:p>
        </w:tc>
        <w:tc>
          <w:tcPr>
            <w:tcW w:w="88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vMerge w:val="continue"/>
          </w:tcPr>
          <w:p>
            <w:pPr>
              <w:spacing w:after="0"/>
              <w:rPr>
                <w:sz w:val="14"/>
                <w:szCs w:val="14"/>
                <w:color w:val="auto"/>
              </w:rPr>
            </w:pPr>
          </w:p>
        </w:tc>
        <w:tc>
          <w:tcPr>
            <w:tcW w:w="1700" w:type="dxa"/>
            <w:vAlign w:val="bottom"/>
            <w:tcBorders>
              <w:right w:val="single" w:sz="8" w:color="auto"/>
            </w:tcBorders>
            <w:vMerge w:val="continue"/>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0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defense conditions of</w:t>
            </w:r>
          </w:p>
        </w:tc>
        <w:tc>
          <w:tcPr>
            <w:tcW w:w="170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of the plan</w:t>
            </w:r>
          </w:p>
        </w:tc>
        <w:tc>
          <w:tcPr>
            <w:tcW w:w="15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Securities Exchange</w:t>
            </w:r>
          </w:p>
        </w:tc>
        <w:tc>
          <w:tcPr>
            <w:tcW w:w="17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0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 Rule 10b5-1(c)</w:t>
            </w:r>
          </w:p>
        </w:tc>
        <w:tc>
          <w:tcPr>
            <w:tcW w:w="17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0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2024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6" w:lineRule="exact"/>
        <w:rPr>
          <w:sz w:val="20"/>
          <w:szCs w:val="20"/>
          <w:color w:val="auto"/>
        </w:rPr>
      </w:pPr>
    </w:p>
    <w:p>
      <w:pPr>
        <w:jc w:val="both"/>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2024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2024 Annual Meeting of Stockholders and is incorporated herein by reference.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2024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2024 Annual Meeting of Stockholders and is incorporated herein by reference.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1260" w:hanging="562"/>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F-46 attached hereto and are filed as part of this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900" w:type="dxa"/>
            <w:vAlign w:val="bottom"/>
          </w:tcPr>
          <w:p>
            <w:pPr>
              <w:spacing w:after="0"/>
              <w:rPr>
                <w:sz w:val="20"/>
                <w:szCs w:val="20"/>
                <w:color w:val="auto"/>
              </w:rPr>
            </w:pPr>
          </w:p>
        </w:tc>
      </w:tr>
      <w:tr>
        <w:trPr>
          <w:trHeight w:val="387"/>
        </w:trPr>
        <w:tc>
          <w:tcPr>
            <w:tcW w:w="42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2780" w:type="dxa"/>
            <w:vAlign w:val="bottom"/>
            <w:gridSpan w:val="2"/>
          </w:tcPr>
          <w:p>
            <w:pPr>
              <w:spacing w:after="0"/>
              <w:rPr>
                <w:sz w:val="24"/>
                <w:szCs w:val="24"/>
                <w:color w:val="auto"/>
              </w:rPr>
            </w:pP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70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(Loss)</w:t>
            </w:r>
          </w:p>
        </w:tc>
        <w:tc>
          <w:tcPr>
            <w:tcW w:w="1620" w:type="dxa"/>
            <w:vAlign w:val="bottom"/>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70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3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460" w:type="dxa"/>
            <w:vAlign w:val="bottom"/>
            <w:gridSpan w:val="3"/>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70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F-9</w:t>
            </w:r>
          </w:p>
        </w:tc>
      </w:tr>
      <w:tr>
        <w:trPr>
          <w:trHeight w:val="20"/>
        </w:trPr>
        <w:tc>
          <w:tcPr>
            <w:tcW w:w="102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53"/>
        </w:trPr>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w:t>
            </w:r>
          </w:p>
        </w:tc>
        <w:tc>
          <w:tcPr>
            <w:tcW w:w="598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1900" w:type="dxa"/>
            <w:vAlign w:val="bottom"/>
          </w:tcPr>
          <w:p>
            <w:pPr>
              <w:spacing w:after="0"/>
              <w:rPr>
                <w:sz w:val="24"/>
                <w:szCs w:val="24"/>
                <w:color w:val="auto"/>
              </w:rPr>
            </w:pPr>
          </w:p>
        </w:tc>
      </w:tr>
    </w:tbl>
    <w:p>
      <w:pPr>
        <w:spacing w:after="0" w:line="184"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Schedules have been omitted since they are either not required or not applicable or the information is otherwise included herein.</w:t>
      </w:r>
    </w:p>
    <w:p>
      <w:pPr>
        <w:spacing w:after="0" w:line="162" w:lineRule="exact"/>
        <w:rPr>
          <w:sz w:val="20"/>
          <w:szCs w:val="20"/>
          <w:color w:val="auto"/>
        </w:rPr>
      </w:pPr>
    </w:p>
    <w:p>
      <w:pPr>
        <w:ind w:left="1260" w:hanging="562"/>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2"/>
        </w:trPr>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100" w:type="dxa"/>
            <w:vAlign w:val="bottom"/>
            <w:gridSpan w:val="22"/>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Form</w:t>
            </w:r>
          </w:p>
        </w:tc>
        <w:tc>
          <w:tcPr>
            <w:tcW w:w="19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620" w:type="dxa"/>
            <w:vAlign w:val="bottom"/>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2100" w:type="dxa"/>
            <w:vAlign w:val="bottom"/>
            <w:gridSpan w:val="22"/>
          </w:tcPr>
          <w:p>
            <w:pPr>
              <w:spacing w:after="0" w:line="194"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Sales Agreement, dated as</w:t>
              </w:r>
            </w:hyperlink>
          </w:p>
        </w:tc>
        <w:tc>
          <w:tcPr>
            <w:tcW w:w="840" w:type="dxa"/>
            <w:vAlign w:val="bottom"/>
          </w:tcPr>
          <w:p>
            <w:pPr>
              <w:jc w:val="center"/>
              <w:ind w:right="73"/>
              <w:spacing w:after="0" w:line="194" w:lineRule="exact"/>
              <w:rPr>
                <w:sz w:val="20"/>
                <w:szCs w:val="20"/>
                <w:color w:val="auto"/>
              </w:rPr>
            </w:pPr>
            <w:r>
              <w:rPr>
                <w:rFonts w:ascii="Times New Roman" w:cs="Times New Roman" w:eastAsia="Times New Roman" w:hAnsi="Times New Roman"/>
                <w:sz w:val="18"/>
                <w:szCs w:val="18"/>
                <w:color w:val="auto"/>
                <w:w w:val="97"/>
              </w:rPr>
              <w:t>10-K</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001-37359</w:t>
            </w:r>
          </w:p>
        </w:tc>
        <w:tc>
          <w:tcPr>
            <w:tcW w:w="1220" w:type="dxa"/>
            <w:vAlign w:val="bottom"/>
          </w:tcPr>
          <w:p>
            <w:pPr>
              <w:jc w:val="center"/>
              <w:ind w:right="93"/>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1620" w:type="dxa"/>
            <w:vAlign w:val="bottom"/>
          </w:tcPr>
          <w:p>
            <w:pPr>
              <w:jc w:val="center"/>
              <w:ind w:left="93"/>
              <w:spacing w:after="0" w:line="194" w:lineRule="exact"/>
              <w:rPr>
                <w:sz w:val="20"/>
                <w:szCs w:val="20"/>
                <w:color w:val="auto"/>
              </w:rPr>
            </w:pPr>
            <w:r>
              <w:rPr>
                <w:rFonts w:ascii="Times New Roman" w:cs="Times New Roman" w:eastAsia="Times New Roman" w:hAnsi="Times New Roman"/>
                <w:sz w:val="18"/>
                <w:szCs w:val="18"/>
                <w:color w:val="auto"/>
                <w:w w:val="99"/>
              </w:rPr>
              <w:t>February 17, 2022</w:t>
            </w:r>
          </w:p>
        </w:tc>
      </w:tr>
      <w:tr>
        <w:trPr>
          <w:trHeight w:val="183"/>
        </w:trPr>
        <w:tc>
          <w:tcPr>
            <w:tcW w:w="960" w:type="dxa"/>
            <w:vAlign w:val="bottom"/>
          </w:tcPr>
          <w:p>
            <w:pPr>
              <w:spacing w:after="0"/>
              <w:rPr>
                <w:sz w:val="15"/>
                <w:szCs w:val="15"/>
                <w:color w:val="auto"/>
              </w:rPr>
            </w:pPr>
          </w:p>
        </w:tc>
        <w:tc>
          <w:tcPr>
            <w:tcW w:w="180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of February 17, 2022, by</w:t>
              </w:r>
            </w:hyperlink>
          </w:p>
        </w:tc>
        <w:tc>
          <w:tcPr>
            <w:tcW w:w="100" w:type="dxa"/>
            <w:vAlign w:val="bottom"/>
            <w:tcBorders>
              <w:top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16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and between Blueprint</w:t>
              </w:r>
            </w:hyperlink>
          </w:p>
        </w:tc>
        <w:tc>
          <w:tcPr>
            <w:tcW w:w="46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Medicines Corporation and</w:t>
              </w:r>
            </w:hyperlink>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Cowen and Company, LLC</w:t>
              </w:r>
            </w:hyperlink>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100" w:type="dxa"/>
            <w:vAlign w:val="bottom"/>
            <w:gridSpan w:val="22"/>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Agreement and Plan of</w:t>
              </w:r>
            </w:hyperlink>
          </w:p>
        </w:tc>
        <w:tc>
          <w:tcPr>
            <w:tcW w:w="84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2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2.1</w:t>
            </w:r>
          </w:p>
        </w:tc>
        <w:tc>
          <w:tcPr>
            <w:tcW w:w="162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December 30, 2021</w:t>
            </w:r>
          </w:p>
        </w:tc>
      </w:tr>
      <w:tr>
        <w:trPr>
          <w:trHeight w:val="183"/>
        </w:trPr>
        <w:tc>
          <w:tcPr>
            <w:tcW w:w="960" w:type="dxa"/>
            <w:vAlign w:val="bottom"/>
          </w:tcPr>
          <w:p>
            <w:pPr>
              <w:spacing w:after="0"/>
              <w:rPr>
                <w:sz w:val="15"/>
                <w:szCs w:val="15"/>
                <w:color w:val="auto"/>
              </w:rPr>
            </w:pPr>
          </w:p>
        </w:tc>
        <w:tc>
          <w:tcPr>
            <w:tcW w:w="1680" w:type="dxa"/>
            <w:vAlign w:val="bottom"/>
            <w:tcBorders>
              <w:top w:val="single" w:sz="8" w:color="0000EE"/>
            </w:tcBorders>
            <w:gridSpan w:val="11"/>
          </w:tcPr>
          <w:p>
            <w:pPr>
              <w:spacing w:after="0" w:line="182"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Merger by and among</w:t>
              </w:r>
            </w:hyperlink>
          </w:p>
        </w:tc>
        <w:tc>
          <w:tcPr>
            <w:tcW w:w="420" w:type="dxa"/>
            <w:vAlign w:val="bottom"/>
            <w:gridSpan w:val="11"/>
          </w:tcPr>
          <w:p>
            <w:pPr>
              <w:spacing w:after="0" w:line="182"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the</w:t>
              </w:r>
            </w:hyperlink>
          </w:p>
        </w:tc>
        <w:tc>
          <w:tcPr>
            <w:tcW w:w="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100" w:type="dxa"/>
            <w:vAlign w:val="bottom"/>
            <w:gridSpan w:val="22"/>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Company, Pavonis Merger</w:t>
              </w:r>
            </w:hyperlink>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Subsidiary, Inc., Lengo</w:t>
              </w:r>
            </w:hyperlink>
          </w:p>
        </w:tc>
        <w:tc>
          <w:tcPr>
            <w:tcW w:w="200" w:type="dxa"/>
            <w:vAlign w:val="bottom"/>
            <w:tcBorders>
              <w:top w:val="single" w:sz="8" w:color="0000EE"/>
            </w:tcBorders>
            <w:gridSpan w:val="5"/>
          </w:tcPr>
          <w:p>
            <w:pPr>
              <w:spacing w:after="0"/>
              <w:rPr>
                <w:sz w:val="17"/>
                <w:szCs w:val="17"/>
                <w:color w:val="auto"/>
              </w:rPr>
            </w:pPr>
          </w:p>
        </w:tc>
        <w:tc>
          <w:tcPr>
            <w:tcW w:w="18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Therapeutics, Inc. and</w:t>
              </w:r>
            </w:hyperlink>
          </w:p>
        </w:tc>
        <w:tc>
          <w:tcPr>
            <w:tcW w:w="480" w:type="dxa"/>
            <w:vAlign w:val="bottom"/>
            <w:gridSpan w:val="13"/>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Fortis Advisors, LLC,</w:t>
              </w:r>
            </w:hyperlink>
          </w:p>
        </w:tc>
        <w:tc>
          <w:tcPr>
            <w:tcW w:w="480" w:type="dxa"/>
            <w:vAlign w:val="bottom"/>
            <w:gridSpan w:val="13"/>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dated November 27, 2021</w:t>
              </w:r>
            </w:hyperlink>
          </w:p>
        </w:tc>
        <w:tc>
          <w:tcPr>
            <w:tcW w:w="22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100" w:type="dxa"/>
            <w:vAlign w:val="bottom"/>
            <w:gridSpan w:val="22"/>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Fifth Amended and</w:t>
              </w:r>
            </w:hyperlink>
          </w:p>
        </w:tc>
        <w:tc>
          <w:tcPr>
            <w:tcW w:w="84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7"/>
              </w:rPr>
              <w:t>10-Q</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2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3.1</w:t>
            </w:r>
          </w:p>
        </w:tc>
        <w:tc>
          <w:tcPr>
            <w:tcW w:w="162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November 9, 2015</w:t>
            </w:r>
          </w:p>
        </w:tc>
      </w:tr>
      <w:tr>
        <w:trPr>
          <w:trHeight w:val="183"/>
        </w:trPr>
        <w:tc>
          <w:tcPr>
            <w:tcW w:w="960" w:type="dxa"/>
            <w:vAlign w:val="bottom"/>
          </w:tcPr>
          <w:p>
            <w:pPr>
              <w:spacing w:after="0"/>
              <w:rPr>
                <w:sz w:val="15"/>
                <w:szCs w:val="15"/>
                <w:color w:val="auto"/>
              </w:rPr>
            </w:pPr>
          </w:p>
        </w:tc>
        <w:tc>
          <w:tcPr>
            <w:tcW w:w="1400" w:type="dxa"/>
            <w:vAlign w:val="bottom"/>
            <w:tcBorders>
              <w:top w:val="single" w:sz="8" w:color="0000EE"/>
            </w:tcBorders>
            <w:gridSpan w:val="5"/>
          </w:tcPr>
          <w:p>
            <w:pPr>
              <w:spacing w:after="0" w:line="182" w:lineRule="exact"/>
              <w:rPr>
                <w:rFonts w:ascii="Times New Roman" w:cs="Times New Roman" w:eastAsia="Times New Roman" w:hAnsi="Times New Roman"/>
                <w:sz w:val="18"/>
                <w:szCs w:val="18"/>
                <w:color w:val="0000EE"/>
                <w:w w:val="96"/>
              </w:rPr>
            </w:pPr>
            <w:hyperlink r:id="rId139">
              <w:r>
                <w:rPr>
                  <w:rFonts w:ascii="Times New Roman" w:cs="Times New Roman" w:eastAsia="Times New Roman" w:hAnsi="Times New Roman"/>
                  <w:sz w:val="18"/>
                  <w:szCs w:val="18"/>
                  <w:color w:val="0000EE"/>
                  <w:w w:val="96"/>
                </w:rPr>
                <w:t>Restated Certificate</w:t>
              </w:r>
            </w:hyperlink>
          </w:p>
        </w:tc>
        <w:tc>
          <w:tcPr>
            <w:tcW w:w="40" w:type="dxa"/>
            <w:vAlign w:val="bottom"/>
          </w:tcPr>
          <w:p>
            <w:pPr>
              <w:spacing w:after="0"/>
              <w:rPr>
                <w:sz w:val="15"/>
                <w:szCs w:val="15"/>
                <w:color w:val="auto"/>
              </w:rPr>
            </w:pPr>
          </w:p>
        </w:tc>
        <w:tc>
          <w:tcPr>
            <w:tcW w:w="660" w:type="dxa"/>
            <w:vAlign w:val="bottom"/>
            <w:gridSpan w:val="16"/>
          </w:tcPr>
          <w:p>
            <w:pPr>
              <w:ind w:left="40"/>
              <w:spacing w:after="0" w:line="182"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of</w:t>
              </w:r>
            </w:hyperlink>
          </w:p>
        </w:tc>
        <w:tc>
          <w:tcPr>
            <w:tcW w:w="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16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Incorporation of the</w:t>
              </w:r>
            </w:hyperlink>
          </w:p>
        </w:tc>
        <w:tc>
          <w:tcPr>
            <w:tcW w:w="480" w:type="dxa"/>
            <w:vAlign w:val="bottom"/>
            <w:gridSpan w:val="13"/>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4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Registrant</w:t>
              </w:r>
            </w:hyperlink>
          </w:p>
        </w:tc>
        <w:tc>
          <w:tcPr>
            <w:tcW w:w="66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100" w:type="dxa"/>
            <w:vAlign w:val="bottom"/>
            <w:gridSpan w:val="22"/>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Amended and Restated</w:t>
              </w:r>
            </w:hyperlink>
          </w:p>
        </w:tc>
        <w:tc>
          <w:tcPr>
            <w:tcW w:w="84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2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3.1</w:t>
            </w:r>
          </w:p>
        </w:tc>
        <w:tc>
          <w:tcPr>
            <w:tcW w:w="1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December 6, 2022</w:t>
            </w:r>
          </w:p>
        </w:tc>
      </w:tr>
      <w:tr>
        <w:trPr>
          <w:trHeight w:val="183"/>
        </w:trPr>
        <w:tc>
          <w:tcPr>
            <w:tcW w:w="96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12"/>
          </w:tcPr>
          <w:p>
            <w:pPr>
              <w:spacing w:after="0" w:line="182"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Bylaws, as amended on</w:t>
              </w:r>
            </w:hyperlink>
          </w:p>
        </w:tc>
        <w:tc>
          <w:tcPr>
            <w:tcW w:w="20" w:type="dxa"/>
            <w:vAlign w:val="bottom"/>
            <w:tcBorders>
              <w:bottom w:val="single" w:sz="8" w:color="0000EE"/>
            </w:tcBorders>
          </w:tcPr>
          <w:p>
            <w:pPr>
              <w:spacing w:after="0"/>
              <w:rPr>
                <w:sz w:val="15"/>
                <w:szCs w:val="15"/>
                <w:color w:val="auto"/>
              </w:rPr>
            </w:pPr>
          </w:p>
        </w:tc>
        <w:tc>
          <w:tcPr>
            <w:tcW w:w="1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2100" w:type="dxa"/>
            <w:vAlign w:val="bottom"/>
            <w:gridSpan w:val="22"/>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November 30, 2022, of the</w:t>
              </w:r>
            </w:hyperlink>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Registrant</w:t>
              </w:r>
            </w:hyperlink>
          </w:p>
        </w:tc>
        <w:tc>
          <w:tcPr>
            <w:tcW w:w="1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100" w:type="dxa"/>
            <w:vAlign w:val="bottom"/>
            <w:gridSpan w:val="22"/>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Specimen Common Stock</w:t>
              </w:r>
            </w:hyperlink>
          </w:p>
        </w:tc>
        <w:tc>
          <w:tcPr>
            <w:tcW w:w="84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rPr>
              <w:t>S-1/A</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333-202938</w:t>
            </w:r>
          </w:p>
        </w:tc>
        <w:tc>
          <w:tcPr>
            <w:tcW w:w="12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4.1</w:t>
            </w:r>
          </w:p>
        </w:tc>
        <w:tc>
          <w:tcPr>
            <w:tcW w:w="162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April 20, 2015</w:t>
            </w:r>
          </w:p>
        </w:tc>
      </w:tr>
      <w:tr>
        <w:trPr>
          <w:trHeight w:val="183"/>
        </w:trPr>
        <w:tc>
          <w:tcPr>
            <w:tcW w:w="960" w:type="dxa"/>
            <w:vAlign w:val="bottom"/>
          </w:tcPr>
          <w:p>
            <w:pPr>
              <w:spacing w:after="0"/>
              <w:rPr>
                <w:sz w:val="15"/>
                <w:szCs w:val="15"/>
                <w:color w:val="auto"/>
              </w:rPr>
            </w:pPr>
          </w:p>
        </w:tc>
        <w:tc>
          <w:tcPr>
            <w:tcW w:w="1880" w:type="dxa"/>
            <w:vAlign w:val="bottom"/>
            <w:tcBorders>
              <w:top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Certificate</w:t>
              </w:r>
            </w:hyperlink>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100" w:type="dxa"/>
            <w:vAlign w:val="bottom"/>
            <w:gridSpan w:val="22"/>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Description of the</w:t>
              </w:r>
            </w:hyperlink>
          </w:p>
        </w:tc>
        <w:tc>
          <w:tcPr>
            <w:tcW w:w="84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7"/>
              </w:rPr>
              <w:t>10-K</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22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4.3</w:t>
            </w:r>
          </w:p>
        </w:tc>
        <w:tc>
          <w:tcPr>
            <w:tcW w:w="1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20"/>
        </w:trPr>
        <w:tc>
          <w:tcPr>
            <w:tcW w:w="9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600" w:type="dxa"/>
            <w:vAlign w:val="bottom"/>
            <w:tcBorders>
              <w:bottom w:val="single" w:sz="8" w:color="0000EE"/>
            </w:tcBorders>
            <w:gridSpan w:val="8"/>
          </w:tcPr>
          <w:p>
            <w:pPr>
              <w:spacing w:after="0" w:line="182"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Registrant’s securities</w:t>
              </w:r>
            </w:hyperlink>
          </w:p>
        </w:tc>
        <w:tc>
          <w:tcPr>
            <w:tcW w:w="500" w:type="dxa"/>
            <w:vAlign w:val="bottom"/>
            <w:gridSpan w:val="14"/>
          </w:tcPr>
          <w:p>
            <w:pPr>
              <w:spacing w:after="0"/>
              <w:rPr>
                <w:sz w:val="15"/>
                <w:szCs w:val="15"/>
                <w:color w:val="auto"/>
              </w:rPr>
            </w:pPr>
          </w:p>
        </w:tc>
        <w:tc>
          <w:tcPr>
            <w:tcW w:w="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2100" w:type="dxa"/>
            <w:vAlign w:val="bottom"/>
            <w:gridSpan w:val="22"/>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registered pursuant to</w:t>
              </w:r>
            </w:hyperlink>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0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Section 12 of the Securities</w:t>
              </w:r>
            </w:hyperlink>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and Exchange Act of 1934,</w:t>
              </w:r>
            </w:hyperlink>
          </w:p>
        </w:tc>
        <w:tc>
          <w:tcPr>
            <w:tcW w:w="12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as amended</w:t>
              </w:r>
            </w:hyperlink>
          </w:p>
        </w:tc>
        <w:tc>
          <w:tcPr>
            <w:tcW w:w="1240" w:type="dxa"/>
            <w:vAlign w:val="bottom"/>
            <w:gridSpan w:val="19"/>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tbl>
      <w:tblPr>
        <w:tblLayout w:type="fixed"/>
        <w:tblInd w:w="60" w:type="dxa"/>
        <w:tblCellMar>
          <w:top w:w="0" w:type="dxa"/>
          <w:left w:w="0" w:type="dxa"/>
          <w:bottom w:w="0" w:type="dxa"/>
          <w:right w:w="0" w:type="dxa"/>
        </w:tblCellMar>
      </w:tblPr>
      <w:tr>
        <w:trPr>
          <w:trHeight w:val="207"/>
        </w:trPr>
        <w:tc>
          <w:tcPr>
            <w:tcW w:w="308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9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144">
              <w:r>
                <w:rPr>
                  <w:rFonts w:ascii="Times New Roman" w:cs="Times New Roman" w:eastAsia="Times New Roman" w:hAnsi="Times New Roman"/>
                  <w:sz w:val="18"/>
                  <w:szCs w:val="18"/>
                  <w:color w:val="0000EE"/>
                  <w:w w:val="98"/>
                </w:rPr>
                <w:t>2011 Stock Option and</w:t>
              </w:r>
            </w:hyperlink>
          </w:p>
        </w:tc>
        <w:tc>
          <w:tcPr>
            <w:tcW w:w="460" w:type="dxa"/>
            <w:vAlign w:val="bottom"/>
            <w:gridSpan w:val="14"/>
          </w:tcPr>
          <w:p>
            <w:pPr>
              <w:spacing w:after="0"/>
              <w:rPr>
                <w:sz w:val="24"/>
                <w:szCs w:val="24"/>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333-202938</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March 23, 2015</w:t>
            </w:r>
          </w:p>
        </w:tc>
      </w:tr>
      <w:tr>
        <w:trPr>
          <w:trHeight w:val="196"/>
        </w:trPr>
        <w:tc>
          <w:tcPr>
            <w:tcW w:w="960" w:type="dxa"/>
            <w:vAlign w:val="bottom"/>
          </w:tcPr>
          <w:p>
            <w:pPr>
              <w:spacing w:after="0"/>
              <w:rPr>
                <w:sz w:val="17"/>
                <w:szCs w:val="17"/>
                <w:color w:val="auto"/>
              </w:rPr>
            </w:pPr>
          </w:p>
        </w:tc>
        <w:tc>
          <w:tcPr>
            <w:tcW w:w="18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Grant Plan, as amended,</w:t>
              </w:r>
            </w:hyperlink>
          </w:p>
        </w:tc>
        <w:tc>
          <w:tcPr>
            <w:tcW w:w="32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4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44">
              <w:r>
                <w:rPr>
                  <w:rFonts w:ascii="Times New Roman" w:cs="Times New Roman" w:eastAsia="Times New Roman" w:hAnsi="Times New Roman"/>
                  <w:sz w:val="18"/>
                  <w:szCs w:val="18"/>
                  <w:color w:val="0000EE"/>
                  <w:w w:val="98"/>
                </w:rPr>
                <w:t>and forms of award</w:t>
              </w:r>
            </w:hyperlink>
          </w:p>
        </w:tc>
        <w:tc>
          <w:tcPr>
            <w:tcW w:w="72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6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6"/>
              </w:rPr>
            </w:pPr>
            <w:hyperlink r:id="rId144">
              <w:r>
                <w:rPr>
                  <w:rFonts w:ascii="Times New Roman" w:cs="Times New Roman" w:eastAsia="Times New Roman" w:hAnsi="Times New Roman"/>
                  <w:sz w:val="18"/>
                  <w:szCs w:val="18"/>
                  <w:color w:val="0000EE"/>
                  <w:w w:val="96"/>
                </w:rPr>
                <w:t>agreements thereunder</w:t>
              </w:r>
            </w:hyperlink>
          </w:p>
        </w:tc>
        <w:tc>
          <w:tcPr>
            <w:tcW w:w="50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2015 Stock Option and</w:t>
              </w:r>
            </w:hyperlink>
          </w:p>
        </w:tc>
        <w:tc>
          <w:tcPr>
            <w:tcW w:w="460" w:type="dxa"/>
            <w:vAlign w:val="bottom"/>
            <w:gridSpan w:val="14"/>
          </w:tcPr>
          <w:p>
            <w:pPr>
              <w:spacing w:after="0"/>
              <w:rPr>
                <w:sz w:val="22"/>
                <w:szCs w:val="22"/>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10.2</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196"/>
        </w:trPr>
        <w:tc>
          <w:tcPr>
            <w:tcW w:w="960" w:type="dxa"/>
            <w:vAlign w:val="bottom"/>
          </w:tcPr>
          <w:p>
            <w:pPr>
              <w:spacing w:after="0"/>
              <w:rPr>
                <w:sz w:val="17"/>
                <w:szCs w:val="17"/>
                <w:color w:val="auto"/>
              </w:rPr>
            </w:pPr>
          </w:p>
        </w:tc>
        <w:tc>
          <w:tcPr>
            <w:tcW w:w="20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Incentive Plan and forms of</w:t>
              </w:r>
            </w:hyperlink>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3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award agreements</w:t>
              </w:r>
            </w:hyperlink>
          </w:p>
        </w:tc>
        <w:tc>
          <w:tcPr>
            <w:tcW w:w="820" w:type="dxa"/>
            <w:vAlign w:val="bottom"/>
            <w:gridSpan w:val="23"/>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thereunder</w:t>
              </w:r>
            </w:hyperlink>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2015 Employee Stock</w:t>
              </w:r>
            </w:hyperlink>
          </w:p>
        </w:tc>
        <w:tc>
          <w:tcPr>
            <w:tcW w:w="520" w:type="dxa"/>
            <w:vAlign w:val="bottom"/>
            <w:gridSpan w:val="16"/>
          </w:tcPr>
          <w:p>
            <w:pPr>
              <w:spacing w:after="0"/>
              <w:rPr>
                <w:sz w:val="22"/>
                <w:szCs w:val="22"/>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10.3</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196"/>
        </w:trPr>
        <w:tc>
          <w:tcPr>
            <w:tcW w:w="96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Purchase Plan</w:t>
              </w:r>
            </w:hyperlink>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9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8"/>
              </w:rPr>
            </w:pPr>
            <w:hyperlink r:id="rId147">
              <w:r>
                <w:rPr>
                  <w:rFonts w:ascii="Times New Roman" w:cs="Times New Roman" w:eastAsia="Times New Roman" w:hAnsi="Times New Roman"/>
                  <w:sz w:val="18"/>
                  <w:szCs w:val="18"/>
                  <w:color w:val="0000EE"/>
                  <w:w w:val="98"/>
                </w:rPr>
                <w:t>2020 Inducement Plan and</w:t>
              </w:r>
            </w:hyperlink>
          </w:p>
        </w:tc>
        <w:tc>
          <w:tcPr>
            <w:tcW w:w="200" w:type="dxa"/>
            <w:vAlign w:val="bottom"/>
            <w:gridSpan w:val="5"/>
          </w:tcPr>
          <w:p>
            <w:pPr>
              <w:spacing w:after="0"/>
              <w:rPr>
                <w:sz w:val="22"/>
                <w:szCs w:val="22"/>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S-8</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333-238039</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99.1</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May 6, 2020</w:t>
            </w:r>
          </w:p>
        </w:tc>
      </w:tr>
      <w:tr>
        <w:trPr>
          <w:trHeight w:val="196"/>
        </w:trPr>
        <w:tc>
          <w:tcPr>
            <w:tcW w:w="960" w:type="dxa"/>
            <w:vAlign w:val="bottom"/>
          </w:tcPr>
          <w:p>
            <w:pPr>
              <w:spacing w:after="0"/>
              <w:rPr>
                <w:sz w:val="17"/>
                <w:szCs w:val="17"/>
                <w:color w:val="auto"/>
              </w:rPr>
            </w:pPr>
          </w:p>
        </w:tc>
        <w:tc>
          <w:tcPr>
            <w:tcW w:w="19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form of award agreements</w:t>
              </w:r>
            </w:hyperlink>
          </w:p>
        </w:tc>
        <w:tc>
          <w:tcPr>
            <w:tcW w:w="22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thereunder</w:t>
              </w:r>
            </w:hyperlink>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7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Lease Agreement, dated</w:t>
              </w:r>
            </w:hyperlink>
          </w:p>
        </w:tc>
        <w:tc>
          <w:tcPr>
            <w:tcW w:w="340" w:type="dxa"/>
            <w:vAlign w:val="bottom"/>
            <w:gridSpan w:val="11"/>
          </w:tcPr>
          <w:p>
            <w:pPr>
              <w:spacing w:after="0"/>
              <w:rPr>
                <w:sz w:val="22"/>
                <w:szCs w:val="22"/>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333-202938</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March 23, 2015</w:t>
            </w:r>
          </w:p>
        </w:tc>
      </w:tr>
      <w:tr>
        <w:trPr>
          <w:trHeight w:val="196"/>
        </w:trPr>
        <w:tc>
          <w:tcPr>
            <w:tcW w:w="960" w:type="dxa"/>
            <w:vAlign w:val="bottom"/>
          </w:tcPr>
          <w:p>
            <w:pPr>
              <w:spacing w:after="0"/>
              <w:rPr>
                <w:sz w:val="17"/>
                <w:szCs w:val="17"/>
                <w:color w:val="auto"/>
              </w:rPr>
            </w:pPr>
          </w:p>
        </w:tc>
        <w:tc>
          <w:tcPr>
            <w:tcW w:w="19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148">
              <w:r>
                <w:rPr>
                  <w:rFonts w:ascii="Times New Roman" w:cs="Times New Roman" w:eastAsia="Times New Roman" w:hAnsi="Times New Roman"/>
                  <w:sz w:val="18"/>
                  <w:szCs w:val="18"/>
                  <w:color w:val="0000EE"/>
                  <w:w w:val="98"/>
                </w:rPr>
                <w:t>February 11, 2015, by and</w:t>
              </w:r>
            </w:hyperlink>
          </w:p>
        </w:tc>
        <w:tc>
          <w:tcPr>
            <w:tcW w:w="22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between the Registrant and</w:t>
              </w:r>
            </w:hyperlink>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48">
              <w:r>
                <w:rPr>
                  <w:rFonts w:ascii="Times New Roman" w:cs="Times New Roman" w:eastAsia="Times New Roman" w:hAnsi="Times New Roman"/>
                  <w:sz w:val="18"/>
                  <w:szCs w:val="18"/>
                  <w:color w:val="0000EE"/>
                  <w:w w:val="98"/>
                </w:rPr>
                <w:t>38 Sidney Street Limited</w:t>
              </w:r>
            </w:hyperlink>
          </w:p>
        </w:tc>
        <w:tc>
          <w:tcPr>
            <w:tcW w:w="140" w:type="dxa"/>
            <w:vAlign w:val="bottom"/>
            <w:tcBorders>
              <w:top w:val="single" w:sz="8" w:color="0000EE"/>
            </w:tcBorders>
            <w:gridSpan w:val="6"/>
          </w:tcPr>
          <w:p>
            <w:pPr>
              <w:spacing w:after="0"/>
              <w:rPr>
                <w:sz w:val="17"/>
                <w:szCs w:val="17"/>
                <w:color w:val="auto"/>
              </w:rPr>
            </w:pPr>
          </w:p>
        </w:tc>
        <w:tc>
          <w:tcPr>
            <w:tcW w:w="18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48">
              <w:r>
                <w:rPr>
                  <w:rFonts w:ascii="Times New Roman" w:cs="Times New Roman" w:eastAsia="Times New Roman" w:hAnsi="Times New Roman"/>
                  <w:sz w:val="18"/>
                  <w:szCs w:val="18"/>
                  <w:color w:val="0000EE"/>
                  <w:w w:val="97"/>
                </w:rPr>
                <w:t>Partnership</w:t>
              </w:r>
            </w:hyperlink>
          </w:p>
        </w:tc>
        <w:tc>
          <w:tcPr>
            <w:tcW w:w="1300" w:type="dxa"/>
            <w:vAlign w:val="bottom"/>
            <w:gridSpan w:val="26"/>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120" w:type="dxa"/>
            <w:vAlign w:val="bottom"/>
            <w:gridSpan w:val="31"/>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First Amendment to Lease</w:t>
              </w:r>
            </w:hyperlink>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10.5</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196"/>
        </w:trPr>
        <w:tc>
          <w:tcPr>
            <w:tcW w:w="96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Agreement, dated January</w:t>
              </w:r>
            </w:hyperlink>
          </w:p>
        </w:tc>
        <w:tc>
          <w:tcPr>
            <w:tcW w:w="20" w:type="dxa"/>
            <w:vAlign w:val="bottom"/>
            <w:tcBorders>
              <w:top w:val="single" w:sz="8" w:color="0000EE"/>
            </w:tcBorders>
          </w:tcPr>
          <w:p>
            <w:pPr>
              <w:spacing w:after="0"/>
              <w:rPr>
                <w:sz w:val="17"/>
                <w:szCs w:val="17"/>
                <w:color w:val="auto"/>
              </w:rPr>
            </w:pPr>
          </w:p>
        </w:tc>
        <w:tc>
          <w:tcPr>
            <w:tcW w:w="22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26, 2018, by and between</w:t>
              </w:r>
            </w:hyperlink>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the Registrant and 38</w:t>
              </w:r>
            </w:hyperlink>
          </w:p>
        </w:tc>
        <w:tc>
          <w:tcPr>
            <w:tcW w:w="28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Sidney Street Limited</w:t>
              </w:r>
            </w:hyperlink>
          </w:p>
        </w:tc>
        <w:tc>
          <w:tcPr>
            <w:tcW w:w="54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49">
              <w:r>
                <w:rPr>
                  <w:rFonts w:ascii="Times New Roman" w:cs="Times New Roman" w:eastAsia="Times New Roman" w:hAnsi="Times New Roman"/>
                  <w:sz w:val="18"/>
                  <w:szCs w:val="18"/>
                  <w:color w:val="0000EE"/>
                  <w:w w:val="97"/>
                </w:rPr>
                <w:t>Partnership</w:t>
              </w:r>
            </w:hyperlink>
          </w:p>
        </w:tc>
        <w:tc>
          <w:tcPr>
            <w:tcW w:w="1300" w:type="dxa"/>
            <w:vAlign w:val="bottom"/>
            <w:gridSpan w:val="26"/>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120" w:type="dxa"/>
            <w:vAlign w:val="bottom"/>
            <w:gridSpan w:val="31"/>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Second Amendment to</w:t>
              </w:r>
            </w:hyperlink>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April 29,2021</w:t>
            </w:r>
          </w:p>
        </w:tc>
      </w:tr>
      <w:tr>
        <w:trPr>
          <w:trHeight w:val="20"/>
        </w:trPr>
        <w:tc>
          <w:tcPr>
            <w:tcW w:w="9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7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Lease Agreement, dated</w:t>
              </w:r>
            </w:hyperlink>
          </w:p>
        </w:tc>
        <w:tc>
          <w:tcPr>
            <w:tcW w:w="34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April 6, 2021, by and</w:t>
              </w:r>
            </w:hyperlink>
          </w:p>
        </w:tc>
        <w:tc>
          <w:tcPr>
            <w:tcW w:w="580" w:type="dxa"/>
            <w:vAlign w:val="bottom"/>
            <w:gridSpan w:val="18"/>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between Blueprint</w:t>
              </w:r>
            </w:hyperlink>
          </w:p>
        </w:tc>
        <w:tc>
          <w:tcPr>
            <w:tcW w:w="800" w:type="dxa"/>
            <w:vAlign w:val="bottom"/>
            <w:gridSpan w:val="22"/>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Medicines Corporation and</w:t>
              </w:r>
            </w:hyperlink>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BRE-BMR 38 SIDNEY</w:t>
              </w:r>
            </w:hyperlink>
          </w:p>
        </w:tc>
        <w:tc>
          <w:tcPr>
            <w:tcW w:w="200" w:type="dxa"/>
            <w:vAlign w:val="bottom"/>
            <w:tcBorders>
              <w:top w:val="single" w:sz="8" w:color="0000EE"/>
            </w:tcBorders>
            <w:gridSpan w:val="9"/>
          </w:tcPr>
          <w:p>
            <w:pPr>
              <w:spacing w:after="0"/>
              <w:rPr>
                <w:sz w:val="17"/>
                <w:szCs w:val="17"/>
                <w:color w:val="auto"/>
              </w:rPr>
            </w:pPr>
          </w:p>
        </w:tc>
        <w:tc>
          <w:tcPr>
            <w:tcW w:w="16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50">
              <w:r>
                <w:rPr>
                  <w:rFonts w:ascii="Times New Roman" w:cs="Times New Roman" w:eastAsia="Times New Roman" w:hAnsi="Times New Roman"/>
                  <w:sz w:val="18"/>
                  <w:szCs w:val="18"/>
                  <w:color w:val="0000EE"/>
                  <w:w w:val="93"/>
                </w:rPr>
                <w:t>LLC</w:t>
              </w:r>
            </w:hyperlink>
          </w:p>
        </w:tc>
        <w:tc>
          <w:tcPr>
            <w:tcW w:w="1780" w:type="dxa"/>
            <w:vAlign w:val="bottom"/>
            <w:gridSpan w:val="29"/>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9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Third Amendment to Lease</w:t>
              </w:r>
            </w:hyperlink>
          </w:p>
        </w:tc>
        <w:tc>
          <w:tcPr>
            <w:tcW w:w="140" w:type="dxa"/>
            <w:vAlign w:val="bottom"/>
            <w:gridSpan w:val="2"/>
          </w:tcPr>
          <w:p>
            <w:pPr>
              <w:spacing w:after="0"/>
              <w:rPr>
                <w:sz w:val="21"/>
                <w:szCs w:val="21"/>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001-37359</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10.8</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196"/>
        </w:trPr>
        <w:tc>
          <w:tcPr>
            <w:tcW w:w="960" w:type="dxa"/>
            <w:vAlign w:val="bottom"/>
          </w:tcPr>
          <w:p>
            <w:pPr>
              <w:spacing w:after="0"/>
              <w:rPr>
                <w:sz w:val="17"/>
                <w:szCs w:val="17"/>
                <w:color w:val="auto"/>
              </w:rPr>
            </w:pPr>
          </w:p>
        </w:tc>
        <w:tc>
          <w:tcPr>
            <w:tcW w:w="1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Agreement, dated</w:t>
              </w:r>
            </w:hyperlink>
          </w:p>
        </w:tc>
        <w:tc>
          <w:tcPr>
            <w:tcW w:w="840" w:type="dxa"/>
            <w:vAlign w:val="bottom"/>
            <w:gridSpan w:val="24"/>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December 15, 2021, by and</w:t>
              </w:r>
            </w:hyperlink>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between Blueprint</w:t>
              </w:r>
            </w:hyperlink>
          </w:p>
        </w:tc>
        <w:tc>
          <w:tcPr>
            <w:tcW w:w="660" w:type="dxa"/>
            <w:vAlign w:val="bottom"/>
            <w:tcBorders>
              <w:top w:val="single" w:sz="8" w:color="0000EE"/>
            </w:tcBorders>
            <w:gridSpan w:val="20"/>
          </w:tcPr>
          <w:p>
            <w:pPr>
              <w:spacing w:after="0"/>
              <w:rPr>
                <w:sz w:val="17"/>
                <w:szCs w:val="17"/>
                <w:color w:val="auto"/>
              </w:rPr>
            </w:pPr>
          </w:p>
        </w:tc>
        <w:tc>
          <w:tcPr>
            <w:tcW w:w="1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Medicines Corporation and</w:t>
              </w:r>
            </w:hyperlink>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BRE-BMR 38 SIDNEY</w:t>
              </w:r>
            </w:hyperlink>
          </w:p>
        </w:tc>
        <w:tc>
          <w:tcPr>
            <w:tcW w:w="200" w:type="dxa"/>
            <w:vAlign w:val="bottom"/>
            <w:tcBorders>
              <w:top w:val="single" w:sz="8" w:color="0000EE"/>
            </w:tcBorders>
            <w:gridSpan w:val="9"/>
          </w:tcPr>
          <w:p>
            <w:pPr>
              <w:spacing w:after="0"/>
              <w:rPr>
                <w:sz w:val="17"/>
                <w:szCs w:val="17"/>
                <w:color w:val="auto"/>
              </w:rPr>
            </w:pPr>
          </w:p>
        </w:tc>
        <w:tc>
          <w:tcPr>
            <w:tcW w:w="16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51">
              <w:r>
                <w:rPr>
                  <w:rFonts w:ascii="Times New Roman" w:cs="Times New Roman" w:eastAsia="Times New Roman" w:hAnsi="Times New Roman"/>
                  <w:sz w:val="18"/>
                  <w:szCs w:val="18"/>
                  <w:color w:val="0000EE"/>
                  <w:w w:val="93"/>
                </w:rPr>
                <w:t>LLC</w:t>
              </w:r>
            </w:hyperlink>
          </w:p>
        </w:tc>
        <w:tc>
          <w:tcPr>
            <w:tcW w:w="1780" w:type="dxa"/>
            <w:vAlign w:val="bottom"/>
            <w:gridSpan w:val="29"/>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7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Lease Agreement, dated</w:t>
              </w:r>
            </w:hyperlink>
          </w:p>
        </w:tc>
        <w:tc>
          <w:tcPr>
            <w:tcW w:w="340" w:type="dxa"/>
            <w:vAlign w:val="bottom"/>
            <w:gridSpan w:val="11"/>
          </w:tcPr>
          <w:p>
            <w:pPr>
              <w:spacing w:after="0"/>
              <w:rPr>
                <w:sz w:val="21"/>
                <w:szCs w:val="21"/>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May 3, 2017</w:t>
            </w:r>
          </w:p>
        </w:tc>
      </w:tr>
      <w:tr>
        <w:trPr>
          <w:trHeight w:val="196"/>
        </w:trPr>
        <w:tc>
          <w:tcPr>
            <w:tcW w:w="96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April 28, 2017, by and</w:t>
              </w:r>
            </w:hyperlink>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240" w:type="dxa"/>
            <w:vAlign w:val="bottom"/>
            <w:gridSpan w:val="6"/>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between the Registrant and</w:t>
              </w:r>
            </w:hyperlink>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UP 45/75 Sidney Street,</w:t>
              </w:r>
            </w:hyperlink>
          </w:p>
        </w:tc>
        <w:tc>
          <w:tcPr>
            <w:tcW w:w="200" w:type="dxa"/>
            <w:vAlign w:val="bottom"/>
            <w:tcBorders>
              <w:top w:val="single" w:sz="8" w:color="0000EE"/>
            </w:tcBorders>
            <w:gridSpan w:val="9"/>
          </w:tcPr>
          <w:p>
            <w:pPr>
              <w:spacing w:after="0"/>
              <w:rPr>
                <w:sz w:val="17"/>
                <w:szCs w:val="17"/>
                <w:color w:val="auto"/>
              </w:rPr>
            </w:pPr>
          </w:p>
        </w:tc>
        <w:tc>
          <w:tcPr>
            <w:tcW w:w="18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52">
              <w:r>
                <w:rPr>
                  <w:rFonts w:ascii="Times New Roman" w:cs="Times New Roman" w:eastAsia="Times New Roman" w:hAnsi="Times New Roman"/>
                  <w:sz w:val="18"/>
                  <w:szCs w:val="18"/>
                  <w:color w:val="0000EE"/>
                  <w:w w:val="93"/>
                </w:rPr>
                <w:t>LLC</w:t>
              </w:r>
            </w:hyperlink>
          </w:p>
        </w:tc>
        <w:tc>
          <w:tcPr>
            <w:tcW w:w="1780" w:type="dxa"/>
            <w:vAlign w:val="bottom"/>
            <w:gridSpan w:val="29"/>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120" w:type="dxa"/>
            <w:vAlign w:val="bottom"/>
            <w:gridSpan w:val="31"/>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First Amendment of Lease,</w:t>
              </w:r>
            </w:hyperlink>
          </w:p>
        </w:tc>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25, 2018</w:t>
            </w:r>
          </w:p>
        </w:tc>
      </w:tr>
      <w:tr>
        <w:trPr>
          <w:trHeight w:val="196"/>
        </w:trPr>
        <w:tc>
          <w:tcPr>
            <w:tcW w:w="96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dated September 19, 2018,</w:t>
              </w:r>
            </w:hyperlink>
          </w:p>
        </w:tc>
        <w:tc>
          <w:tcPr>
            <w:tcW w:w="40" w:type="dxa"/>
            <w:vAlign w:val="bottom"/>
            <w:tcBorders>
              <w:top w:val="single" w:sz="8" w:color="0000EE"/>
            </w:tcBorders>
            <w:gridSpan w:val="2"/>
          </w:tcPr>
          <w:p>
            <w:pPr>
              <w:spacing w:after="0"/>
              <w:rPr>
                <w:sz w:val="17"/>
                <w:szCs w:val="17"/>
                <w:color w:val="auto"/>
              </w:rPr>
            </w:pPr>
          </w:p>
        </w:tc>
        <w:tc>
          <w:tcPr>
            <w:tcW w:w="16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between Blueprint</w:t>
              </w:r>
            </w:hyperlink>
          </w:p>
        </w:tc>
        <w:tc>
          <w:tcPr>
            <w:tcW w:w="800" w:type="dxa"/>
            <w:vAlign w:val="bottom"/>
            <w:gridSpan w:val="22"/>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Medicines Corporation and</w:t>
              </w:r>
            </w:hyperlink>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UP 45/75 Sidney Street,</w:t>
              </w:r>
            </w:hyperlink>
          </w:p>
        </w:tc>
        <w:tc>
          <w:tcPr>
            <w:tcW w:w="220" w:type="dxa"/>
            <w:vAlign w:val="bottom"/>
            <w:tcBorders>
              <w:top w:val="single" w:sz="8" w:color="0000EE"/>
            </w:tcBorders>
            <w:gridSpan w:val="10"/>
          </w:tcPr>
          <w:p>
            <w:pPr>
              <w:spacing w:after="0"/>
              <w:rPr>
                <w:sz w:val="17"/>
                <w:szCs w:val="17"/>
                <w:color w:val="auto"/>
              </w:rPr>
            </w:pPr>
          </w:p>
        </w:tc>
        <w:tc>
          <w:tcPr>
            <w:tcW w:w="16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53">
              <w:r>
                <w:rPr>
                  <w:rFonts w:ascii="Times New Roman" w:cs="Times New Roman" w:eastAsia="Times New Roman" w:hAnsi="Times New Roman"/>
                  <w:sz w:val="18"/>
                  <w:szCs w:val="18"/>
                  <w:color w:val="0000EE"/>
                  <w:w w:val="93"/>
                </w:rPr>
                <w:t>LLC</w:t>
              </w:r>
            </w:hyperlink>
          </w:p>
        </w:tc>
        <w:tc>
          <w:tcPr>
            <w:tcW w:w="1780" w:type="dxa"/>
            <w:vAlign w:val="bottom"/>
            <w:gridSpan w:val="29"/>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8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Employment Agreement,</w:t>
              </w:r>
            </w:hyperlink>
          </w:p>
        </w:tc>
        <w:tc>
          <w:tcPr>
            <w:tcW w:w="300" w:type="dxa"/>
            <w:vAlign w:val="bottom"/>
            <w:gridSpan w:val="9"/>
          </w:tcPr>
          <w:p>
            <w:pPr>
              <w:spacing w:after="0"/>
              <w:rPr>
                <w:sz w:val="21"/>
                <w:szCs w:val="21"/>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10.2</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November 9, 2015</w:t>
            </w: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dated November 6, 2015,</w:t>
              </w:r>
            </w:hyperlink>
          </w:p>
        </w:tc>
        <w:tc>
          <w:tcPr>
            <w:tcW w:w="30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by and between the</w:t>
              </w:r>
            </w:hyperlink>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Registrant and Jeffrey W.</w:t>
              </w:r>
            </w:hyperlink>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54">
              <w:r>
                <w:rPr>
                  <w:rFonts w:ascii="Times New Roman" w:cs="Times New Roman" w:eastAsia="Times New Roman" w:hAnsi="Times New Roman"/>
                  <w:sz w:val="18"/>
                  <w:szCs w:val="18"/>
                  <w:color w:val="0000EE"/>
                  <w:w w:val="95"/>
                </w:rPr>
                <w:t>Albers</w:t>
              </w:r>
            </w:hyperlink>
          </w:p>
        </w:tc>
        <w:tc>
          <w:tcPr>
            <w:tcW w:w="1340" w:type="dxa"/>
            <w:vAlign w:val="bottom"/>
            <w:tcBorders>
              <w:top w:val="single" w:sz="8" w:color="0000EE"/>
            </w:tcBorders>
            <w:gridSpan w:val="19"/>
          </w:tcPr>
          <w:p>
            <w:pPr>
              <w:spacing w:after="0"/>
              <w:rPr>
                <w:sz w:val="17"/>
                <w:szCs w:val="17"/>
                <w:color w:val="auto"/>
              </w:rPr>
            </w:pPr>
          </w:p>
        </w:tc>
        <w:tc>
          <w:tcPr>
            <w:tcW w:w="30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499"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21" w:name="page122"/>
    <w:bookmarkEnd w:id="121"/>
    <w:tbl>
      <w:tblPr>
        <w:tblLayout w:type="fixed"/>
        <w:tblInd w:w="60" w:type="dxa"/>
        <w:tblCellMar>
          <w:top w:w="0" w:type="dxa"/>
          <w:left w:w="0" w:type="dxa"/>
          <w:bottom w:w="0" w:type="dxa"/>
          <w:right w:w="0" w:type="dxa"/>
        </w:tblCellMar>
      </w:tblPr>
      <w:tr>
        <w:trPr>
          <w:trHeight w:val="207"/>
        </w:trPr>
        <w:tc>
          <w:tcPr>
            <w:tcW w:w="3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9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100" w:type="dxa"/>
            <w:vAlign w:val="bottom"/>
            <w:gridSpan w:val="18"/>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First Amendment to</w:t>
              </w:r>
            </w:hyperlink>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December 23, 2021</w:t>
            </w:r>
          </w:p>
        </w:tc>
      </w:tr>
      <w:tr>
        <w:trPr>
          <w:trHeight w:val="20"/>
        </w:trPr>
        <w:tc>
          <w:tcPr>
            <w:tcW w:w="9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56">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dated December 22, 2021,</w:t>
              </w:r>
            </w:hyperlink>
          </w:p>
        </w:tc>
        <w:tc>
          <w:tcPr>
            <w:tcW w:w="2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00" w:type="dxa"/>
            <w:vAlign w:val="bottom"/>
            <w:gridSpan w:val="18"/>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by and between the</w:t>
              </w:r>
            </w:hyperlink>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56">
              <w:r>
                <w:rPr>
                  <w:rFonts w:ascii="Times New Roman" w:cs="Times New Roman" w:eastAsia="Times New Roman" w:hAnsi="Times New Roman"/>
                  <w:sz w:val="18"/>
                  <w:szCs w:val="18"/>
                  <w:color w:val="0000EE"/>
                  <w:w w:val="98"/>
                </w:rPr>
                <w:t>Registrant and Jeffrey W.</w:t>
              </w:r>
            </w:hyperlink>
          </w:p>
        </w:tc>
        <w:tc>
          <w:tcPr>
            <w:tcW w:w="26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56">
              <w:r>
                <w:rPr>
                  <w:rFonts w:ascii="Times New Roman" w:cs="Times New Roman" w:eastAsia="Times New Roman" w:hAnsi="Times New Roman"/>
                  <w:sz w:val="18"/>
                  <w:szCs w:val="18"/>
                  <w:color w:val="0000EE"/>
                  <w:w w:val="95"/>
                </w:rPr>
                <w:t>Albers</w:t>
              </w:r>
            </w:hyperlink>
          </w:p>
        </w:tc>
        <w:tc>
          <w:tcPr>
            <w:tcW w:w="1620" w:type="dxa"/>
            <w:vAlign w:val="bottom"/>
            <w:gridSpan w:val="16"/>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100" w:type="dxa"/>
            <w:vAlign w:val="bottom"/>
            <w:gridSpan w:val="18"/>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Amended and Restated</w:t>
              </w:r>
            </w:hyperlink>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January 5, 2022</w:t>
            </w:r>
          </w:p>
        </w:tc>
      </w:tr>
      <w:tr>
        <w:trPr>
          <w:trHeight w:val="20"/>
        </w:trPr>
        <w:tc>
          <w:tcPr>
            <w:tcW w:w="96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dated January 4, 2022 and</w:t>
              </w:r>
            </w:hyperlink>
          </w:p>
        </w:tc>
        <w:tc>
          <w:tcPr>
            <w:tcW w:w="220" w:type="dxa"/>
            <w:vAlign w:val="bottom"/>
            <w:gridSpan w:val="5"/>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effective as of April 4,</w:t>
              </w:r>
            </w:hyperlink>
          </w:p>
        </w:tc>
        <w:tc>
          <w:tcPr>
            <w:tcW w:w="480" w:type="dxa"/>
            <w:vAlign w:val="bottom"/>
            <w:gridSpan w:val="12"/>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2022, by and between the</w:t>
              </w:r>
            </w:hyperlink>
          </w:p>
        </w:tc>
        <w:tc>
          <w:tcPr>
            <w:tcW w:w="26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Registrant and Jeffrey W.</w:t>
              </w:r>
            </w:hyperlink>
          </w:p>
        </w:tc>
        <w:tc>
          <w:tcPr>
            <w:tcW w:w="24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57">
              <w:r>
                <w:rPr>
                  <w:rFonts w:ascii="Times New Roman" w:cs="Times New Roman" w:eastAsia="Times New Roman" w:hAnsi="Times New Roman"/>
                  <w:sz w:val="18"/>
                  <w:szCs w:val="18"/>
                  <w:color w:val="0000EE"/>
                  <w:w w:val="95"/>
                </w:rPr>
                <w:t>Albers</w:t>
              </w:r>
            </w:hyperlink>
          </w:p>
        </w:tc>
        <w:tc>
          <w:tcPr>
            <w:tcW w:w="1620" w:type="dxa"/>
            <w:vAlign w:val="bottom"/>
            <w:gridSpan w:val="16"/>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100" w:type="dxa"/>
            <w:vAlign w:val="bottom"/>
            <w:gridSpan w:val="18"/>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Amendment Agreement</w:t>
              </w:r>
            </w:hyperlink>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10.2</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December 27, 2022</w:t>
            </w:r>
          </w:p>
        </w:tc>
      </w:tr>
      <w:tr>
        <w:trPr>
          <w:trHeight w:val="20"/>
        </w:trPr>
        <w:tc>
          <w:tcPr>
            <w:tcW w:w="96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dated as of December 23,</w:t>
              </w:r>
            </w:hyperlink>
          </w:p>
        </w:tc>
        <w:tc>
          <w:tcPr>
            <w:tcW w:w="24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2022 by and between the</w:t>
              </w:r>
            </w:hyperlink>
          </w:p>
        </w:tc>
        <w:tc>
          <w:tcPr>
            <w:tcW w:w="300" w:type="dxa"/>
            <w:vAlign w:val="bottom"/>
            <w:gridSpan w:val="9"/>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Registrant and Jeffrey W.</w:t>
              </w:r>
            </w:hyperlink>
          </w:p>
        </w:tc>
        <w:tc>
          <w:tcPr>
            <w:tcW w:w="24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58">
              <w:r>
                <w:rPr>
                  <w:rFonts w:ascii="Times New Roman" w:cs="Times New Roman" w:eastAsia="Times New Roman" w:hAnsi="Times New Roman"/>
                  <w:sz w:val="18"/>
                  <w:szCs w:val="18"/>
                  <w:color w:val="0000EE"/>
                  <w:w w:val="95"/>
                </w:rPr>
                <w:t>Albers</w:t>
              </w:r>
            </w:hyperlink>
          </w:p>
        </w:tc>
        <w:tc>
          <w:tcPr>
            <w:tcW w:w="1620" w:type="dxa"/>
            <w:vAlign w:val="bottom"/>
            <w:gridSpan w:val="16"/>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6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r:id="rId159">
              <w:r>
                <w:rPr>
                  <w:rFonts w:ascii="Times New Roman" w:cs="Times New Roman" w:eastAsia="Times New Roman" w:hAnsi="Times New Roman"/>
                  <w:sz w:val="18"/>
                  <w:szCs w:val="18"/>
                  <w:color w:val="0000EE"/>
                  <w:w w:val="97"/>
                </w:rPr>
                <w:t>Consulting Agreement</w:t>
              </w:r>
            </w:hyperlink>
          </w:p>
        </w:tc>
        <w:tc>
          <w:tcPr>
            <w:tcW w:w="460" w:type="dxa"/>
            <w:vAlign w:val="bottom"/>
            <w:gridSpan w:val="11"/>
          </w:tcPr>
          <w:p>
            <w:pPr>
              <w:spacing w:after="0"/>
              <w:rPr>
                <w:sz w:val="22"/>
                <w:szCs w:val="22"/>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December 27, 2022</w:t>
            </w: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effective as of January 1,</w:t>
              </w:r>
            </w:hyperlink>
          </w:p>
        </w:tc>
        <w:tc>
          <w:tcPr>
            <w:tcW w:w="2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59">
              <w:r>
                <w:rPr>
                  <w:rFonts w:ascii="Times New Roman" w:cs="Times New Roman" w:eastAsia="Times New Roman" w:hAnsi="Times New Roman"/>
                  <w:sz w:val="18"/>
                  <w:szCs w:val="18"/>
                  <w:color w:val="0000EE"/>
                  <w:w w:val="98"/>
                </w:rPr>
                <w:t>2023 by and between the</w:t>
              </w:r>
            </w:hyperlink>
          </w:p>
        </w:tc>
        <w:tc>
          <w:tcPr>
            <w:tcW w:w="300" w:type="dxa"/>
            <w:vAlign w:val="bottom"/>
            <w:gridSpan w:val="9"/>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Registrant and Jeffrey W.</w:t>
              </w:r>
            </w:hyperlink>
          </w:p>
        </w:tc>
        <w:tc>
          <w:tcPr>
            <w:tcW w:w="24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59">
              <w:r>
                <w:rPr>
                  <w:rFonts w:ascii="Times New Roman" w:cs="Times New Roman" w:eastAsia="Times New Roman" w:hAnsi="Times New Roman"/>
                  <w:sz w:val="18"/>
                  <w:szCs w:val="18"/>
                  <w:color w:val="0000EE"/>
                  <w:w w:val="95"/>
                </w:rPr>
                <w:t>Albers</w:t>
              </w:r>
            </w:hyperlink>
          </w:p>
        </w:tc>
        <w:tc>
          <w:tcPr>
            <w:tcW w:w="1620" w:type="dxa"/>
            <w:vAlign w:val="bottom"/>
            <w:gridSpan w:val="16"/>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8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22"/>
                <w:szCs w:val="22"/>
                <w:color w:val="auto"/>
              </w:rPr>
            </w:pPr>
          </w:p>
        </w:tc>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10-K</w:t>
            </w:r>
          </w:p>
        </w:tc>
        <w:tc>
          <w:tcPr>
            <w:tcW w:w="1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10.9</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March 11, 2016</w:t>
            </w:r>
          </w:p>
        </w:tc>
      </w:tr>
      <w:tr>
        <w:trPr>
          <w:trHeight w:val="196"/>
        </w:trPr>
        <w:tc>
          <w:tcPr>
            <w:tcW w:w="960" w:type="dxa"/>
            <w:vAlign w:val="bottom"/>
          </w:tcPr>
          <w:p>
            <w:pPr>
              <w:spacing w:after="0"/>
              <w:rPr>
                <w:sz w:val="17"/>
                <w:szCs w:val="17"/>
                <w:color w:val="auto"/>
              </w:rPr>
            </w:pPr>
          </w:p>
        </w:tc>
        <w:tc>
          <w:tcPr>
            <w:tcW w:w="1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dated March 10, 2016, by</w:t>
              </w:r>
            </w:hyperlink>
          </w:p>
        </w:tc>
        <w:tc>
          <w:tcPr>
            <w:tcW w:w="24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and between the Registrant</w:t>
              </w:r>
            </w:hyperlink>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and Kathryn Haviland</w:t>
              </w:r>
            </w:hyperlink>
          </w:p>
        </w:tc>
        <w:tc>
          <w:tcPr>
            <w:tcW w:w="500" w:type="dxa"/>
            <w:vAlign w:val="bottom"/>
            <w:gridSpan w:val="13"/>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2100" w:type="dxa"/>
            <w:vAlign w:val="bottom"/>
            <w:gridSpan w:val="18"/>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First Amendment to</w:t>
              </w:r>
            </w:hyperlink>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10.2</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February 5, 2019</w:t>
            </w:r>
          </w:p>
        </w:tc>
      </w:tr>
      <w:tr>
        <w:trPr>
          <w:trHeight w:val="20"/>
        </w:trPr>
        <w:tc>
          <w:tcPr>
            <w:tcW w:w="96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dated January 30, 2019, by</w:t>
              </w:r>
            </w:hyperlink>
          </w:p>
        </w:tc>
        <w:tc>
          <w:tcPr>
            <w:tcW w:w="1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and between the Registrant</w:t>
              </w:r>
            </w:hyperlink>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and Kathryn Haviland</w:t>
              </w:r>
            </w:hyperlink>
          </w:p>
        </w:tc>
        <w:tc>
          <w:tcPr>
            <w:tcW w:w="500" w:type="dxa"/>
            <w:vAlign w:val="bottom"/>
            <w:gridSpan w:val="13"/>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2100" w:type="dxa"/>
            <w:vAlign w:val="bottom"/>
            <w:gridSpan w:val="18"/>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Second Amendment to</w:t>
              </w:r>
            </w:hyperlink>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December 23, 2021</w:t>
            </w:r>
          </w:p>
        </w:tc>
      </w:tr>
      <w:tr>
        <w:trPr>
          <w:trHeight w:val="20"/>
        </w:trPr>
        <w:tc>
          <w:tcPr>
            <w:tcW w:w="96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dated December 22, 2021,</w:t>
              </w:r>
            </w:hyperlink>
          </w:p>
        </w:tc>
        <w:tc>
          <w:tcPr>
            <w:tcW w:w="2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00" w:type="dxa"/>
            <w:vAlign w:val="bottom"/>
            <w:gridSpan w:val="18"/>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by and between the</w:t>
              </w:r>
            </w:hyperlink>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Registrant and Kathryn</w:t>
              </w:r>
            </w:hyperlink>
          </w:p>
        </w:tc>
        <w:tc>
          <w:tcPr>
            <w:tcW w:w="38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62">
              <w:r>
                <w:rPr>
                  <w:rFonts w:ascii="Times New Roman" w:cs="Times New Roman" w:eastAsia="Times New Roman" w:hAnsi="Times New Roman"/>
                  <w:sz w:val="18"/>
                  <w:szCs w:val="18"/>
                  <w:color w:val="0000EE"/>
                  <w:w w:val="96"/>
                </w:rPr>
                <w:t>Haviland</w:t>
              </w:r>
            </w:hyperlink>
          </w:p>
        </w:tc>
        <w:tc>
          <w:tcPr>
            <w:tcW w:w="1440" w:type="dxa"/>
            <w:vAlign w:val="bottom"/>
            <w:gridSpan w:val="15"/>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2100" w:type="dxa"/>
            <w:vAlign w:val="bottom"/>
            <w:gridSpan w:val="18"/>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First Amendment to</w:t>
              </w:r>
            </w:hyperlink>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9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40" w:type="dxa"/>
            <w:vAlign w:val="bottom"/>
            <w:tcBorders>
              <w:left w:val="single" w:sz="8" w:color="0000EE"/>
            </w:tcBorders>
            <w:gridSpan w:val="11"/>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100" w:type="dxa"/>
            <w:vAlign w:val="bottom"/>
            <w:gridSpan w:val="18"/>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Amended and Restated</w:t>
              </w:r>
            </w:hyperlink>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280" w:type="dxa"/>
            <w:vAlign w:val="bottom"/>
            <w:tcBorders>
              <w:left w:val="single" w:sz="8" w:color="0000EE"/>
            </w:tcBorders>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dated September 23, 2022,</w:t>
              </w:r>
            </w:hyperlink>
          </w:p>
        </w:tc>
        <w:tc>
          <w:tcPr>
            <w:tcW w:w="18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00" w:type="dxa"/>
            <w:vAlign w:val="bottom"/>
            <w:gridSpan w:val="18"/>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by and between the</w:t>
              </w:r>
            </w:hyperlink>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720" w:type="dxa"/>
            <w:vAlign w:val="bottom"/>
            <w:gridSpan w:val="1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Registrant and Kathryn</w:t>
              </w:r>
            </w:hyperlink>
          </w:p>
        </w:tc>
        <w:tc>
          <w:tcPr>
            <w:tcW w:w="38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63">
              <w:r>
                <w:rPr>
                  <w:rFonts w:ascii="Times New Roman" w:cs="Times New Roman" w:eastAsia="Times New Roman" w:hAnsi="Times New Roman"/>
                  <w:sz w:val="18"/>
                  <w:szCs w:val="18"/>
                  <w:color w:val="0000EE"/>
                  <w:w w:val="96"/>
                </w:rPr>
                <w:t>Haviland</w:t>
              </w:r>
            </w:hyperlink>
          </w:p>
        </w:tc>
        <w:tc>
          <w:tcPr>
            <w:tcW w:w="1440" w:type="dxa"/>
            <w:vAlign w:val="bottom"/>
            <w:gridSpan w:val="15"/>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2100" w:type="dxa"/>
            <w:vAlign w:val="bottom"/>
            <w:gridSpan w:val="18"/>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Amended and Restated</w:t>
              </w:r>
            </w:hyperlink>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10.2</w:t>
            </w:r>
          </w:p>
        </w:tc>
        <w:tc>
          <w:tcPr>
            <w:tcW w:w="1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January 5, 2022</w:t>
            </w:r>
          </w:p>
        </w:tc>
      </w:tr>
      <w:tr>
        <w:trPr>
          <w:trHeight w:val="20"/>
        </w:trPr>
        <w:tc>
          <w:tcPr>
            <w:tcW w:w="960" w:type="dxa"/>
            <w:vAlign w:val="bottom"/>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460" w:type="dxa"/>
            <w:vAlign w:val="bottom"/>
            <w:tcBorders>
              <w:left w:val="single" w:sz="8" w:color="0000EE"/>
            </w:tcBorders>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dated January 4, 2022 and</w:t>
              </w:r>
            </w:hyperlink>
          </w:p>
        </w:tc>
        <w:tc>
          <w:tcPr>
            <w:tcW w:w="220" w:type="dxa"/>
            <w:vAlign w:val="bottom"/>
            <w:gridSpan w:val="5"/>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effective as of April 4,</w:t>
              </w:r>
            </w:hyperlink>
          </w:p>
        </w:tc>
        <w:tc>
          <w:tcPr>
            <w:tcW w:w="480" w:type="dxa"/>
            <w:vAlign w:val="bottom"/>
            <w:gridSpan w:val="12"/>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2022, by and between the</w:t>
              </w:r>
            </w:hyperlink>
          </w:p>
        </w:tc>
        <w:tc>
          <w:tcPr>
            <w:tcW w:w="26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Registrant and Kathryn</w:t>
              </w:r>
            </w:hyperlink>
          </w:p>
        </w:tc>
        <w:tc>
          <w:tcPr>
            <w:tcW w:w="38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64">
              <w:r>
                <w:rPr>
                  <w:rFonts w:ascii="Times New Roman" w:cs="Times New Roman" w:eastAsia="Times New Roman" w:hAnsi="Times New Roman"/>
                  <w:sz w:val="18"/>
                  <w:szCs w:val="18"/>
                  <w:color w:val="0000EE"/>
                  <w:w w:val="96"/>
                </w:rPr>
                <w:t>Haviland</w:t>
              </w:r>
            </w:hyperlink>
          </w:p>
        </w:tc>
        <w:tc>
          <w:tcPr>
            <w:tcW w:w="1440" w:type="dxa"/>
            <w:vAlign w:val="bottom"/>
            <w:gridSpan w:val="15"/>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499" w:right="1440"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22" w:name="page123"/>
    <w:bookmarkEnd w:id="122"/>
    <w:tbl>
      <w:tblPr>
        <w:tblLayout w:type="fixed"/>
        <w:tblInd w:w="60" w:type="dxa"/>
        <w:tblCellMar>
          <w:top w:w="0" w:type="dxa"/>
          <w:left w:w="0" w:type="dxa"/>
          <w:bottom w:w="0" w:type="dxa"/>
          <w:right w:w="0" w:type="dxa"/>
        </w:tblCellMar>
      </w:tblPr>
      <w:tr>
        <w:trPr>
          <w:trHeight w:val="207"/>
        </w:trPr>
        <w:tc>
          <w:tcPr>
            <w:tcW w:w="30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9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66">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24"/>
                <w:szCs w:val="24"/>
                <w:color w:val="auto"/>
              </w:rPr>
            </w:pPr>
          </w:p>
        </w:tc>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10-Q</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November 10, 2016</w:t>
            </w:r>
          </w:p>
        </w:tc>
      </w:tr>
      <w:tr>
        <w:trPr>
          <w:trHeight w:val="196"/>
        </w:trPr>
        <w:tc>
          <w:tcPr>
            <w:tcW w:w="96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dated September 6, 2016,</w:t>
              </w:r>
            </w:hyperlink>
          </w:p>
        </w:tc>
        <w:tc>
          <w:tcPr>
            <w:tcW w:w="26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00" w:type="dxa"/>
            <w:vAlign w:val="bottom"/>
            <w:gridSpan w:val="23"/>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by and between the</w:t>
              </w:r>
            </w:hyperlink>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66">
              <w:r>
                <w:rPr>
                  <w:rFonts w:ascii="Times New Roman" w:cs="Times New Roman" w:eastAsia="Times New Roman" w:hAnsi="Times New Roman"/>
                  <w:sz w:val="18"/>
                  <w:szCs w:val="18"/>
                  <w:color w:val="0000EE"/>
                  <w:w w:val="98"/>
                </w:rPr>
                <w:t>Registrant and Tracey L.</w:t>
              </w:r>
            </w:hyperlink>
          </w:p>
        </w:tc>
        <w:tc>
          <w:tcPr>
            <w:tcW w:w="3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66">
              <w:r>
                <w:rPr>
                  <w:rFonts w:ascii="Times New Roman" w:cs="Times New Roman" w:eastAsia="Times New Roman" w:hAnsi="Times New Roman"/>
                  <w:sz w:val="18"/>
                  <w:szCs w:val="18"/>
                  <w:color w:val="0000EE"/>
                  <w:w w:val="96"/>
                </w:rPr>
                <w:t>McCain</w:t>
              </w:r>
            </w:hyperlink>
          </w:p>
        </w:tc>
        <w:tc>
          <w:tcPr>
            <w:tcW w:w="1520" w:type="dxa"/>
            <w:vAlign w:val="bottom"/>
            <w:gridSpan w:val="20"/>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2100" w:type="dxa"/>
            <w:vAlign w:val="bottom"/>
            <w:gridSpan w:val="23"/>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First Amendment to</w:t>
              </w:r>
            </w:hyperlink>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10.5</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23, 2021</w:t>
            </w:r>
          </w:p>
        </w:tc>
      </w:tr>
      <w:tr>
        <w:trPr>
          <w:trHeight w:val="20"/>
        </w:trPr>
        <w:tc>
          <w:tcPr>
            <w:tcW w:w="9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67">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00" w:type="dxa"/>
            <w:vAlign w:val="bottom"/>
            <w:gridSpan w:val="23"/>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dated December 22, 2021,</w:t>
              </w:r>
            </w:hyperlink>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by and between the</w:t>
              </w:r>
            </w:hyperlink>
          </w:p>
        </w:tc>
        <w:tc>
          <w:tcPr>
            <w:tcW w:w="22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67">
              <w:r>
                <w:rPr>
                  <w:rFonts w:ascii="Times New Roman" w:cs="Times New Roman" w:eastAsia="Times New Roman" w:hAnsi="Times New Roman"/>
                  <w:sz w:val="18"/>
                  <w:szCs w:val="18"/>
                  <w:color w:val="0000EE"/>
                  <w:w w:val="98"/>
                </w:rPr>
                <w:t>Registrant and Tracey L.</w:t>
              </w:r>
            </w:hyperlink>
          </w:p>
        </w:tc>
        <w:tc>
          <w:tcPr>
            <w:tcW w:w="3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67">
              <w:r>
                <w:rPr>
                  <w:rFonts w:ascii="Times New Roman" w:cs="Times New Roman" w:eastAsia="Times New Roman" w:hAnsi="Times New Roman"/>
                  <w:sz w:val="18"/>
                  <w:szCs w:val="18"/>
                  <w:color w:val="0000EE"/>
                  <w:w w:val="96"/>
                </w:rPr>
                <w:t>McCain</w:t>
              </w:r>
            </w:hyperlink>
          </w:p>
        </w:tc>
        <w:tc>
          <w:tcPr>
            <w:tcW w:w="1520" w:type="dxa"/>
            <w:vAlign w:val="bottom"/>
            <w:gridSpan w:val="20"/>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2100" w:type="dxa"/>
            <w:vAlign w:val="bottom"/>
            <w:gridSpan w:val="23"/>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Second Amendment to</w:t>
              </w:r>
            </w:hyperlink>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10.5</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9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68">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68">
              <w:r>
                <w:rPr>
                  <w:rFonts w:ascii="Times New Roman" w:cs="Times New Roman" w:eastAsia="Times New Roman" w:hAnsi="Times New Roman"/>
                  <w:sz w:val="18"/>
                  <w:szCs w:val="18"/>
                  <w:color w:val="0000EE"/>
                  <w:w w:val="98"/>
                </w:rPr>
                <w:t>dated September 23, 2022,</w:t>
              </w:r>
            </w:hyperlink>
          </w:p>
        </w:tc>
        <w:tc>
          <w:tcPr>
            <w:tcW w:w="18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00" w:type="dxa"/>
            <w:vAlign w:val="bottom"/>
            <w:gridSpan w:val="23"/>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by and between the</w:t>
              </w:r>
            </w:hyperlink>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68">
              <w:r>
                <w:rPr>
                  <w:rFonts w:ascii="Times New Roman" w:cs="Times New Roman" w:eastAsia="Times New Roman" w:hAnsi="Times New Roman"/>
                  <w:sz w:val="18"/>
                  <w:szCs w:val="18"/>
                  <w:color w:val="0000EE"/>
                  <w:w w:val="98"/>
                </w:rPr>
                <w:t>Registrant and Tracey L.</w:t>
              </w:r>
            </w:hyperlink>
          </w:p>
        </w:tc>
        <w:tc>
          <w:tcPr>
            <w:tcW w:w="3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68">
              <w:r>
                <w:rPr>
                  <w:rFonts w:ascii="Times New Roman" w:cs="Times New Roman" w:eastAsia="Times New Roman" w:hAnsi="Times New Roman"/>
                  <w:sz w:val="18"/>
                  <w:szCs w:val="18"/>
                  <w:color w:val="0000EE"/>
                  <w:w w:val="96"/>
                </w:rPr>
                <w:t>McCain</w:t>
              </w:r>
            </w:hyperlink>
          </w:p>
        </w:tc>
        <w:tc>
          <w:tcPr>
            <w:tcW w:w="1520" w:type="dxa"/>
            <w:vAlign w:val="bottom"/>
            <w:gridSpan w:val="20"/>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69">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21"/>
                <w:szCs w:val="21"/>
                <w:color w:val="auto"/>
              </w:rPr>
            </w:pPr>
          </w:p>
        </w:tc>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10-Q</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October 31, 2017</w:t>
            </w:r>
          </w:p>
        </w:tc>
      </w:tr>
      <w:tr>
        <w:trPr>
          <w:trHeight w:val="196"/>
        </w:trPr>
        <w:tc>
          <w:tcPr>
            <w:tcW w:w="960" w:type="dxa"/>
            <w:vAlign w:val="bottom"/>
          </w:tcPr>
          <w:p>
            <w:pPr>
              <w:spacing w:after="0"/>
              <w:rPr>
                <w:sz w:val="17"/>
                <w:szCs w:val="17"/>
                <w:color w:val="auto"/>
              </w:rPr>
            </w:pPr>
          </w:p>
        </w:tc>
        <w:tc>
          <w:tcPr>
            <w:tcW w:w="19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dated October 10, 2017, by</w:t>
              </w:r>
            </w:hyperlink>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and between the Registrant</w:t>
              </w:r>
            </w:hyperlink>
          </w:p>
        </w:tc>
        <w:tc>
          <w:tcPr>
            <w:tcW w:w="1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00" w:type="dxa"/>
            <w:vAlign w:val="bottom"/>
            <w:gridSpan w:val="23"/>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and Christopher Murray,</w:t>
              </w:r>
            </w:hyperlink>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Ph.D.</w:t>
              </w:r>
            </w:hyperlink>
          </w:p>
        </w:tc>
        <w:tc>
          <w:tcPr>
            <w:tcW w:w="34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2100" w:type="dxa"/>
            <w:vAlign w:val="bottom"/>
            <w:gridSpan w:val="23"/>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First Amendment to</w:t>
              </w:r>
            </w:hyperlink>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10.8</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23, 2021</w:t>
            </w:r>
          </w:p>
        </w:tc>
      </w:tr>
      <w:tr>
        <w:trPr>
          <w:trHeight w:val="20"/>
        </w:trPr>
        <w:tc>
          <w:tcPr>
            <w:tcW w:w="96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70">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00" w:type="dxa"/>
            <w:vAlign w:val="bottom"/>
            <w:gridSpan w:val="23"/>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dated December 22, 2021,</w:t>
              </w:r>
            </w:hyperlink>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by and between the</w:t>
              </w:r>
            </w:hyperlink>
          </w:p>
        </w:tc>
        <w:tc>
          <w:tcPr>
            <w:tcW w:w="22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70">
              <w:r>
                <w:rPr>
                  <w:rFonts w:ascii="Times New Roman" w:cs="Times New Roman" w:eastAsia="Times New Roman" w:hAnsi="Times New Roman"/>
                  <w:sz w:val="18"/>
                  <w:szCs w:val="18"/>
                  <w:color w:val="0000EE"/>
                  <w:w w:val="98"/>
                </w:rPr>
                <w:t>Registrant and Christopher</w:t>
              </w:r>
            </w:hyperlink>
          </w:p>
        </w:tc>
        <w:tc>
          <w:tcPr>
            <w:tcW w:w="1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00" w:type="dxa"/>
            <w:vAlign w:val="bottom"/>
            <w:gridSpan w:val="23"/>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Murray, Ph.D.</w:t>
              </w:r>
            </w:hyperlink>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2100" w:type="dxa"/>
            <w:vAlign w:val="bottom"/>
            <w:gridSpan w:val="23"/>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Second Amendment to</w:t>
              </w:r>
            </w:hyperlink>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10.7</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96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71">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71">
              <w:r>
                <w:rPr>
                  <w:rFonts w:ascii="Times New Roman" w:cs="Times New Roman" w:eastAsia="Times New Roman" w:hAnsi="Times New Roman"/>
                  <w:sz w:val="18"/>
                  <w:szCs w:val="18"/>
                  <w:color w:val="0000EE"/>
                  <w:w w:val="98"/>
                </w:rPr>
                <w:t>dated September 23, 2022,</w:t>
              </w:r>
            </w:hyperlink>
          </w:p>
        </w:tc>
        <w:tc>
          <w:tcPr>
            <w:tcW w:w="18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00" w:type="dxa"/>
            <w:vAlign w:val="bottom"/>
            <w:gridSpan w:val="23"/>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by and between the</w:t>
              </w:r>
            </w:hyperlink>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71">
              <w:r>
                <w:rPr>
                  <w:rFonts w:ascii="Times New Roman" w:cs="Times New Roman" w:eastAsia="Times New Roman" w:hAnsi="Times New Roman"/>
                  <w:sz w:val="18"/>
                  <w:szCs w:val="18"/>
                  <w:color w:val="0000EE"/>
                  <w:w w:val="98"/>
                </w:rPr>
                <w:t>Registrant and Christopher</w:t>
              </w:r>
            </w:hyperlink>
          </w:p>
        </w:tc>
        <w:tc>
          <w:tcPr>
            <w:tcW w:w="1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00" w:type="dxa"/>
            <w:vAlign w:val="bottom"/>
            <w:gridSpan w:val="23"/>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Murray, Ph.D.</w:t>
              </w:r>
            </w:hyperlink>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5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172">
              <w:r>
                <w:rPr>
                  <w:rFonts w:ascii="Times New Roman" w:cs="Times New Roman" w:eastAsia="Times New Roman" w:hAnsi="Times New Roman"/>
                  <w:sz w:val="18"/>
                  <w:szCs w:val="18"/>
                  <w:color w:val="0000EE"/>
                  <w:w w:val="98"/>
                </w:rPr>
                <w:t>Third Amendment to</w:t>
              </w:r>
            </w:hyperlink>
          </w:p>
        </w:tc>
        <w:tc>
          <w:tcPr>
            <w:tcW w:w="580" w:type="dxa"/>
            <w:vAlign w:val="bottom"/>
            <w:gridSpan w:val="15"/>
          </w:tcPr>
          <w:p>
            <w:pPr>
              <w:spacing w:after="0"/>
              <w:rPr>
                <w:sz w:val="21"/>
                <w:szCs w:val="21"/>
                <w:color w:val="auto"/>
              </w:rPr>
            </w:pPr>
          </w:p>
        </w:tc>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10-K</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10.27</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196"/>
        </w:trPr>
        <w:tc>
          <w:tcPr>
            <w:tcW w:w="96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Employment Agreement,</w:t>
              </w:r>
            </w:hyperlink>
          </w:p>
        </w:tc>
        <w:tc>
          <w:tcPr>
            <w:tcW w:w="26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dated February 15, 2023,</w:t>
              </w:r>
            </w:hyperlink>
          </w:p>
        </w:tc>
        <w:tc>
          <w:tcPr>
            <w:tcW w:w="2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72">
              <w:r>
                <w:rPr>
                  <w:rFonts w:ascii="Times New Roman" w:cs="Times New Roman" w:eastAsia="Times New Roman" w:hAnsi="Times New Roman"/>
                  <w:sz w:val="18"/>
                  <w:szCs w:val="18"/>
                  <w:color w:val="0000EE"/>
                  <w:w w:val="98"/>
                </w:rPr>
                <w:t>effective as of January 1,</w:t>
              </w:r>
            </w:hyperlink>
          </w:p>
        </w:tc>
        <w:tc>
          <w:tcPr>
            <w:tcW w:w="300" w:type="dxa"/>
            <w:vAlign w:val="bottom"/>
            <w:gridSpan w:val="9"/>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72">
              <w:r>
                <w:rPr>
                  <w:rFonts w:ascii="Times New Roman" w:cs="Times New Roman" w:eastAsia="Times New Roman" w:hAnsi="Times New Roman"/>
                  <w:sz w:val="18"/>
                  <w:szCs w:val="18"/>
                  <w:color w:val="0000EE"/>
                  <w:w w:val="98"/>
                </w:rPr>
                <w:t>2023, by and between the</w:t>
              </w:r>
            </w:hyperlink>
          </w:p>
        </w:tc>
        <w:tc>
          <w:tcPr>
            <w:tcW w:w="26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72">
              <w:r>
                <w:rPr>
                  <w:rFonts w:ascii="Times New Roman" w:cs="Times New Roman" w:eastAsia="Times New Roman" w:hAnsi="Times New Roman"/>
                  <w:sz w:val="18"/>
                  <w:szCs w:val="18"/>
                  <w:color w:val="0000EE"/>
                  <w:w w:val="98"/>
                </w:rPr>
                <w:t>Registrant and Christopher</w:t>
              </w:r>
            </w:hyperlink>
          </w:p>
        </w:tc>
        <w:tc>
          <w:tcPr>
            <w:tcW w:w="1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00" w:type="dxa"/>
            <w:vAlign w:val="bottom"/>
            <w:gridSpan w:val="23"/>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Murray, Ph.D.</w:t>
              </w:r>
            </w:hyperlink>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73">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21"/>
                <w:szCs w:val="21"/>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November 22, 2017</w:t>
            </w:r>
          </w:p>
        </w:tc>
      </w:tr>
      <w:tr>
        <w:trPr>
          <w:trHeight w:val="196"/>
        </w:trPr>
        <w:tc>
          <w:tcPr>
            <w:tcW w:w="960" w:type="dxa"/>
            <w:vAlign w:val="bottom"/>
          </w:tcPr>
          <w:p>
            <w:pPr>
              <w:spacing w:after="0"/>
              <w:rPr>
                <w:sz w:val="17"/>
                <w:szCs w:val="17"/>
                <w:color w:val="auto"/>
              </w:rPr>
            </w:pPr>
          </w:p>
        </w:tc>
        <w:tc>
          <w:tcPr>
            <w:tcW w:w="2100" w:type="dxa"/>
            <w:vAlign w:val="bottom"/>
            <w:gridSpan w:val="23"/>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dated November 22, 2017,</w:t>
              </w:r>
            </w:hyperlink>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by and between the</w:t>
              </w:r>
            </w:hyperlink>
          </w:p>
        </w:tc>
        <w:tc>
          <w:tcPr>
            <w:tcW w:w="200" w:type="dxa"/>
            <w:vAlign w:val="bottom"/>
            <w:gridSpan w:val="5"/>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73">
              <w:r>
                <w:rPr>
                  <w:rFonts w:ascii="Times New Roman" w:cs="Times New Roman" w:eastAsia="Times New Roman" w:hAnsi="Times New Roman"/>
                  <w:sz w:val="18"/>
                  <w:szCs w:val="18"/>
                  <w:color w:val="0000EE"/>
                  <w:w w:val="98"/>
                </w:rPr>
                <w:t>Registrant and Michael</w:t>
              </w:r>
            </w:hyperlink>
          </w:p>
        </w:tc>
        <w:tc>
          <w:tcPr>
            <w:tcW w:w="420" w:type="dxa"/>
            <w:vAlign w:val="bottom"/>
            <w:gridSpan w:val="12"/>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73">
              <w:r>
                <w:rPr>
                  <w:rFonts w:ascii="Times New Roman" w:cs="Times New Roman" w:eastAsia="Times New Roman" w:hAnsi="Times New Roman"/>
                  <w:sz w:val="18"/>
                  <w:szCs w:val="18"/>
                  <w:color w:val="0000EE"/>
                  <w:w w:val="97"/>
                </w:rPr>
                <w:t>Landsittel</w:t>
              </w:r>
            </w:hyperlink>
          </w:p>
        </w:tc>
        <w:tc>
          <w:tcPr>
            <w:tcW w:w="1380" w:type="dxa"/>
            <w:vAlign w:val="bottom"/>
            <w:gridSpan w:val="19"/>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2100" w:type="dxa"/>
            <w:vAlign w:val="bottom"/>
            <w:gridSpan w:val="23"/>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First Amendment to</w:t>
              </w:r>
            </w:hyperlink>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February 5, 2019</w:t>
            </w:r>
          </w:p>
        </w:tc>
      </w:tr>
      <w:tr>
        <w:trPr>
          <w:trHeight w:val="20"/>
        </w:trPr>
        <w:tc>
          <w:tcPr>
            <w:tcW w:w="960" w:type="dxa"/>
            <w:vAlign w:val="bottom"/>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Employment Agreement,</w:t>
              </w:r>
            </w:hyperlink>
          </w:p>
        </w:tc>
        <w:tc>
          <w:tcPr>
            <w:tcW w:w="2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dated January 30, 2019, by</w:t>
              </w:r>
            </w:hyperlink>
          </w:p>
        </w:tc>
        <w:tc>
          <w:tcPr>
            <w:tcW w:w="1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and between the Registrant</w:t>
              </w:r>
            </w:hyperlink>
          </w:p>
        </w:tc>
        <w:tc>
          <w:tcPr>
            <w:tcW w:w="1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and Michael Landsittel</w:t>
              </w:r>
            </w:hyperlink>
          </w:p>
        </w:tc>
        <w:tc>
          <w:tcPr>
            <w:tcW w:w="440" w:type="dxa"/>
            <w:vAlign w:val="bottom"/>
            <w:gridSpan w:val="13"/>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499"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23" w:name="page124"/>
    <w:bookmarkEnd w:id="123"/>
    <w:tbl>
      <w:tblPr>
        <w:tblLayout w:type="fixed"/>
        <w:tblInd w:w="40" w:type="dxa"/>
        <w:tblCellMar>
          <w:top w:w="0" w:type="dxa"/>
          <w:left w:w="0" w:type="dxa"/>
          <w:bottom w:w="0" w:type="dxa"/>
          <w:right w:w="0" w:type="dxa"/>
        </w:tblCellMar>
      </w:tblPr>
      <w:tr>
        <w:trPr>
          <w:trHeight w:val="207"/>
        </w:trPr>
        <w:tc>
          <w:tcPr>
            <w:tcW w:w="312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93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2140" w:type="dxa"/>
            <w:vAlign w:val="bottom"/>
            <w:gridSpan w:val="22"/>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Second Amendment to</w:t>
              </w:r>
            </w:hyperlink>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December 23, 2021</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Employment Agreement,</w:t>
              </w:r>
            </w:hyperlink>
          </w:p>
        </w:tc>
        <w:tc>
          <w:tcPr>
            <w:tcW w:w="3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dated December 22, 2021,</w:t>
              </w:r>
            </w:hyperlink>
          </w:p>
        </w:tc>
        <w:tc>
          <w:tcPr>
            <w:tcW w:w="24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by and between the</w:t>
              </w:r>
            </w:hyperlink>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76">
              <w:r>
                <w:rPr>
                  <w:rFonts w:ascii="Times New Roman" w:cs="Times New Roman" w:eastAsia="Times New Roman" w:hAnsi="Times New Roman"/>
                  <w:sz w:val="18"/>
                  <w:szCs w:val="18"/>
                  <w:color w:val="0000EE"/>
                  <w:w w:val="98"/>
                </w:rPr>
                <w:t>Registrant and Michael</w:t>
              </w:r>
            </w:hyperlink>
          </w:p>
        </w:tc>
        <w:tc>
          <w:tcPr>
            <w:tcW w:w="46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76">
              <w:r>
                <w:rPr>
                  <w:rFonts w:ascii="Times New Roman" w:cs="Times New Roman" w:eastAsia="Times New Roman" w:hAnsi="Times New Roman"/>
                  <w:sz w:val="18"/>
                  <w:szCs w:val="18"/>
                  <w:color w:val="0000EE"/>
                  <w:w w:val="97"/>
                </w:rPr>
                <w:t>Landsittel</w:t>
              </w:r>
            </w:hyperlink>
          </w:p>
        </w:tc>
        <w:tc>
          <w:tcPr>
            <w:tcW w:w="1420" w:type="dxa"/>
            <w:vAlign w:val="bottom"/>
            <w:gridSpan w:val="19"/>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5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5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177">
              <w:r>
                <w:rPr>
                  <w:rFonts w:ascii="Times New Roman" w:cs="Times New Roman" w:eastAsia="Times New Roman" w:hAnsi="Times New Roman"/>
                  <w:sz w:val="18"/>
                  <w:szCs w:val="18"/>
                  <w:color w:val="0000EE"/>
                  <w:w w:val="98"/>
                </w:rPr>
                <w:t>Third Amendment to</w:t>
              </w:r>
            </w:hyperlink>
          </w:p>
        </w:tc>
        <w:tc>
          <w:tcPr>
            <w:tcW w:w="620" w:type="dxa"/>
            <w:vAlign w:val="bottom"/>
            <w:gridSpan w:val="14"/>
          </w:tcPr>
          <w:p>
            <w:pPr>
              <w:spacing w:after="0"/>
              <w:rPr>
                <w:sz w:val="21"/>
                <w:szCs w:val="21"/>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Employment Agreement,</w:t>
              </w:r>
            </w:hyperlink>
          </w:p>
        </w:tc>
        <w:tc>
          <w:tcPr>
            <w:tcW w:w="3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77">
              <w:r>
                <w:rPr>
                  <w:rFonts w:ascii="Times New Roman" w:cs="Times New Roman" w:eastAsia="Times New Roman" w:hAnsi="Times New Roman"/>
                  <w:sz w:val="18"/>
                  <w:szCs w:val="18"/>
                  <w:color w:val="0000EE"/>
                  <w:w w:val="98"/>
                </w:rPr>
                <w:t>dated September 23, 2022,</w:t>
              </w:r>
            </w:hyperlink>
          </w:p>
        </w:tc>
        <w:tc>
          <w:tcPr>
            <w:tcW w:w="2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by and between the</w:t>
              </w:r>
            </w:hyperlink>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77">
              <w:r>
                <w:rPr>
                  <w:rFonts w:ascii="Times New Roman" w:cs="Times New Roman" w:eastAsia="Times New Roman" w:hAnsi="Times New Roman"/>
                  <w:sz w:val="18"/>
                  <w:szCs w:val="18"/>
                  <w:color w:val="0000EE"/>
                  <w:w w:val="98"/>
                </w:rPr>
                <w:t>Registrant and Michael</w:t>
              </w:r>
            </w:hyperlink>
          </w:p>
        </w:tc>
        <w:tc>
          <w:tcPr>
            <w:tcW w:w="46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77">
              <w:r>
                <w:rPr>
                  <w:rFonts w:ascii="Times New Roman" w:cs="Times New Roman" w:eastAsia="Times New Roman" w:hAnsi="Times New Roman"/>
                  <w:sz w:val="18"/>
                  <w:szCs w:val="18"/>
                  <w:color w:val="0000EE"/>
                  <w:w w:val="97"/>
                </w:rPr>
                <w:t>Landsittel</w:t>
              </w:r>
            </w:hyperlink>
          </w:p>
        </w:tc>
        <w:tc>
          <w:tcPr>
            <w:tcW w:w="1420" w:type="dxa"/>
            <w:vAlign w:val="bottom"/>
            <w:gridSpan w:val="19"/>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5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8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Employment Agreement,</w:t>
              </w:r>
            </w:hyperlink>
          </w:p>
        </w:tc>
        <w:tc>
          <w:tcPr>
            <w:tcW w:w="300" w:type="dxa"/>
            <w:vAlign w:val="bottom"/>
            <w:gridSpan w:val="8"/>
          </w:tcPr>
          <w:p>
            <w:pPr>
              <w:spacing w:after="0"/>
              <w:rPr>
                <w:sz w:val="21"/>
                <w:szCs w:val="21"/>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October 29, 2018</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78">
              <w:r>
                <w:rPr>
                  <w:rFonts w:ascii="Times New Roman" w:cs="Times New Roman" w:eastAsia="Times New Roman" w:hAnsi="Times New Roman"/>
                  <w:sz w:val="18"/>
                  <w:szCs w:val="18"/>
                  <w:color w:val="0000EE"/>
                  <w:w w:val="98"/>
                </w:rPr>
                <w:t>dated October 29, 2018, by</w:t>
              </w:r>
            </w:hyperlink>
          </w:p>
        </w:tc>
        <w:tc>
          <w:tcPr>
            <w:tcW w:w="1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and between the Registrant</w:t>
              </w:r>
            </w:hyperlink>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and Christina Rossi</w:t>
              </w:r>
            </w:hyperlink>
          </w:p>
        </w:tc>
        <w:tc>
          <w:tcPr>
            <w:tcW w:w="20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98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2140" w:type="dxa"/>
            <w:vAlign w:val="bottom"/>
            <w:gridSpan w:val="22"/>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First Amendment to</w:t>
              </w:r>
            </w:hyperlink>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10.6</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December 23, 2021</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Employment Agreement,</w:t>
              </w:r>
            </w:hyperlink>
          </w:p>
        </w:tc>
        <w:tc>
          <w:tcPr>
            <w:tcW w:w="3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dated December 22, 2021,</w:t>
              </w:r>
            </w:hyperlink>
          </w:p>
        </w:tc>
        <w:tc>
          <w:tcPr>
            <w:tcW w:w="24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by and between the</w:t>
              </w:r>
            </w:hyperlink>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Registrant and Christina</w:t>
              </w:r>
            </w:hyperlink>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79">
              <w:r>
                <w:rPr>
                  <w:rFonts w:ascii="Times New Roman" w:cs="Times New Roman" w:eastAsia="Times New Roman" w:hAnsi="Times New Roman"/>
                  <w:sz w:val="18"/>
                  <w:szCs w:val="18"/>
                  <w:color w:val="0000EE"/>
                  <w:w w:val="94"/>
                </w:rPr>
                <w:t>Rossi</w:t>
              </w:r>
            </w:hyperlink>
          </w:p>
        </w:tc>
        <w:tc>
          <w:tcPr>
            <w:tcW w:w="1340" w:type="dxa"/>
            <w:vAlign w:val="bottom"/>
            <w:tcBorders>
              <w:top w:val="single" w:sz="8" w:color="0000EE"/>
            </w:tcBorders>
            <w:gridSpan w:val="9"/>
          </w:tcPr>
          <w:p>
            <w:pPr>
              <w:spacing w:after="0"/>
              <w:rPr>
                <w:sz w:val="17"/>
                <w:szCs w:val="17"/>
                <w:color w:val="auto"/>
              </w:rPr>
            </w:pPr>
          </w:p>
        </w:tc>
        <w:tc>
          <w:tcPr>
            <w:tcW w:w="40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5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2140" w:type="dxa"/>
            <w:vAlign w:val="bottom"/>
            <w:gridSpan w:val="22"/>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Amended and Restated</w:t>
              </w:r>
            </w:hyperlink>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January 5, 2022</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Employment Agreement,</w:t>
              </w:r>
            </w:hyperlink>
          </w:p>
        </w:tc>
        <w:tc>
          <w:tcPr>
            <w:tcW w:w="3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80">
              <w:r>
                <w:rPr>
                  <w:rFonts w:ascii="Times New Roman" w:cs="Times New Roman" w:eastAsia="Times New Roman" w:hAnsi="Times New Roman"/>
                  <w:sz w:val="18"/>
                  <w:szCs w:val="18"/>
                  <w:color w:val="0000EE"/>
                  <w:w w:val="98"/>
                </w:rPr>
                <w:t>dated January 4, 2022 and</w:t>
              </w:r>
            </w:hyperlink>
          </w:p>
        </w:tc>
        <w:tc>
          <w:tcPr>
            <w:tcW w:w="26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80">
              <w:r>
                <w:rPr>
                  <w:rFonts w:ascii="Times New Roman" w:cs="Times New Roman" w:eastAsia="Times New Roman" w:hAnsi="Times New Roman"/>
                  <w:sz w:val="18"/>
                  <w:szCs w:val="18"/>
                  <w:color w:val="0000EE"/>
                  <w:w w:val="98"/>
                </w:rPr>
                <w:t>effective as of April 4,</w:t>
              </w:r>
            </w:hyperlink>
          </w:p>
        </w:tc>
        <w:tc>
          <w:tcPr>
            <w:tcW w:w="50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2022, by and between the</w:t>
              </w:r>
            </w:hyperlink>
          </w:p>
        </w:tc>
        <w:tc>
          <w:tcPr>
            <w:tcW w:w="28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Registrant and Christina</w:t>
              </w:r>
            </w:hyperlink>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80">
              <w:r>
                <w:rPr>
                  <w:rFonts w:ascii="Times New Roman" w:cs="Times New Roman" w:eastAsia="Times New Roman" w:hAnsi="Times New Roman"/>
                  <w:sz w:val="18"/>
                  <w:szCs w:val="18"/>
                  <w:color w:val="0000EE"/>
                  <w:w w:val="94"/>
                </w:rPr>
                <w:t>Rossi</w:t>
              </w:r>
            </w:hyperlink>
          </w:p>
        </w:tc>
        <w:tc>
          <w:tcPr>
            <w:tcW w:w="1340" w:type="dxa"/>
            <w:vAlign w:val="bottom"/>
            <w:tcBorders>
              <w:top w:val="single" w:sz="8" w:color="0000EE"/>
            </w:tcBorders>
            <w:gridSpan w:val="9"/>
          </w:tcPr>
          <w:p>
            <w:pPr>
              <w:spacing w:after="0"/>
              <w:rPr>
                <w:sz w:val="17"/>
                <w:szCs w:val="17"/>
                <w:color w:val="auto"/>
              </w:rPr>
            </w:pPr>
          </w:p>
        </w:tc>
        <w:tc>
          <w:tcPr>
            <w:tcW w:w="40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5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2140" w:type="dxa"/>
            <w:vAlign w:val="bottom"/>
            <w:gridSpan w:val="22"/>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First Amendment to</w:t>
              </w:r>
            </w:hyperlink>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Amended and Restated</w:t>
              </w:r>
            </w:hyperlink>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Employment Agreement,</w:t>
              </w:r>
            </w:hyperlink>
          </w:p>
        </w:tc>
        <w:tc>
          <w:tcPr>
            <w:tcW w:w="3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81">
              <w:r>
                <w:rPr>
                  <w:rFonts w:ascii="Times New Roman" w:cs="Times New Roman" w:eastAsia="Times New Roman" w:hAnsi="Times New Roman"/>
                  <w:sz w:val="18"/>
                  <w:szCs w:val="18"/>
                  <w:color w:val="0000EE"/>
                  <w:w w:val="98"/>
                </w:rPr>
                <w:t>dated September 23, 2022,</w:t>
              </w:r>
            </w:hyperlink>
          </w:p>
        </w:tc>
        <w:tc>
          <w:tcPr>
            <w:tcW w:w="2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by and between the</w:t>
              </w:r>
            </w:hyperlink>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Registrant and Christina</w:t>
              </w:r>
            </w:hyperlink>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81">
              <w:r>
                <w:rPr>
                  <w:rFonts w:ascii="Times New Roman" w:cs="Times New Roman" w:eastAsia="Times New Roman" w:hAnsi="Times New Roman"/>
                  <w:sz w:val="18"/>
                  <w:szCs w:val="18"/>
                  <w:color w:val="0000EE"/>
                  <w:w w:val="94"/>
                </w:rPr>
                <w:t>Rossi</w:t>
              </w:r>
            </w:hyperlink>
          </w:p>
        </w:tc>
        <w:tc>
          <w:tcPr>
            <w:tcW w:w="1340" w:type="dxa"/>
            <w:vAlign w:val="bottom"/>
            <w:tcBorders>
              <w:top w:val="single" w:sz="8" w:color="0000EE"/>
            </w:tcBorders>
            <w:gridSpan w:val="9"/>
          </w:tcPr>
          <w:p>
            <w:pPr>
              <w:spacing w:after="0"/>
              <w:rPr>
                <w:sz w:val="17"/>
                <w:szCs w:val="17"/>
                <w:color w:val="auto"/>
              </w:rPr>
            </w:pPr>
          </w:p>
        </w:tc>
        <w:tc>
          <w:tcPr>
            <w:tcW w:w="40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5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18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Employment Agreement,</w:t>
              </w:r>
            </w:hyperlink>
          </w:p>
        </w:tc>
        <w:tc>
          <w:tcPr>
            <w:tcW w:w="320" w:type="dxa"/>
            <w:vAlign w:val="bottom"/>
            <w:gridSpan w:val="9"/>
          </w:tcPr>
          <w:p>
            <w:pPr>
              <w:spacing w:after="0"/>
              <w:rPr>
                <w:sz w:val="21"/>
                <w:szCs w:val="21"/>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March 8, 2019</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dated March 6, 2019, by</w:t>
              </w:r>
            </w:hyperlink>
          </w:p>
        </w:tc>
        <w:tc>
          <w:tcPr>
            <w:tcW w:w="38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and between the Registrant</w:t>
              </w:r>
            </w:hyperlink>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and Ariel Hurley</w:t>
              </w:r>
            </w:hyperlink>
          </w:p>
        </w:tc>
        <w:tc>
          <w:tcPr>
            <w:tcW w:w="720" w:type="dxa"/>
            <w:vAlign w:val="bottom"/>
            <w:tcBorders>
              <w:top w:val="single" w:sz="8" w:color="0000EE"/>
            </w:tcBorders>
            <w:gridSpan w:val="15"/>
          </w:tcPr>
          <w:p>
            <w:pPr>
              <w:spacing w:after="0"/>
              <w:rPr>
                <w:sz w:val="17"/>
                <w:szCs w:val="17"/>
                <w:color w:val="auto"/>
              </w:rPr>
            </w:pPr>
          </w:p>
        </w:tc>
        <w:tc>
          <w:tcPr>
            <w:tcW w:w="20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2140" w:type="dxa"/>
            <w:vAlign w:val="bottom"/>
            <w:gridSpan w:val="22"/>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First Amendment to</w:t>
              </w:r>
            </w:hyperlink>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10.11</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December 23, 2021</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Employment Agreement,</w:t>
              </w:r>
            </w:hyperlink>
          </w:p>
        </w:tc>
        <w:tc>
          <w:tcPr>
            <w:tcW w:w="3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dated December 22, 2021,</w:t>
              </w:r>
            </w:hyperlink>
          </w:p>
        </w:tc>
        <w:tc>
          <w:tcPr>
            <w:tcW w:w="24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by and between the</w:t>
              </w:r>
            </w:hyperlink>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620" w:type="dxa"/>
            <w:vAlign w:val="bottom"/>
            <w:gridSpan w:val="1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83">
              <w:r>
                <w:rPr>
                  <w:rFonts w:ascii="Times New Roman" w:cs="Times New Roman" w:eastAsia="Times New Roman" w:hAnsi="Times New Roman"/>
                  <w:sz w:val="18"/>
                  <w:szCs w:val="18"/>
                  <w:color w:val="0000EE"/>
                  <w:w w:val="98"/>
                </w:rPr>
                <w:t>Registrant and Ariel Hurley</w:t>
              </w:r>
            </w:hyperlink>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2140" w:type="dxa"/>
            <w:vAlign w:val="bottom"/>
            <w:gridSpan w:val="22"/>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Second Amendment to</w:t>
              </w:r>
            </w:hyperlink>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10.10</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40" w:type="dxa"/>
            <w:vAlign w:val="bottom"/>
            <w:tcBorders>
              <w:right w:val="single" w:sz="8" w:color="0000EE"/>
            </w:tcBorders>
            <w:gridSpan w:val="9"/>
            <w:shd w:val="clear" w:color="auto" w:fill="0000EE"/>
          </w:tcPr>
          <w:p>
            <w:pPr>
              <w:spacing w:after="0" w:line="20" w:lineRule="exact"/>
              <w:rPr>
                <w:sz w:val="1"/>
                <w:szCs w:val="1"/>
                <w:color w:val="auto"/>
              </w:rPr>
            </w:pPr>
          </w:p>
        </w:tc>
        <w:tc>
          <w:tcPr>
            <w:tcW w:w="50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Employment Agreement,</w:t>
              </w:r>
            </w:hyperlink>
          </w:p>
        </w:tc>
        <w:tc>
          <w:tcPr>
            <w:tcW w:w="3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dated September 23, 2022,</w:t>
              </w:r>
            </w:hyperlink>
          </w:p>
        </w:tc>
        <w:tc>
          <w:tcPr>
            <w:tcW w:w="2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by and between the</w:t>
              </w:r>
            </w:hyperlink>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76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Registrant and Ariel Hurley</w:t>
              </w:r>
            </w:hyperlink>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122</w:t>
            </w:r>
          </w:p>
        </w:tc>
        <w:tc>
          <w:tcPr>
            <w:tcW w:w="12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24" w:name="page125"/>
    <w:bookmarkEnd w:id="12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939"/>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15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Third Amendment to</w:t>
              </w:r>
            </w:hyperlink>
          </w:p>
        </w:tc>
        <w:tc>
          <w:tcPr>
            <w:tcW w:w="600" w:type="dxa"/>
            <w:vAlign w:val="bottom"/>
            <w:gridSpan w:val="13"/>
          </w:tcPr>
          <w:p>
            <w:pPr>
              <w:spacing w:after="0"/>
              <w:rPr>
                <w:sz w:val="24"/>
                <w:szCs w:val="24"/>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10.39</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dated February 15, 2023,</w:t>
              </w:r>
            </w:hyperlink>
          </w:p>
        </w:tc>
        <w:tc>
          <w:tcPr>
            <w:tcW w:w="32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effective as of January 1,</w:t>
              </w:r>
            </w:hyperlink>
          </w:p>
        </w:tc>
        <w:tc>
          <w:tcPr>
            <w:tcW w:w="32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2023, by and between the</w:t>
              </w:r>
            </w:hyperlink>
          </w:p>
        </w:tc>
        <w:tc>
          <w:tcPr>
            <w:tcW w:w="26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Registrant and Ariel Hurley</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5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18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86">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21"/>
                <w:szCs w:val="21"/>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10.19</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1"/>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dated November 22, 2017,</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by and between the</w:t>
              </w:r>
            </w:hyperlink>
          </w:p>
        </w:tc>
        <w:tc>
          <w:tcPr>
            <w:tcW w:w="22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Registrant and Debra</w:t>
              </w:r>
            </w:hyperlink>
          </w:p>
        </w:tc>
        <w:tc>
          <w:tcPr>
            <w:tcW w:w="58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Durso-Bumpus, as</w:t>
              </w:r>
            </w:hyperlink>
          </w:p>
        </w:tc>
        <w:tc>
          <w:tcPr>
            <w:tcW w:w="740" w:type="dxa"/>
            <w:vAlign w:val="bottom"/>
            <w:gridSpan w:val="16"/>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1"/>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amended by the First</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Amendment to</w:t>
              </w:r>
            </w:hyperlink>
          </w:p>
        </w:tc>
        <w:tc>
          <w:tcPr>
            <w:tcW w:w="620" w:type="dxa"/>
            <w:vAlign w:val="bottom"/>
            <w:gridSpan w:val="14"/>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Employment</w:t>
              </w:r>
            </w:hyperlink>
          </w:p>
        </w:tc>
        <w:tc>
          <w:tcPr>
            <w:tcW w:w="760" w:type="dxa"/>
            <w:vAlign w:val="bottom"/>
            <w:tcBorders>
              <w:bottom w:val="single" w:sz="8" w:color="0000EE"/>
            </w:tcBorders>
            <w:gridSpan w:val="11"/>
          </w:tcPr>
          <w:p>
            <w:pPr>
              <w:spacing w:after="0" w:line="182" w:lineRule="exact"/>
              <w:rPr>
                <w:rFonts w:ascii="Times New Roman" w:cs="Times New Roman" w:eastAsia="Times New Roman" w:hAnsi="Times New Roman"/>
                <w:sz w:val="18"/>
                <w:szCs w:val="18"/>
                <w:color w:val="0000EE"/>
                <w:w w:val="87"/>
              </w:rPr>
            </w:pPr>
            <w:hyperlink r:id="rId186">
              <w:r>
                <w:rPr>
                  <w:rFonts w:ascii="Times New Roman" w:cs="Times New Roman" w:eastAsia="Times New Roman" w:hAnsi="Times New Roman"/>
                  <w:sz w:val="18"/>
                  <w:szCs w:val="18"/>
                  <w:color w:val="0000EE"/>
                  <w:w w:val="87"/>
                </w:rPr>
                <w:t>Agreement,</w:t>
              </w:r>
            </w:hyperlink>
          </w:p>
        </w:tc>
        <w:tc>
          <w:tcPr>
            <w:tcW w:w="300" w:type="dxa"/>
            <w:vAlign w:val="bottom"/>
            <w:gridSpan w:val="8"/>
          </w:tcPr>
          <w:p>
            <w:pPr>
              <w:spacing w:after="0"/>
              <w:rPr>
                <w:sz w:val="15"/>
                <w:szCs w:val="15"/>
                <w:color w:val="auto"/>
              </w:rPr>
            </w:pPr>
          </w:p>
        </w:tc>
        <w:tc>
          <w:tcPr>
            <w:tcW w:w="8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86">
              <w:r>
                <w:rPr>
                  <w:rFonts w:ascii="Times New Roman" w:cs="Times New Roman" w:eastAsia="Times New Roman" w:hAnsi="Times New Roman"/>
                  <w:sz w:val="18"/>
                  <w:szCs w:val="18"/>
                  <w:color w:val="0000EE"/>
                  <w:w w:val="98"/>
                </w:rPr>
                <w:t>dated February 10, 2020,</w:t>
              </w:r>
            </w:hyperlink>
          </w:p>
        </w:tc>
        <w:tc>
          <w:tcPr>
            <w:tcW w:w="32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1"/>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by and between the</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Registrant and Debra</w:t>
              </w:r>
            </w:hyperlink>
          </w:p>
        </w:tc>
        <w:tc>
          <w:tcPr>
            <w:tcW w:w="58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86">
              <w:r>
                <w:rPr>
                  <w:rFonts w:ascii="Times New Roman" w:cs="Times New Roman" w:eastAsia="Times New Roman" w:hAnsi="Times New Roman"/>
                  <w:sz w:val="18"/>
                  <w:szCs w:val="18"/>
                  <w:color w:val="0000EE"/>
                  <w:w w:val="98"/>
                </w:rPr>
                <w:t>Durso-Bumpus</w:t>
              </w:r>
            </w:hyperlink>
          </w:p>
        </w:tc>
        <w:tc>
          <w:tcPr>
            <w:tcW w:w="102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2120" w:type="dxa"/>
            <w:vAlign w:val="bottom"/>
            <w:gridSpan w:val="21"/>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Second Amendment to</w:t>
              </w:r>
            </w:hyperlink>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10.10</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December 23, 2021</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1"/>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dated December 22, 2021,</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by and between the</w:t>
              </w:r>
            </w:hyperlink>
          </w:p>
        </w:tc>
        <w:tc>
          <w:tcPr>
            <w:tcW w:w="24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Registrant and Debra</w:t>
              </w:r>
            </w:hyperlink>
          </w:p>
        </w:tc>
        <w:tc>
          <w:tcPr>
            <w:tcW w:w="58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color w:val="0000EE"/>
                  <w:w w:val="98"/>
                </w:rPr>
                <w:t>Durso-Bumpus</w:t>
              </w:r>
            </w:hyperlink>
          </w:p>
        </w:tc>
        <w:tc>
          <w:tcPr>
            <w:tcW w:w="102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5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15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Third Amendment to</w:t>
              </w:r>
            </w:hyperlink>
          </w:p>
        </w:tc>
        <w:tc>
          <w:tcPr>
            <w:tcW w:w="600" w:type="dxa"/>
            <w:vAlign w:val="bottom"/>
            <w:gridSpan w:val="13"/>
          </w:tcPr>
          <w:p>
            <w:pPr>
              <w:spacing w:after="0"/>
              <w:rPr>
                <w:sz w:val="21"/>
                <w:szCs w:val="21"/>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10.9</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dated September 23, 2022,</w:t>
              </w:r>
            </w:hyperlink>
          </w:p>
        </w:tc>
        <w:tc>
          <w:tcPr>
            <w:tcW w:w="20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1"/>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by and between the</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Registrant and Debra</w:t>
              </w:r>
            </w:hyperlink>
          </w:p>
        </w:tc>
        <w:tc>
          <w:tcPr>
            <w:tcW w:w="58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Durso-Bumpus</w:t>
              </w:r>
            </w:hyperlink>
          </w:p>
        </w:tc>
        <w:tc>
          <w:tcPr>
            <w:tcW w:w="102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5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8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89">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21"/>
                <w:szCs w:val="21"/>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September 1, 2020</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89">
              <w:r>
                <w:rPr>
                  <w:rFonts w:ascii="Times New Roman" w:cs="Times New Roman" w:eastAsia="Times New Roman" w:hAnsi="Times New Roman"/>
                  <w:sz w:val="18"/>
                  <w:szCs w:val="18"/>
                  <w:color w:val="0000EE"/>
                  <w:w w:val="98"/>
                </w:rPr>
                <w:t>effective September 1,</w:t>
              </w:r>
            </w:hyperlink>
          </w:p>
        </w:tc>
        <w:tc>
          <w:tcPr>
            <w:tcW w:w="48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89">
              <w:r>
                <w:rPr>
                  <w:rFonts w:ascii="Times New Roman" w:cs="Times New Roman" w:eastAsia="Times New Roman" w:hAnsi="Times New Roman"/>
                  <w:sz w:val="18"/>
                  <w:szCs w:val="18"/>
                  <w:color w:val="0000EE"/>
                  <w:w w:val="98"/>
                </w:rPr>
                <w:t>2020, by and between the</w:t>
              </w:r>
            </w:hyperlink>
          </w:p>
        </w:tc>
        <w:tc>
          <w:tcPr>
            <w:tcW w:w="28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89">
              <w:r>
                <w:rPr>
                  <w:rFonts w:ascii="Times New Roman" w:cs="Times New Roman" w:eastAsia="Times New Roman" w:hAnsi="Times New Roman"/>
                  <w:sz w:val="18"/>
                  <w:szCs w:val="18"/>
                  <w:color w:val="0000EE"/>
                  <w:w w:val="98"/>
                </w:rPr>
                <w:t>Registrant and Fouad</w:t>
              </w:r>
            </w:hyperlink>
          </w:p>
        </w:tc>
        <w:tc>
          <w:tcPr>
            <w:tcW w:w="58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89">
              <w:r>
                <w:rPr>
                  <w:rFonts w:ascii="Times New Roman" w:cs="Times New Roman" w:eastAsia="Times New Roman" w:hAnsi="Times New Roman"/>
                  <w:sz w:val="18"/>
                  <w:szCs w:val="18"/>
                  <w:color w:val="0000EE"/>
                  <w:w w:val="98"/>
                </w:rPr>
                <w:t>Namouni, M.D.</w:t>
              </w:r>
            </w:hyperlink>
          </w:p>
        </w:tc>
        <w:tc>
          <w:tcPr>
            <w:tcW w:w="980" w:type="dxa"/>
            <w:vAlign w:val="bottom"/>
            <w:gridSpan w:val="17"/>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2120" w:type="dxa"/>
            <w:vAlign w:val="bottom"/>
            <w:gridSpan w:val="21"/>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First Amendment to</w:t>
              </w:r>
            </w:hyperlink>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December 23, 2021</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1"/>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dated December 22, 2021,</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by and between the</w:t>
              </w:r>
            </w:hyperlink>
          </w:p>
        </w:tc>
        <w:tc>
          <w:tcPr>
            <w:tcW w:w="24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Borders>
              <w:right w:val="single" w:sz="8" w:color="0000EE"/>
            </w:tcBorders>
            <w:gridSpan w:val="5"/>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Registrant and Fouad</w:t>
              </w:r>
            </w:hyperlink>
          </w:p>
        </w:tc>
        <w:tc>
          <w:tcPr>
            <w:tcW w:w="58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Namouni, M.D.</w:t>
              </w:r>
            </w:hyperlink>
          </w:p>
        </w:tc>
        <w:tc>
          <w:tcPr>
            <w:tcW w:w="980" w:type="dxa"/>
            <w:vAlign w:val="bottom"/>
            <w:gridSpan w:val="17"/>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5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2120" w:type="dxa"/>
            <w:vAlign w:val="bottom"/>
            <w:gridSpan w:val="21"/>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Second Amendment to</w:t>
              </w:r>
            </w:hyperlink>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40" w:type="dxa"/>
            <w:vAlign w:val="bottom"/>
            <w:tcBorders>
              <w:right w:val="single" w:sz="8" w:color="0000EE"/>
            </w:tcBorders>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dated September 23, 2022,</w:t>
              </w:r>
            </w:hyperlink>
          </w:p>
        </w:tc>
        <w:tc>
          <w:tcPr>
            <w:tcW w:w="20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1"/>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by and between the</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Borders>
              <w:right w:val="single" w:sz="8" w:color="0000EE"/>
            </w:tcBorders>
            <w:gridSpan w:val="5"/>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Registrant and Fouad</w:t>
              </w:r>
            </w:hyperlink>
          </w:p>
        </w:tc>
        <w:tc>
          <w:tcPr>
            <w:tcW w:w="58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Namouni, M.D.</w:t>
              </w:r>
            </w:hyperlink>
          </w:p>
        </w:tc>
        <w:tc>
          <w:tcPr>
            <w:tcW w:w="980" w:type="dxa"/>
            <w:vAlign w:val="bottom"/>
            <w:gridSpan w:val="17"/>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5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2120" w:type="dxa"/>
            <w:vAlign w:val="bottom"/>
            <w:gridSpan w:val="21"/>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Amended and Restated</w:t>
              </w:r>
            </w:hyperlink>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January 11, 2021</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gridSpan w:val="11"/>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92">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1"/>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dated January 11, 2021, by</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20" w:type="dxa"/>
            <w:vAlign w:val="bottom"/>
            <w:gridSpan w:val="1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1"/>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and between the Registrant</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and Becker Hewes, M.D.</w:t>
              </w:r>
            </w:hyperlink>
          </w:p>
        </w:tc>
        <w:tc>
          <w:tcPr>
            <w:tcW w:w="1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123</w:t>
            </w:r>
          </w:p>
        </w:tc>
        <w:tc>
          <w:tcPr>
            <w:tcW w:w="12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25" w:name="page126"/>
    <w:bookmarkEnd w:id="125"/>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93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2060" w:type="dxa"/>
            <w:vAlign w:val="bottom"/>
            <w:gridSpan w:val="16"/>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First Amendment to</w:t>
              </w:r>
            </w:hyperlink>
          </w:p>
        </w:tc>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10.7</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23, 2021</w:t>
            </w:r>
          </w:p>
        </w:tc>
      </w:tr>
      <w:tr>
        <w:trPr>
          <w:trHeight w:val="20"/>
        </w:trPr>
        <w:tc>
          <w:tcPr>
            <w:tcW w:w="9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Amended and Restated</w:t>
              </w:r>
            </w:hyperlink>
          </w:p>
        </w:tc>
        <w:tc>
          <w:tcPr>
            <w:tcW w:w="38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93">
              <w:r>
                <w:rPr>
                  <w:rFonts w:ascii="Times New Roman" w:cs="Times New Roman" w:eastAsia="Times New Roman" w:hAnsi="Times New Roman"/>
                  <w:sz w:val="18"/>
                  <w:szCs w:val="18"/>
                  <w:color w:val="0000EE"/>
                  <w:w w:val="98"/>
                </w:rPr>
                <w:t>Employment Agreement,</w:t>
              </w:r>
            </w:hyperlink>
          </w:p>
        </w:tc>
        <w:tc>
          <w:tcPr>
            <w:tcW w:w="24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60" w:type="dxa"/>
            <w:vAlign w:val="bottom"/>
            <w:gridSpan w:val="16"/>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dated December 22, 2021,</w:t>
              </w:r>
            </w:hyperlink>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by and between the</w:t>
              </w:r>
            </w:hyperlink>
          </w:p>
        </w:tc>
        <w:tc>
          <w:tcPr>
            <w:tcW w:w="18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6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93">
              <w:r>
                <w:rPr>
                  <w:rFonts w:ascii="Times New Roman" w:cs="Times New Roman" w:eastAsia="Times New Roman" w:hAnsi="Times New Roman"/>
                  <w:sz w:val="18"/>
                  <w:szCs w:val="18"/>
                  <w:color w:val="0000EE"/>
                  <w:w w:val="97"/>
                </w:rPr>
                <w:t>Registrant and Lemuel</w:t>
              </w:r>
            </w:hyperlink>
          </w:p>
        </w:tc>
        <w:tc>
          <w:tcPr>
            <w:tcW w:w="420" w:type="dxa"/>
            <w:vAlign w:val="bottom"/>
            <w:gridSpan w:val="11"/>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60" w:type="dxa"/>
            <w:vAlign w:val="bottom"/>
            <w:gridSpan w:val="16"/>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Becker Hewes, M.D.</w:t>
              </w:r>
            </w:hyperlink>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2060" w:type="dxa"/>
            <w:vAlign w:val="bottom"/>
            <w:gridSpan w:val="16"/>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Second Amendment to</w:t>
              </w:r>
            </w:hyperlink>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10.6</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9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94">
              <w:r>
                <w:rPr>
                  <w:rFonts w:ascii="Times New Roman" w:cs="Times New Roman" w:eastAsia="Times New Roman" w:hAnsi="Times New Roman"/>
                  <w:sz w:val="18"/>
                  <w:szCs w:val="18"/>
                  <w:color w:val="0000EE"/>
                  <w:w w:val="98"/>
                </w:rPr>
                <w:t>Employment Agreement,</w:t>
              </w:r>
            </w:hyperlink>
          </w:p>
        </w:tc>
        <w:tc>
          <w:tcPr>
            <w:tcW w:w="24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dated September 23, 2022,</w:t>
              </w:r>
            </w:hyperlink>
          </w:p>
        </w:tc>
        <w:tc>
          <w:tcPr>
            <w:tcW w:w="1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60" w:type="dxa"/>
            <w:vAlign w:val="bottom"/>
            <w:gridSpan w:val="16"/>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by and between the</w:t>
              </w:r>
            </w:hyperlink>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6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94">
              <w:r>
                <w:rPr>
                  <w:rFonts w:ascii="Times New Roman" w:cs="Times New Roman" w:eastAsia="Times New Roman" w:hAnsi="Times New Roman"/>
                  <w:sz w:val="18"/>
                  <w:szCs w:val="18"/>
                  <w:color w:val="0000EE"/>
                  <w:w w:val="97"/>
                </w:rPr>
                <w:t>Registrant and Lemuel</w:t>
              </w:r>
            </w:hyperlink>
          </w:p>
        </w:tc>
        <w:tc>
          <w:tcPr>
            <w:tcW w:w="420" w:type="dxa"/>
            <w:vAlign w:val="bottom"/>
            <w:gridSpan w:val="11"/>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60" w:type="dxa"/>
            <w:vAlign w:val="bottom"/>
            <w:gridSpan w:val="16"/>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Becker Hewes, M.D.</w:t>
              </w:r>
            </w:hyperlink>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8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Employment Agreement,</w:t>
              </w:r>
            </w:hyperlink>
          </w:p>
        </w:tc>
        <w:tc>
          <w:tcPr>
            <w:tcW w:w="240" w:type="dxa"/>
            <w:vAlign w:val="bottom"/>
            <w:gridSpan w:val="7"/>
          </w:tcPr>
          <w:p>
            <w:pPr>
              <w:spacing w:after="0"/>
              <w:rPr>
                <w:sz w:val="21"/>
                <w:szCs w:val="21"/>
                <w:color w:val="auto"/>
              </w:rPr>
            </w:pPr>
          </w:p>
        </w:tc>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10-Q</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July 29, 2021</w:t>
            </w:r>
          </w:p>
        </w:tc>
      </w:tr>
      <w:tr>
        <w:trPr>
          <w:trHeight w:val="196"/>
        </w:trPr>
        <w:tc>
          <w:tcPr>
            <w:tcW w:w="960" w:type="dxa"/>
            <w:vAlign w:val="bottom"/>
          </w:tcPr>
          <w:p>
            <w:pPr>
              <w:spacing w:after="0"/>
              <w:rPr>
                <w:sz w:val="17"/>
                <w:szCs w:val="17"/>
                <w:color w:val="auto"/>
              </w:rPr>
            </w:pPr>
          </w:p>
        </w:tc>
        <w:tc>
          <w:tcPr>
            <w:tcW w:w="1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effective as of May 19,</w:t>
              </w:r>
            </w:hyperlink>
          </w:p>
        </w:tc>
        <w:tc>
          <w:tcPr>
            <w:tcW w:w="400" w:type="dxa"/>
            <w:vAlign w:val="bottom"/>
            <w:gridSpan w:val="10"/>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2021, by and between the</w:t>
              </w:r>
            </w:hyperlink>
          </w:p>
        </w:tc>
        <w:tc>
          <w:tcPr>
            <w:tcW w:w="22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Registrant and Percy H.</w:t>
              </w:r>
            </w:hyperlink>
          </w:p>
        </w:tc>
        <w:tc>
          <w:tcPr>
            <w:tcW w:w="34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60" w:type="dxa"/>
            <w:vAlign w:val="bottom"/>
            <w:gridSpan w:val="16"/>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Carter, M.D., Ph.D.</w:t>
              </w:r>
            </w:hyperlink>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2060" w:type="dxa"/>
            <w:vAlign w:val="bottom"/>
            <w:gridSpan w:val="16"/>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First Amendment to</w:t>
              </w:r>
            </w:hyperlink>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10.9</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23, 2021</w:t>
            </w:r>
          </w:p>
        </w:tc>
      </w:tr>
      <w:tr>
        <w:trPr>
          <w:trHeight w:val="20"/>
        </w:trPr>
        <w:tc>
          <w:tcPr>
            <w:tcW w:w="9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Employment Agreement,</w:t>
              </w:r>
            </w:hyperlink>
          </w:p>
        </w:tc>
        <w:tc>
          <w:tcPr>
            <w:tcW w:w="24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60" w:type="dxa"/>
            <w:vAlign w:val="bottom"/>
            <w:gridSpan w:val="16"/>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dated December 22, 2021,</w:t>
              </w:r>
            </w:hyperlink>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by and between the</w:t>
              </w:r>
            </w:hyperlink>
          </w:p>
        </w:tc>
        <w:tc>
          <w:tcPr>
            <w:tcW w:w="18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Registrant and Percy H.</w:t>
              </w:r>
            </w:hyperlink>
          </w:p>
        </w:tc>
        <w:tc>
          <w:tcPr>
            <w:tcW w:w="34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60" w:type="dxa"/>
            <w:vAlign w:val="bottom"/>
            <w:gridSpan w:val="16"/>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Carter, M.D., Ph.D.</w:t>
              </w:r>
            </w:hyperlink>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2060" w:type="dxa"/>
            <w:vAlign w:val="bottom"/>
            <w:gridSpan w:val="16"/>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Second Amendment to</w:t>
              </w:r>
            </w:hyperlink>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10.8</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96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97">
              <w:r>
                <w:rPr>
                  <w:rFonts w:ascii="Times New Roman" w:cs="Times New Roman" w:eastAsia="Times New Roman" w:hAnsi="Times New Roman"/>
                  <w:sz w:val="18"/>
                  <w:szCs w:val="18"/>
                  <w:color w:val="0000EE"/>
                  <w:w w:val="98"/>
                </w:rPr>
                <w:t>Employment Agreement,</w:t>
              </w:r>
            </w:hyperlink>
          </w:p>
        </w:tc>
        <w:tc>
          <w:tcPr>
            <w:tcW w:w="24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dated September 23, 2022,</w:t>
              </w:r>
            </w:hyperlink>
          </w:p>
        </w:tc>
        <w:tc>
          <w:tcPr>
            <w:tcW w:w="1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60" w:type="dxa"/>
            <w:vAlign w:val="bottom"/>
            <w:gridSpan w:val="16"/>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by and between the</w:t>
              </w:r>
            </w:hyperlink>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97">
              <w:r>
                <w:rPr>
                  <w:rFonts w:ascii="Times New Roman" w:cs="Times New Roman" w:eastAsia="Times New Roman" w:hAnsi="Times New Roman"/>
                  <w:sz w:val="18"/>
                  <w:szCs w:val="18"/>
                  <w:color w:val="0000EE"/>
                  <w:w w:val="98"/>
                </w:rPr>
                <w:t>Registrant and Percy H.</w:t>
              </w:r>
            </w:hyperlink>
          </w:p>
        </w:tc>
        <w:tc>
          <w:tcPr>
            <w:tcW w:w="34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60" w:type="dxa"/>
            <w:vAlign w:val="bottom"/>
            <w:gridSpan w:val="16"/>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Carter, M.D., Ph.D.</w:t>
              </w:r>
            </w:hyperlink>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6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Amended and Restated</w:t>
              </w:r>
            </w:hyperlink>
          </w:p>
        </w:tc>
        <w:tc>
          <w:tcPr>
            <w:tcW w:w="380" w:type="dxa"/>
            <w:vAlign w:val="bottom"/>
            <w:gridSpan w:val="9"/>
          </w:tcPr>
          <w:p>
            <w:pPr>
              <w:spacing w:after="0"/>
              <w:rPr>
                <w:sz w:val="21"/>
                <w:szCs w:val="21"/>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January 20, 2022</w:t>
            </w: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98">
              <w:r>
                <w:rPr>
                  <w:rFonts w:ascii="Times New Roman" w:cs="Times New Roman" w:eastAsia="Times New Roman" w:hAnsi="Times New Roman"/>
                  <w:sz w:val="18"/>
                  <w:szCs w:val="18"/>
                  <w:color w:val="0000EE"/>
                  <w:w w:val="98"/>
                </w:rPr>
                <w:t>Employment Agreement,</w:t>
              </w:r>
            </w:hyperlink>
          </w:p>
        </w:tc>
        <w:tc>
          <w:tcPr>
            <w:tcW w:w="24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60" w:type="dxa"/>
            <w:vAlign w:val="bottom"/>
            <w:gridSpan w:val="16"/>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dated January 19, 2022 and</w:t>
              </w:r>
            </w:hyperlink>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98">
              <w:r>
                <w:rPr>
                  <w:rFonts w:ascii="Times New Roman" w:cs="Times New Roman" w:eastAsia="Times New Roman" w:hAnsi="Times New Roman"/>
                  <w:sz w:val="18"/>
                  <w:szCs w:val="18"/>
                  <w:color w:val="0000EE"/>
                  <w:w w:val="98"/>
                </w:rPr>
                <w:t>effective as of April 4,</w:t>
              </w:r>
            </w:hyperlink>
          </w:p>
        </w:tc>
        <w:tc>
          <w:tcPr>
            <w:tcW w:w="320" w:type="dxa"/>
            <w:vAlign w:val="bottom"/>
            <w:tcBorders>
              <w:top w:val="single" w:sz="8" w:color="0000EE"/>
            </w:tcBorders>
            <w:gridSpan w:val="10"/>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98">
              <w:r>
                <w:rPr>
                  <w:rFonts w:ascii="Times New Roman" w:cs="Times New Roman" w:eastAsia="Times New Roman" w:hAnsi="Times New Roman"/>
                  <w:sz w:val="18"/>
                  <w:szCs w:val="18"/>
                  <w:color w:val="0000EE"/>
                  <w:w w:val="98"/>
                </w:rPr>
                <w:t>2022, by and between the</w:t>
              </w:r>
            </w:hyperlink>
          </w:p>
        </w:tc>
        <w:tc>
          <w:tcPr>
            <w:tcW w:w="22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Registrant and Philina Lee</w:t>
              </w:r>
            </w:hyperlink>
          </w:p>
        </w:tc>
        <w:tc>
          <w:tcPr>
            <w:tcW w:w="14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2060" w:type="dxa"/>
            <w:vAlign w:val="bottom"/>
            <w:gridSpan w:val="16"/>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First Amendment to</w:t>
              </w:r>
            </w:hyperlink>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9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Amended and Restated</w:t>
              </w:r>
            </w:hyperlink>
          </w:p>
        </w:tc>
        <w:tc>
          <w:tcPr>
            <w:tcW w:w="38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99">
              <w:r>
                <w:rPr>
                  <w:rFonts w:ascii="Times New Roman" w:cs="Times New Roman" w:eastAsia="Times New Roman" w:hAnsi="Times New Roman"/>
                  <w:sz w:val="18"/>
                  <w:szCs w:val="18"/>
                  <w:color w:val="0000EE"/>
                  <w:w w:val="98"/>
                </w:rPr>
                <w:t>Employment Agreement,</w:t>
              </w:r>
            </w:hyperlink>
          </w:p>
        </w:tc>
        <w:tc>
          <w:tcPr>
            <w:tcW w:w="24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dated September 23, 2022,</w:t>
              </w:r>
            </w:hyperlink>
          </w:p>
        </w:tc>
        <w:tc>
          <w:tcPr>
            <w:tcW w:w="1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60" w:type="dxa"/>
            <w:vAlign w:val="bottom"/>
            <w:gridSpan w:val="16"/>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by and between the</w:t>
              </w:r>
            </w:hyperlink>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Registrant and Philina Lee</w:t>
              </w:r>
            </w:hyperlink>
          </w:p>
        </w:tc>
        <w:tc>
          <w:tcPr>
            <w:tcW w:w="14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200">
              <w:r>
                <w:rPr>
                  <w:rFonts w:ascii="Times New Roman" w:cs="Times New Roman" w:eastAsia="Times New Roman" w:hAnsi="Times New Roman"/>
                  <w:sz w:val="18"/>
                  <w:szCs w:val="18"/>
                  <w:color w:val="0000EE"/>
                  <w:w w:val="98"/>
                </w:rPr>
                <w:t>Collaboration and License</w:t>
              </w:r>
            </w:hyperlink>
          </w:p>
        </w:tc>
        <w:tc>
          <w:tcPr>
            <w:tcW w:w="160" w:type="dxa"/>
            <w:vAlign w:val="bottom"/>
            <w:gridSpan w:val="4"/>
          </w:tcPr>
          <w:p>
            <w:pPr>
              <w:spacing w:after="0"/>
              <w:rPr>
                <w:sz w:val="21"/>
                <w:szCs w:val="21"/>
                <w:color w:val="auto"/>
              </w:rPr>
            </w:pPr>
          </w:p>
        </w:tc>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10-Q/A</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July 22, 2016</w:t>
            </w:r>
          </w:p>
        </w:tc>
      </w:tr>
      <w:tr>
        <w:trPr>
          <w:trHeight w:val="196"/>
        </w:trPr>
        <w:tc>
          <w:tcPr>
            <w:tcW w:w="960" w:type="dxa"/>
            <w:vAlign w:val="bottom"/>
          </w:tcPr>
          <w:p>
            <w:pPr>
              <w:spacing w:after="0"/>
              <w:rPr>
                <w:sz w:val="17"/>
                <w:szCs w:val="17"/>
                <w:color w:val="auto"/>
              </w:rPr>
            </w:pPr>
          </w:p>
        </w:tc>
        <w:tc>
          <w:tcPr>
            <w:tcW w:w="2060" w:type="dxa"/>
            <w:vAlign w:val="bottom"/>
            <w:gridSpan w:val="16"/>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Agreement, effective</w:t>
              </w:r>
            </w:hyperlink>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00">
              <w:r>
                <w:rPr>
                  <w:rFonts w:ascii="Times New Roman" w:cs="Times New Roman" w:eastAsia="Times New Roman" w:hAnsi="Times New Roman"/>
                  <w:sz w:val="18"/>
                  <w:szCs w:val="18"/>
                  <w:color w:val="0000EE"/>
                  <w:w w:val="98"/>
                </w:rPr>
                <w:t>March 14, 2016, by and</w:t>
              </w:r>
            </w:hyperlink>
          </w:p>
        </w:tc>
        <w:tc>
          <w:tcPr>
            <w:tcW w:w="34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pacing w:after="0" w:line="9"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200">
        <w:r>
          <w:rPr>
            <w:rFonts w:ascii="Times New Roman" w:cs="Times New Roman" w:eastAsia="Times New Roman" w:hAnsi="Times New Roman"/>
            <w:sz w:val="18"/>
            <w:szCs w:val="18"/>
            <w:u w:val="single" w:color="auto"/>
            <w:color w:val="0000EE"/>
          </w:rPr>
          <w:t>among F. Hoffmann-La</w:t>
        </w:r>
      </w:hyperlink>
    </w:p>
    <w:p>
      <w:pPr>
        <w:spacing w:after="0" w:line="27"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200">
        <w:r>
          <w:rPr>
            <w:rFonts w:ascii="Times New Roman" w:cs="Times New Roman" w:eastAsia="Times New Roman" w:hAnsi="Times New Roman"/>
            <w:sz w:val="18"/>
            <w:szCs w:val="18"/>
            <w:u w:val="single" w:color="auto"/>
            <w:color w:val="0000EE"/>
          </w:rPr>
          <w:t>Roche Ltd, Hoffmann-La</w:t>
        </w:r>
      </w:hyperlink>
    </w:p>
    <w:p>
      <w:pPr>
        <w:spacing w:after="0" w:line="9"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200">
        <w:r>
          <w:rPr>
            <w:rFonts w:ascii="Times New Roman" w:cs="Times New Roman" w:eastAsia="Times New Roman" w:hAnsi="Times New Roman"/>
            <w:sz w:val="18"/>
            <w:szCs w:val="18"/>
            <w:u w:val="single" w:color="auto"/>
            <w:color w:val="0000EE"/>
          </w:rPr>
          <w:t>Roche Inc. and the</w:t>
        </w:r>
      </w:hyperlink>
    </w:p>
    <w:p>
      <w:pPr>
        <w:spacing w:after="0" w:line="6"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200">
        <w:r>
          <w:rPr>
            <w:rFonts w:ascii="Times New Roman" w:cs="Times New Roman" w:eastAsia="Times New Roman" w:hAnsi="Times New Roman"/>
            <w:sz w:val="18"/>
            <w:szCs w:val="18"/>
            <w:u w:val="single" w:color="auto"/>
            <w:color w:val="0000EE"/>
          </w:rPr>
          <w:t>Registrant, as amended by</w:t>
        </w:r>
      </w:hyperlink>
    </w:p>
    <w:p>
      <w:pPr>
        <w:ind w:left="1020"/>
        <w:spacing w:after="0"/>
        <w:rPr>
          <w:rFonts w:ascii="Times New Roman" w:cs="Times New Roman" w:eastAsia="Times New Roman" w:hAnsi="Times New Roman"/>
          <w:sz w:val="18"/>
          <w:szCs w:val="18"/>
          <w:u w:val="single" w:color="auto"/>
          <w:color w:val="0000EE"/>
        </w:rPr>
      </w:pPr>
      <w:hyperlink r:id="rId200">
        <w:r>
          <w:rPr>
            <w:rFonts w:ascii="Times New Roman" w:cs="Times New Roman" w:eastAsia="Times New Roman" w:hAnsi="Times New Roman"/>
            <w:sz w:val="18"/>
            <w:szCs w:val="18"/>
            <w:u w:val="single" w:color="auto"/>
            <w:color w:val="0000EE"/>
          </w:rPr>
          <w:t>Amendment to</w:t>
        </w:r>
      </w:hyperlink>
    </w:p>
    <w:p>
      <w:pPr>
        <w:spacing w:after="0" w:line="7"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200">
        <w:r>
          <w:rPr>
            <w:rFonts w:ascii="Times New Roman" w:cs="Times New Roman" w:eastAsia="Times New Roman" w:hAnsi="Times New Roman"/>
            <w:sz w:val="18"/>
            <w:szCs w:val="18"/>
            <w:u w:val="single" w:color="auto"/>
            <w:color w:val="0000EE"/>
          </w:rPr>
          <w:t>Collaboration and License</w:t>
        </w:r>
      </w:hyperlink>
    </w:p>
    <w:p>
      <w:pPr>
        <w:spacing w:after="0" w:line="9"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200">
        <w:r>
          <w:rPr>
            <w:rFonts w:ascii="Times New Roman" w:cs="Times New Roman" w:eastAsia="Times New Roman" w:hAnsi="Times New Roman"/>
            <w:sz w:val="18"/>
            <w:szCs w:val="18"/>
            <w:u w:val="single" w:color="auto"/>
            <w:color w:val="0000EE"/>
          </w:rPr>
          <w:t>Agreement, effective April</w:t>
        </w:r>
      </w:hyperlink>
    </w:p>
    <w:p>
      <w:pPr>
        <w:spacing w:after="0" w:line="9"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200">
        <w:r>
          <w:rPr>
            <w:rFonts w:ascii="Times New Roman" w:cs="Times New Roman" w:eastAsia="Times New Roman" w:hAnsi="Times New Roman"/>
            <w:sz w:val="18"/>
            <w:szCs w:val="18"/>
            <w:u w:val="single" w:color="auto"/>
            <w:color w:val="0000EE"/>
          </w:rPr>
          <w:t>15, 2016</w:t>
        </w:r>
      </w:hyperlink>
    </w:p>
    <w:p>
      <w:pPr>
        <w:sectPr>
          <w:pgSz w:w="11900" w:h="16838" w:orient="portrait"/>
          <w:cols w:equalWidth="0" w:num="1">
            <w:col w:w="9019"/>
          </w:cols>
          <w:pgMar w:left="1440" w:top="499" w:right="1440" w:bottom="1440"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26" w:name="page127"/>
    <w:bookmarkEnd w:id="126"/>
    <w:tbl>
      <w:tblPr>
        <w:tblLayout w:type="fixed"/>
        <w:tblInd w:w="60" w:type="dxa"/>
        <w:tblCellMar>
          <w:top w:w="0" w:type="dxa"/>
          <w:left w:w="0" w:type="dxa"/>
          <w:bottom w:w="0" w:type="dxa"/>
          <w:right w:w="0" w:type="dxa"/>
        </w:tblCellMar>
      </w:tblPr>
      <w:tr>
        <w:trPr>
          <w:trHeight w:val="207"/>
        </w:trPr>
        <w:tc>
          <w:tcPr>
            <w:tcW w:w="30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93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10.55†</w:t>
            </w:r>
          </w:p>
        </w:tc>
        <w:tc>
          <w:tcPr>
            <w:tcW w:w="2120" w:type="dxa"/>
            <w:vAlign w:val="bottom"/>
            <w:gridSpan w:val="22"/>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Second Amendment to</w:t>
              </w:r>
            </w:hyperlink>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10-Q</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August 9, 2016</w:t>
            </w:r>
          </w:p>
        </w:tc>
      </w:tr>
      <w:tr>
        <w:trPr>
          <w:trHeight w:val="20"/>
        </w:trPr>
        <w:tc>
          <w:tcPr>
            <w:tcW w:w="9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9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Collaboration and License</w:t>
              </w:r>
            </w:hyperlink>
          </w:p>
        </w:tc>
        <w:tc>
          <w:tcPr>
            <w:tcW w:w="20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Agreement, effective April</w:t>
              </w:r>
            </w:hyperlink>
          </w:p>
        </w:tc>
        <w:tc>
          <w:tcPr>
            <w:tcW w:w="18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27, 2016, by and among F.</w:t>
              </w:r>
            </w:hyperlink>
          </w:p>
        </w:tc>
        <w:tc>
          <w:tcPr>
            <w:tcW w:w="18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Hoffmann-La Roche Ltd,</w:t>
              </w:r>
            </w:hyperlink>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Hoffmann-La Roche Inc.</w:t>
              </w:r>
            </w:hyperlink>
          </w:p>
        </w:tc>
        <w:tc>
          <w:tcPr>
            <w:tcW w:w="30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and the Registrant</w:t>
              </w:r>
            </w:hyperlink>
          </w:p>
        </w:tc>
        <w:tc>
          <w:tcPr>
            <w:tcW w:w="32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5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Third Amendment to</w:t>
              </w:r>
            </w:hyperlink>
          </w:p>
        </w:tc>
        <w:tc>
          <w:tcPr>
            <w:tcW w:w="580" w:type="dxa"/>
            <w:vAlign w:val="bottom"/>
            <w:gridSpan w:val="14"/>
          </w:tcPr>
          <w:p>
            <w:pPr>
              <w:spacing w:after="0"/>
              <w:rPr>
                <w:sz w:val="21"/>
                <w:szCs w:val="21"/>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10-Q</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November 10, 2016</w:t>
            </w:r>
          </w:p>
        </w:tc>
      </w:tr>
      <w:tr>
        <w:trPr>
          <w:trHeight w:val="196"/>
        </w:trPr>
        <w:tc>
          <w:tcPr>
            <w:tcW w:w="960" w:type="dxa"/>
            <w:vAlign w:val="bottom"/>
          </w:tcPr>
          <w:p>
            <w:pPr>
              <w:spacing w:after="0"/>
              <w:rPr>
                <w:sz w:val="17"/>
                <w:szCs w:val="17"/>
                <w:color w:val="auto"/>
              </w:rPr>
            </w:pPr>
          </w:p>
        </w:tc>
        <w:tc>
          <w:tcPr>
            <w:tcW w:w="1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Collaboration and License</w:t>
              </w:r>
            </w:hyperlink>
          </w:p>
        </w:tc>
        <w:tc>
          <w:tcPr>
            <w:tcW w:w="22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5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Agreement, effective</w:t>
              </w:r>
            </w:hyperlink>
          </w:p>
        </w:tc>
        <w:tc>
          <w:tcPr>
            <w:tcW w:w="600" w:type="dxa"/>
            <w:vAlign w:val="bottom"/>
            <w:gridSpan w:val="15"/>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August 4, 2016, by and</w:t>
              </w:r>
            </w:hyperlink>
          </w:p>
        </w:tc>
        <w:tc>
          <w:tcPr>
            <w:tcW w:w="44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r:id="rId203">
              <w:r>
                <w:rPr>
                  <w:rFonts w:ascii="Times New Roman" w:cs="Times New Roman" w:eastAsia="Times New Roman" w:hAnsi="Times New Roman"/>
                  <w:sz w:val="18"/>
                  <w:szCs w:val="18"/>
                  <w:color w:val="0000EE"/>
                  <w:w w:val="97"/>
                </w:rPr>
                <w:t>among F. Hoffmann-La</w:t>
              </w:r>
            </w:hyperlink>
          </w:p>
        </w:tc>
        <w:tc>
          <w:tcPr>
            <w:tcW w:w="420" w:type="dxa"/>
            <w:vAlign w:val="bottom"/>
            <w:gridSpan w:val="10"/>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Roche Ltd, Hoffmann-La</w:t>
              </w:r>
            </w:hyperlink>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Roche Inc. and the</w:t>
              </w:r>
            </w:hyperlink>
          </w:p>
        </w:tc>
        <w:tc>
          <w:tcPr>
            <w:tcW w:w="30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83"/>
        </w:trPr>
        <w:tc>
          <w:tcPr>
            <w:tcW w:w="960" w:type="dxa"/>
            <w:vAlign w:val="bottom"/>
          </w:tcPr>
          <w:p>
            <w:pPr>
              <w:spacing w:after="0"/>
              <w:rPr>
                <w:sz w:val="15"/>
                <w:szCs w:val="15"/>
                <w:color w:val="auto"/>
              </w:rPr>
            </w:pPr>
          </w:p>
        </w:tc>
        <w:tc>
          <w:tcPr>
            <w:tcW w:w="74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7"/>
              </w:rPr>
            </w:pPr>
            <w:hyperlink r:id="rId203">
              <w:r>
                <w:rPr>
                  <w:rFonts w:ascii="Times New Roman" w:cs="Times New Roman" w:eastAsia="Times New Roman" w:hAnsi="Times New Roman"/>
                  <w:sz w:val="18"/>
                  <w:szCs w:val="18"/>
                  <w:color w:val="0000EE"/>
                  <w:w w:val="97"/>
                </w:rPr>
                <w:t>Registrant</w:t>
              </w:r>
            </w:hyperlink>
          </w:p>
        </w:tc>
        <w:tc>
          <w:tcPr>
            <w:tcW w:w="600" w:type="dxa"/>
            <w:vAlign w:val="bottom"/>
            <w:tcBorders>
              <w:top w:val="single" w:sz="8" w:color="0000EE"/>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6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Fourth Amendment to</w:t>
              </w:r>
            </w:hyperlink>
          </w:p>
        </w:tc>
        <w:tc>
          <w:tcPr>
            <w:tcW w:w="480" w:type="dxa"/>
            <w:vAlign w:val="bottom"/>
            <w:gridSpan w:val="12"/>
          </w:tcPr>
          <w:p>
            <w:pPr>
              <w:spacing w:after="0"/>
              <w:rPr>
                <w:sz w:val="22"/>
                <w:szCs w:val="22"/>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10-K</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10.26</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196"/>
        </w:trPr>
        <w:tc>
          <w:tcPr>
            <w:tcW w:w="960" w:type="dxa"/>
            <w:vAlign w:val="bottom"/>
          </w:tcPr>
          <w:p>
            <w:pPr>
              <w:spacing w:after="0"/>
              <w:rPr>
                <w:sz w:val="17"/>
                <w:szCs w:val="17"/>
                <w:color w:val="auto"/>
              </w:rPr>
            </w:pPr>
          </w:p>
        </w:tc>
        <w:tc>
          <w:tcPr>
            <w:tcW w:w="1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04">
              <w:r>
                <w:rPr>
                  <w:rFonts w:ascii="Times New Roman" w:cs="Times New Roman" w:eastAsia="Times New Roman" w:hAnsi="Times New Roman"/>
                  <w:sz w:val="18"/>
                  <w:szCs w:val="18"/>
                  <w:color w:val="0000EE"/>
                  <w:w w:val="98"/>
                </w:rPr>
                <w:t>Collaboration and License</w:t>
              </w:r>
            </w:hyperlink>
          </w:p>
        </w:tc>
        <w:tc>
          <w:tcPr>
            <w:tcW w:w="22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5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204">
              <w:r>
                <w:rPr>
                  <w:rFonts w:ascii="Times New Roman" w:cs="Times New Roman" w:eastAsia="Times New Roman" w:hAnsi="Times New Roman"/>
                  <w:sz w:val="18"/>
                  <w:szCs w:val="18"/>
                  <w:color w:val="0000EE"/>
                  <w:w w:val="98"/>
                </w:rPr>
                <w:t>Agreement, effective</w:t>
              </w:r>
            </w:hyperlink>
          </w:p>
        </w:tc>
        <w:tc>
          <w:tcPr>
            <w:tcW w:w="600" w:type="dxa"/>
            <w:vAlign w:val="bottom"/>
            <w:gridSpan w:val="15"/>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February 25, 2019, by and</w:t>
              </w:r>
            </w:hyperlink>
          </w:p>
        </w:tc>
        <w:tc>
          <w:tcPr>
            <w:tcW w:w="18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r:id="rId204">
              <w:r>
                <w:rPr>
                  <w:rFonts w:ascii="Times New Roman" w:cs="Times New Roman" w:eastAsia="Times New Roman" w:hAnsi="Times New Roman"/>
                  <w:sz w:val="18"/>
                  <w:szCs w:val="18"/>
                  <w:color w:val="0000EE"/>
                  <w:w w:val="97"/>
                </w:rPr>
                <w:t>among F. Hoffmann-La</w:t>
              </w:r>
            </w:hyperlink>
          </w:p>
        </w:tc>
        <w:tc>
          <w:tcPr>
            <w:tcW w:w="420" w:type="dxa"/>
            <w:vAlign w:val="bottom"/>
            <w:gridSpan w:val="10"/>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Roche Ltd, Hoffmann-La</w:t>
              </w:r>
            </w:hyperlink>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Roche Inc. and the</w:t>
              </w:r>
            </w:hyperlink>
          </w:p>
        </w:tc>
        <w:tc>
          <w:tcPr>
            <w:tcW w:w="30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83"/>
        </w:trPr>
        <w:tc>
          <w:tcPr>
            <w:tcW w:w="960" w:type="dxa"/>
            <w:vAlign w:val="bottom"/>
          </w:tcPr>
          <w:p>
            <w:pPr>
              <w:spacing w:after="0"/>
              <w:rPr>
                <w:sz w:val="15"/>
                <w:szCs w:val="15"/>
                <w:color w:val="auto"/>
              </w:rPr>
            </w:pPr>
          </w:p>
        </w:tc>
        <w:tc>
          <w:tcPr>
            <w:tcW w:w="74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7"/>
              </w:rPr>
            </w:pPr>
            <w:hyperlink r:id="rId204">
              <w:r>
                <w:rPr>
                  <w:rFonts w:ascii="Times New Roman" w:cs="Times New Roman" w:eastAsia="Times New Roman" w:hAnsi="Times New Roman"/>
                  <w:sz w:val="18"/>
                  <w:szCs w:val="18"/>
                  <w:color w:val="0000EE"/>
                  <w:w w:val="97"/>
                </w:rPr>
                <w:t>Registrant</w:t>
              </w:r>
            </w:hyperlink>
          </w:p>
        </w:tc>
        <w:tc>
          <w:tcPr>
            <w:tcW w:w="600" w:type="dxa"/>
            <w:vAlign w:val="bottom"/>
            <w:tcBorders>
              <w:top w:val="single" w:sz="8" w:color="0000EE"/>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20" w:type="dxa"/>
            <w:vAlign w:val="bottom"/>
            <w:gridSpan w:val="4"/>
          </w:tcPr>
          <w:p>
            <w:pPr>
              <w:spacing w:after="0"/>
              <w:rPr>
                <w:sz w:val="15"/>
                <w:szCs w:val="15"/>
                <w:color w:val="auto"/>
              </w:rPr>
            </w:pPr>
          </w:p>
        </w:tc>
        <w:tc>
          <w:tcPr>
            <w:tcW w:w="160" w:type="dxa"/>
            <w:vAlign w:val="bottom"/>
            <w:gridSpan w:val="3"/>
          </w:tcPr>
          <w:p>
            <w:pPr>
              <w:spacing w:after="0"/>
              <w:rPr>
                <w:sz w:val="15"/>
                <w:szCs w:val="15"/>
                <w:color w:val="auto"/>
              </w:rPr>
            </w:pPr>
          </w:p>
        </w:tc>
        <w:tc>
          <w:tcPr>
            <w:tcW w:w="6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2120" w:type="dxa"/>
            <w:vAlign w:val="bottom"/>
            <w:gridSpan w:val="22"/>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Fifth Amendment to</w:t>
              </w:r>
            </w:hyperlink>
          </w:p>
        </w:tc>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July 3, 2019</w:t>
            </w:r>
          </w:p>
        </w:tc>
      </w:tr>
      <w:tr>
        <w:trPr>
          <w:trHeight w:val="20"/>
        </w:trPr>
        <w:tc>
          <w:tcPr>
            <w:tcW w:w="96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05">
              <w:r>
                <w:rPr>
                  <w:rFonts w:ascii="Times New Roman" w:cs="Times New Roman" w:eastAsia="Times New Roman" w:hAnsi="Times New Roman"/>
                  <w:sz w:val="18"/>
                  <w:szCs w:val="18"/>
                  <w:color w:val="0000EE"/>
                  <w:w w:val="98"/>
                </w:rPr>
                <w:t>Collaboration and License</w:t>
              </w:r>
            </w:hyperlink>
          </w:p>
        </w:tc>
        <w:tc>
          <w:tcPr>
            <w:tcW w:w="22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Agreement, effective June</w:t>
              </w:r>
            </w:hyperlink>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28, 2019, by and among F.</w:t>
              </w:r>
            </w:hyperlink>
          </w:p>
        </w:tc>
        <w:tc>
          <w:tcPr>
            <w:tcW w:w="18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Hoffmann-La Roche Ltd,</w:t>
              </w:r>
            </w:hyperlink>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Hoffmann-La Roche Inc.</w:t>
              </w:r>
            </w:hyperlink>
          </w:p>
        </w:tc>
        <w:tc>
          <w:tcPr>
            <w:tcW w:w="30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and the Registrant</w:t>
              </w:r>
            </w:hyperlink>
          </w:p>
        </w:tc>
        <w:tc>
          <w:tcPr>
            <w:tcW w:w="32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5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Sixth Amendment to</w:t>
              </w:r>
            </w:hyperlink>
          </w:p>
        </w:tc>
        <w:tc>
          <w:tcPr>
            <w:tcW w:w="620" w:type="dxa"/>
            <w:vAlign w:val="bottom"/>
            <w:gridSpan w:val="16"/>
          </w:tcPr>
          <w:p>
            <w:pPr>
              <w:spacing w:after="0"/>
              <w:rPr>
                <w:sz w:val="21"/>
                <w:szCs w:val="21"/>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10-Q</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November 5, 2019</w:t>
            </w:r>
          </w:p>
        </w:tc>
      </w:tr>
      <w:tr>
        <w:trPr>
          <w:trHeight w:val="196"/>
        </w:trPr>
        <w:tc>
          <w:tcPr>
            <w:tcW w:w="960" w:type="dxa"/>
            <w:vAlign w:val="bottom"/>
          </w:tcPr>
          <w:p>
            <w:pPr>
              <w:spacing w:after="0"/>
              <w:rPr>
                <w:sz w:val="17"/>
                <w:szCs w:val="17"/>
                <w:color w:val="auto"/>
              </w:rPr>
            </w:pPr>
          </w:p>
        </w:tc>
        <w:tc>
          <w:tcPr>
            <w:tcW w:w="1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Collaboration and License</w:t>
              </w:r>
            </w:hyperlink>
          </w:p>
        </w:tc>
        <w:tc>
          <w:tcPr>
            <w:tcW w:w="22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5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Agreement, effective</w:t>
              </w:r>
            </w:hyperlink>
          </w:p>
        </w:tc>
        <w:tc>
          <w:tcPr>
            <w:tcW w:w="600" w:type="dxa"/>
            <w:vAlign w:val="bottom"/>
            <w:gridSpan w:val="15"/>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November 1, 2019, by and</w:t>
              </w:r>
            </w:hyperlink>
          </w:p>
        </w:tc>
        <w:tc>
          <w:tcPr>
            <w:tcW w:w="18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r:id="rId206">
              <w:r>
                <w:rPr>
                  <w:rFonts w:ascii="Times New Roman" w:cs="Times New Roman" w:eastAsia="Times New Roman" w:hAnsi="Times New Roman"/>
                  <w:sz w:val="18"/>
                  <w:szCs w:val="18"/>
                  <w:color w:val="0000EE"/>
                  <w:w w:val="97"/>
                </w:rPr>
                <w:t>among F. Hoffmann-La</w:t>
              </w:r>
            </w:hyperlink>
          </w:p>
        </w:tc>
        <w:tc>
          <w:tcPr>
            <w:tcW w:w="420" w:type="dxa"/>
            <w:vAlign w:val="bottom"/>
            <w:gridSpan w:val="10"/>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Roche Ltd, Hoffmann-La</w:t>
              </w:r>
            </w:hyperlink>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Roche Inc. and the</w:t>
              </w:r>
            </w:hyperlink>
          </w:p>
        </w:tc>
        <w:tc>
          <w:tcPr>
            <w:tcW w:w="30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83"/>
        </w:trPr>
        <w:tc>
          <w:tcPr>
            <w:tcW w:w="960" w:type="dxa"/>
            <w:vAlign w:val="bottom"/>
          </w:tcPr>
          <w:p>
            <w:pPr>
              <w:spacing w:after="0"/>
              <w:rPr>
                <w:sz w:val="15"/>
                <w:szCs w:val="15"/>
                <w:color w:val="auto"/>
              </w:rPr>
            </w:pPr>
          </w:p>
        </w:tc>
        <w:tc>
          <w:tcPr>
            <w:tcW w:w="74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7"/>
              </w:rPr>
            </w:pPr>
            <w:hyperlink r:id="rId206">
              <w:r>
                <w:rPr>
                  <w:rFonts w:ascii="Times New Roman" w:cs="Times New Roman" w:eastAsia="Times New Roman" w:hAnsi="Times New Roman"/>
                  <w:sz w:val="18"/>
                  <w:szCs w:val="18"/>
                  <w:color w:val="0000EE"/>
                  <w:w w:val="97"/>
                </w:rPr>
                <w:t>Registrant</w:t>
              </w:r>
            </w:hyperlink>
          </w:p>
        </w:tc>
        <w:tc>
          <w:tcPr>
            <w:tcW w:w="600" w:type="dxa"/>
            <w:vAlign w:val="bottom"/>
            <w:tcBorders>
              <w:top w:val="single" w:sz="8" w:color="0000EE"/>
            </w:tcBorders>
            <w:gridSpan w:val="2"/>
          </w:tcPr>
          <w:p>
            <w:pPr>
              <w:spacing w:after="0"/>
              <w:rPr>
                <w:sz w:val="15"/>
                <w:szCs w:val="15"/>
                <w:color w:val="auto"/>
              </w:rPr>
            </w:pPr>
          </w:p>
        </w:tc>
        <w:tc>
          <w:tcPr>
            <w:tcW w:w="260" w:type="dxa"/>
            <w:vAlign w:val="bottom"/>
            <w:gridSpan w:val="5"/>
          </w:tcPr>
          <w:p>
            <w:pPr>
              <w:spacing w:after="0"/>
              <w:rPr>
                <w:sz w:val="15"/>
                <w:szCs w:val="15"/>
                <w:color w:val="auto"/>
              </w:rPr>
            </w:pPr>
          </w:p>
        </w:tc>
        <w:tc>
          <w:tcPr>
            <w:tcW w:w="120" w:type="dxa"/>
            <w:vAlign w:val="bottom"/>
            <w:gridSpan w:val="4"/>
          </w:tcPr>
          <w:p>
            <w:pPr>
              <w:spacing w:after="0"/>
              <w:rPr>
                <w:sz w:val="15"/>
                <w:szCs w:val="15"/>
                <w:color w:val="auto"/>
              </w:rPr>
            </w:pPr>
          </w:p>
        </w:tc>
        <w:tc>
          <w:tcPr>
            <w:tcW w:w="26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Seventh Amendment to</w:t>
              </w:r>
            </w:hyperlink>
          </w:p>
        </w:tc>
        <w:tc>
          <w:tcPr>
            <w:tcW w:w="400" w:type="dxa"/>
            <w:vAlign w:val="bottom"/>
            <w:gridSpan w:val="9"/>
          </w:tcPr>
          <w:p>
            <w:pPr>
              <w:spacing w:after="0"/>
              <w:rPr>
                <w:sz w:val="22"/>
                <w:szCs w:val="22"/>
                <w:color w:val="auto"/>
              </w:rPr>
            </w:pPr>
          </w:p>
        </w:tc>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20, 2019</w:t>
            </w:r>
          </w:p>
        </w:tc>
      </w:tr>
      <w:tr>
        <w:trPr>
          <w:trHeight w:val="196"/>
        </w:trPr>
        <w:tc>
          <w:tcPr>
            <w:tcW w:w="960" w:type="dxa"/>
            <w:vAlign w:val="bottom"/>
          </w:tcPr>
          <w:p>
            <w:pPr>
              <w:spacing w:after="0"/>
              <w:rPr>
                <w:sz w:val="17"/>
                <w:szCs w:val="17"/>
                <w:color w:val="auto"/>
              </w:rPr>
            </w:pPr>
          </w:p>
        </w:tc>
        <w:tc>
          <w:tcPr>
            <w:tcW w:w="1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07">
              <w:r>
                <w:rPr>
                  <w:rFonts w:ascii="Times New Roman" w:cs="Times New Roman" w:eastAsia="Times New Roman" w:hAnsi="Times New Roman"/>
                  <w:sz w:val="18"/>
                  <w:szCs w:val="18"/>
                  <w:color w:val="0000EE"/>
                  <w:w w:val="98"/>
                </w:rPr>
                <w:t>Collaboration and License</w:t>
              </w:r>
            </w:hyperlink>
          </w:p>
        </w:tc>
        <w:tc>
          <w:tcPr>
            <w:tcW w:w="22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5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207">
              <w:r>
                <w:rPr>
                  <w:rFonts w:ascii="Times New Roman" w:cs="Times New Roman" w:eastAsia="Times New Roman" w:hAnsi="Times New Roman"/>
                  <w:sz w:val="18"/>
                  <w:szCs w:val="18"/>
                  <w:color w:val="0000EE"/>
                  <w:w w:val="98"/>
                </w:rPr>
                <w:t>Agreement, effective</w:t>
              </w:r>
            </w:hyperlink>
          </w:p>
        </w:tc>
        <w:tc>
          <w:tcPr>
            <w:tcW w:w="600" w:type="dxa"/>
            <w:vAlign w:val="bottom"/>
            <w:gridSpan w:val="15"/>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December 17, 2019, by and</w:t>
              </w:r>
            </w:hyperlink>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r:id="rId207">
              <w:r>
                <w:rPr>
                  <w:rFonts w:ascii="Times New Roman" w:cs="Times New Roman" w:eastAsia="Times New Roman" w:hAnsi="Times New Roman"/>
                  <w:sz w:val="18"/>
                  <w:szCs w:val="18"/>
                  <w:color w:val="0000EE"/>
                  <w:w w:val="97"/>
                </w:rPr>
                <w:t>among F. Hoffmann-La</w:t>
              </w:r>
            </w:hyperlink>
          </w:p>
        </w:tc>
        <w:tc>
          <w:tcPr>
            <w:tcW w:w="280" w:type="dxa"/>
            <w:vAlign w:val="bottom"/>
            <w:tcBorders>
              <w:top w:val="single" w:sz="8" w:color="0000EE"/>
            </w:tcBorders>
            <w:gridSpan w:val="9"/>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Roche Ltd, Hoffmann-La</w:t>
              </w:r>
            </w:hyperlink>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Roche Inc. and the</w:t>
              </w:r>
            </w:hyperlink>
          </w:p>
        </w:tc>
        <w:tc>
          <w:tcPr>
            <w:tcW w:w="30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83"/>
        </w:trPr>
        <w:tc>
          <w:tcPr>
            <w:tcW w:w="960" w:type="dxa"/>
            <w:vAlign w:val="bottom"/>
          </w:tcPr>
          <w:p>
            <w:pPr>
              <w:spacing w:after="0"/>
              <w:rPr>
                <w:sz w:val="15"/>
                <w:szCs w:val="15"/>
                <w:color w:val="auto"/>
              </w:rPr>
            </w:pPr>
          </w:p>
        </w:tc>
        <w:tc>
          <w:tcPr>
            <w:tcW w:w="74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7"/>
              </w:rPr>
            </w:pPr>
            <w:hyperlink r:id="rId207">
              <w:r>
                <w:rPr>
                  <w:rFonts w:ascii="Times New Roman" w:cs="Times New Roman" w:eastAsia="Times New Roman" w:hAnsi="Times New Roman"/>
                  <w:sz w:val="18"/>
                  <w:szCs w:val="18"/>
                  <w:color w:val="0000EE"/>
                  <w:w w:val="97"/>
                </w:rPr>
                <w:t>Registrant</w:t>
              </w:r>
            </w:hyperlink>
          </w:p>
        </w:tc>
        <w:tc>
          <w:tcPr>
            <w:tcW w:w="600" w:type="dxa"/>
            <w:vAlign w:val="bottom"/>
            <w:tcBorders>
              <w:top w:val="single" w:sz="8" w:color="0000EE"/>
            </w:tcBorders>
            <w:gridSpan w:val="2"/>
          </w:tcPr>
          <w:p>
            <w:pPr>
              <w:spacing w:after="0"/>
              <w:rPr>
                <w:sz w:val="15"/>
                <w:szCs w:val="15"/>
                <w:color w:val="auto"/>
              </w:rPr>
            </w:pPr>
          </w:p>
        </w:tc>
        <w:tc>
          <w:tcPr>
            <w:tcW w:w="260" w:type="dxa"/>
            <w:vAlign w:val="bottom"/>
            <w:gridSpan w:val="5"/>
          </w:tcPr>
          <w:p>
            <w:pPr>
              <w:spacing w:after="0"/>
              <w:rPr>
                <w:sz w:val="15"/>
                <w:szCs w:val="15"/>
                <w:color w:val="auto"/>
              </w:rPr>
            </w:pPr>
          </w:p>
        </w:tc>
        <w:tc>
          <w:tcPr>
            <w:tcW w:w="520" w:type="dxa"/>
            <w:vAlign w:val="bottom"/>
            <w:gridSpan w:val="13"/>
          </w:tcPr>
          <w:p>
            <w:pPr>
              <w:spacing w:after="0"/>
              <w:rPr>
                <w:sz w:val="15"/>
                <w:szCs w:val="15"/>
                <w:color w:val="auto"/>
              </w:rPr>
            </w:pPr>
          </w:p>
        </w:tc>
        <w:tc>
          <w:tcPr>
            <w:tcW w:w="9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6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208">
              <w:r>
                <w:rPr>
                  <w:rFonts w:ascii="Times New Roman" w:cs="Times New Roman" w:eastAsia="Times New Roman" w:hAnsi="Times New Roman"/>
                  <w:sz w:val="18"/>
                  <w:szCs w:val="18"/>
                  <w:color w:val="0000EE"/>
                  <w:w w:val="98"/>
                </w:rPr>
                <w:t>Eighth Amendment to</w:t>
              </w:r>
            </w:hyperlink>
          </w:p>
        </w:tc>
        <w:tc>
          <w:tcPr>
            <w:tcW w:w="520" w:type="dxa"/>
            <w:vAlign w:val="bottom"/>
            <w:gridSpan w:val="13"/>
          </w:tcPr>
          <w:p>
            <w:pPr>
              <w:spacing w:after="0"/>
              <w:rPr>
                <w:sz w:val="22"/>
                <w:szCs w:val="22"/>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10-Q</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May 6, 2020</w:t>
            </w:r>
          </w:p>
        </w:tc>
      </w:tr>
      <w:tr>
        <w:trPr>
          <w:trHeight w:val="196"/>
        </w:trPr>
        <w:tc>
          <w:tcPr>
            <w:tcW w:w="960" w:type="dxa"/>
            <w:vAlign w:val="bottom"/>
          </w:tcPr>
          <w:p>
            <w:pPr>
              <w:spacing w:after="0"/>
              <w:rPr>
                <w:sz w:val="17"/>
                <w:szCs w:val="17"/>
                <w:color w:val="auto"/>
              </w:rPr>
            </w:pPr>
          </w:p>
        </w:tc>
        <w:tc>
          <w:tcPr>
            <w:tcW w:w="19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Collaboration and License</w:t>
              </w:r>
            </w:hyperlink>
          </w:p>
        </w:tc>
        <w:tc>
          <w:tcPr>
            <w:tcW w:w="20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208">
              <w:r>
                <w:rPr>
                  <w:rFonts w:ascii="Times New Roman" w:cs="Times New Roman" w:eastAsia="Times New Roman" w:hAnsi="Times New Roman"/>
                  <w:sz w:val="18"/>
                  <w:szCs w:val="18"/>
                  <w:color w:val="0000EE"/>
                  <w:w w:val="98"/>
                </w:rPr>
                <w:t>Agreement, effective April</w:t>
              </w:r>
            </w:hyperlink>
          </w:p>
        </w:tc>
        <w:tc>
          <w:tcPr>
            <w:tcW w:w="18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30, 2020, by and among F.</w:t>
              </w:r>
            </w:hyperlink>
          </w:p>
        </w:tc>
        <w:tc>
          <w:tcPr>
            <w:tcW w:w="18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Hoffmann-La Roche Ltd,</w:t>
              </w:r>
            </w:hyperlink>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Hoffmann-La Roche Inc.</w:t>
              </w:r>
            </w:hyperlink>
          </w:p>
        </w:tc>
        <w:tc>
          <w:tcPr>
            <w:tcW w:w="30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8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and the Registrant</w:t>
              </w:r>
            </w:hyperlink>
          </w:p>
        </w:tc>
        <w:tc>
          <w:tcPr>
            <w:tcW w:w="32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499" w:right="1440"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27" w:name="page128"/>
    <w:bookmarkEnd w:id="127"/>
    <w:tbl>
      <w:tblPr>
        <w:tblLayout w:type="fixed"/>
        <w:tblInd w:w="40" w:type="dxa"/>
        <w:tblCellMar>
          <w:top w:w="0" w:type="dxa"/>
          <w:left w:w="0" w:type="dxa"/>
          <w:bottom w:w="0" w:type="dxa"/>
          <w:right w:w="0" w:type="dxa"/>
        </w:tblCellMar>
      </w:tblPr>
      <w:tr>
        <w:trPr>
          <w:trHeight w:val="207"/>
        </w:trPr>
        <w:tc>
          <w:tcPr>
            <w:tcW w:w="310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939"/>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5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Ninth Amendment to</w:t>
              </w:r>
            </w:hyperlink>
          </w:p>
        </w:tc>
        <w:tc>
          <w:tcPr>
            <w:tcW w:w="580" w:type="dxa"/>
            <w:vAlign w:val="bottom"/>
            <w:gridSpan w:val="18"/>
          </w:tcPr>
          <w:p>
            <w:pPr>
              <w:spacing w:after="0"/>
              <w:rPr>
                <w:sz w:val="24"/>
                <w:szCs w:val="24"/>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210">
              <w:r>
                <w:rPr>
                  <w:rFonts w:ascii="Times New Roman" w:cs="Times New Roman" w:eastAsia="Times New Roman" w:hAnsi="Times New Roman"/>
                  <w:sz w:val="18"/>
                  <w:szCs w:val="18"/>
                  <w:color w:val="0000EE"/>
                  <w:w w:val="98"/>
                </w:rPr>
                <w:t>Collaboration and License</w:t>
              </w:r>
            </w:hyperlink>
          </w:p>
        </w:tc>
        <w:tc>
          <w:tcPr>
            <w:tcW w:w="22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2"/>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Agreement, effective</w:t>
              </w:r>
            </w:hyperlink>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210">
              <w:r>
                <w:rPr>
                  <w:rFonts w:ascii="Times New Roman" w:cs="Times New Roman" w:eastAsia="Times New Roman" w:hAnsi="Times New Roman"/>
                  <w:sz w:val="18"/>
                  <w:szCs w:val="18"/>
                  <w:color w:val="0000EE"/>
                  <w:w w:val="98"/>
                </w:rPr>
                <w:t>January 8, 2021, by and</w:t>
              </w:r>
            </w:hyperlink>
          </w:p>
        </w:tc>
        <w:tc>
          <w:tcPr>
            <w:tcW w:w="40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r:id="rId210">
              <w:r>
                <w:rPr>
                  <w:rFonts w:ascii="Times New Roman" w:cs="Times New Roman" w:eastAsia="Times New Roman" w:hAnsi="Times New Roman"/>
                  <w:sz w:val="18"/>
                  <w:szCs w:val="18"/>
                  <w:color w:val="0000EE"/>
                  <w:w w:val="97"/>
                </w:rPr>
                <w:t>among F. Hoffmann-La</w:t>
              </w:r>
            </w:hyperlink>
          </w:p>
        </w:tc>
        <w:tc>
          <w:tcPr>
            <w:tcW w:w="42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Roche Ltd, Hoffmann-La</w:t>
              </w:r>
            </w:hyperlink>
          </w:p>
        </w:tc>
        <w:tc>
          <w:tcPr>
            <w:tcW w:w="28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2"/>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Roche Inc. and the</w:t>
              </w:r>
            </w:hyperlink>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7"/>
              </w:rPr>
            </w:pPr>
            <w:hyperlink r:id="rId210">
              <w:r>
                <w:rPr>
                  <w:rFonts w:ascii="Times New Roman" w:cs="Times New Roman" w:eastAsia="Times New Roman" w:hAnsi="Times New Roman"/>
                  <w:sz w:val="18"/>
                  <w:szCs w:val="18"/>
                  <w:color w:val="0000EE"/>
                  <w:w w:val="97"/>
                </w:rPr>
                <w:t>Registrant</w:t>
              </w:r>
            </w:hyperlink>
          </w:p>
        </w:tc>
        <w:tc>
          <w:tcPr>
            <w:tcW w:w="600" w:type="dxa"/>
            <w:vAlign w:val="bottom"/>
            <w:tcBorders>
              <w:top w:val="single" w:sz="8" w:color="0000EE"/>
            </w:tcBorders>
            <w:gridSpan w:val="8"/>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2120" w:type="dxa"/>
            <w:vAlign w:val="bottom"/>
            <w:gridSpan w:val="32"/>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Tenth Amendment to</w:t>
              </w:r>
            </w:hyperlink>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10-Q</w:t>
            </w:r>
          </w:p>
        </w:tc>
        <w:tc>
          <w:tcPr>
            <w:tcW w:w="178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 2022</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Collaboration and License</w:t>
              </w:r>
            </w:hyperlink>
          </w:p>
        </w:tc>
        <w:tc>
          <w:tcPr>
            <w:tcW w:w="20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8"/>
              </w:rPr>
            </w:pPr>
            <w:hyperlink r:id="rId211">
              <w:r>
                <w:rPr>
                  <w:rFonts w:ascii="Times New Roman" w:cs="Times New Roman" w:eastAsia="Times New Roman" w:hAnsi="Times New Roman"/>
                  <w:sz w:val="18"/>
                  <w:szCs w:val="18"/>
                  <w:color w:val="0000EE"/>
                  <w:w w:val="98"/>
                </w:rPr>
                <w:t>Agreement, effective April</w:t>
              </w:r>
            </w:hyperlink>
          </w:p>
        </w:tc>
        <w:tc>
          <w:tcPr>
            <w:tcW w:w="1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r:id="rId211">
              <w:r>
                <w:rPr>
                  <w:rFonts w:ascii="Times New Roman" w:cs="Times New Roman" w:eastAsia="Times New Roman" w:hAnsi="Times New Roman"/>
                  <w:sz w:val="18"/>
                  <w:szCs w:val="18"/>
                  <w:color w:val="0000EE"/>
                  <w:w w:val="98"/>
                </w:rPr>
                <w:t>30, 2022, by and among F.</w:t>
              </w:r>
            </w:hyperlink>
          </w:p>
        </w:tc>
        <w:tc>
          <w:tcPr>
            <w:tcW w:w="20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Hoffmann-La Roche Ltd,</w:t>
              </w:r>
            </w:hyperlink>
          </w:p>
        </w:tc>
        <w:tc>
          <w:tcPr>
            <w:tcW w:w="28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2"/>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Hoffmann-La Roche Inc.</w:t>
              </w:r>
            </w:hyperlink>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and the Registrant</w:t>
              </w:r>
            </w:hyperlink>
          </w:p>
        </w:tc>
        <w:tc>
          <w:tcPr>
            <w:tcW w:w="480" w:type="dxa"/>
            <w:vAlign w:val="bottom"/>
            <w:tcBorders>
              <w:top w:val="single" w:sz="8" w:color="0000EE"/>
            </w:tcBorders>
            <w:gridSpan w:val="15"/>
          </w:tcPr>
          <w:p>
            <w:pPr>
              <w:spacing w:after="0"/>
              <w:rPr>
                <w:sz w:val="17"/>
                <w:szCs w:val="17"/>
                <w:color w:val="auto"/>
              </w:rPr>
            </w:pPr>
          </w:p>
        </w:tc>
        <w:tc>
          <w:tcPr>
            <w:tcW w:w="32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19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8"/>
              </w:rPr>
            </w:pPr>
            <w:hyperlink r:id="rId212">
              <w:r>
                <w:rPr>
                  <w:rFonts w:ascii="Times New Roman" w:cs="Times New Roman" w:eastAsia="Times New Roman" w:hAnsi="Times New Roman"/>
                  <w:sz w:val="18"/>
                  <w:szCs w:val="18"/>
                  <w:color w:val="0000EE"/>
                  <w:w w:val="98"/>
                </w:rPr>
                <w:t>License and Collaboration</w:t>
              </w:r>
            </w:hyperlink>
          </w:p>
        </w:tc>
        <w:tc>
          <w:tcPr>
            <w:tcW w:w="220" w:type="dxa"/>
            <w:vAlign w:val="bottom"/>
            <w:gridSpan w:val="5"/>
          </w:tcPr>
          <w:p>
            <w:pPr>
              <w:spacing w:after="0"/>
              <w:rPr>
                <w:sz w:val="21"/>
                <w:szCs w:val="21"/>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10-Q</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 2018</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Agreement, dated June 1,</w:t>
              </w:r>
            </w:hyperlink>
          </w:p>
        </w:tc>
        <w:tc>
          <w:tcPr>
            <w:tcW w:w="28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212">
              <w:r>
                <w:rPr>
                  <w:rFonts w:ascii="Times New Roman" w:cs="Times New Roman" w:eastAsia="Times New Roman" w:hAnsi="Times New Roman"/>
                  <w:sz w:val="18"/>
                  <w:szCs w:val="18"/>
                  <w:color w:val="0000EE"/>
                  <w:w w:val="98"/>
                </w:rPr>
                <w:t>2018, between the</w:t>
              </w:r>
            </w:hyperlink>
          </w:p>
        </w:tc>
        <w:tc>
          <w:tcPr>
            <w:tcW w:w="800" w:type="dxa"/>
            <w:vAlign w:val="bottom"/>
            <w:gridSpan w:val="23"/>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12">
              <w:r>
                <w:rPr>
                  <w:rFonts w:ascii="Times New Roman" w:cs="Times New Roman" w:eastAsia="Times New Roman" w:hAnsi="Times New Roman"/>
                  <w:sz w:val="18"/>
                  <w:szCs w:val="18"/>
                  <w:color w:val="0000EE"/>
                  <w:w w:val="98"/>
                </w:rPr>
                <w:t>Registrant and CStone</w:t>
              </w:r>
            </w:hyperlink>
          </w:p>
        </w:tc>
        <w:tc>
          <w:tcPr>
            <w:tcW w:w="50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212">
              <w:r>
                <w:rPr>
                  <w:rFonts w:ascii="Times New Roman" w:cs="Times New Roman" w:eastAsia="Times New Roman" w:hAnsi="Times New Roman"/>
                  <w:sz w:val="18"/>
                  <w:szCs w:val="18"/>
                  <w:color w:val="0000EE"/>
                  <w:w w:val="98"/>
                </w:rPr>
                <w:t>Pharmaceuticals</w:t>
              </w:r>
            </w:hyperlink>
          </w:p>
        </w:tc>
        <w:tc>
          <w:tcPr>
            <w:tcW w:w="940" w:type="dxa"/>
            <w:vAlign w:val="bottom"/>
            <w:gridSpan w:val="26"/>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2120" w:type="dxa"/>
            <w:vAlign w:val="bottom"/>
            <w:gridSpan w:val="32"/>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License Agreement,</w:t>
              </w:r>
            </w:hyperlink>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10-Q</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5, 2019</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effective October 15, 2019,</w:t>
              </w:r>
            </w:hyperlink>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2"/>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by and between the</w:t>
              </w:r>
            </w:hyperlink>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2"/>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Registrant and Clementia</w:t>
              </w:r>
            </w:hyperlink>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Pharmaceuticals, Inc.</w:t>
              </w:r>
            </w:hyperlink>
          </w:p>
        </w:tc>
        <w:tc>
          <w:tcPr>
            <w:tcW w:w="260" w:type="dxa"/>
            <w:vAlign w:val="bottom"/>
            <w:tcBorders>
              <w:top w:val="single" w:sz="8" w:color="0000EE"/>
            </w:tcBorders>
            <w:gridSpan w:val="10"/>
          </w:tcPr>
          <w:p>
            <w:pPr>
              <w:spacing w:after="0"/>
              <w:rPr>
                <w:sz w:val="17"/>
                <w:szCs w:val="17"/>
                <w:color w:val="auto"/>
              </w:rPr>
            </w:pPr>
          </w:p>
        </w:tc>
        <w:tc>
          <w:tcPr>
            <w:tcW w:w="30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19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Collaboration and License</w:t>
              </w:r>
            </w:hyperlink>
          </w:p>
        </w:tc>
        <w:tc>
          <w:tcPr>
            <w:tcW w:w="220" w:type="dxa"/>
            <w:vAlign w:val="bottom"/>
            <w:gridSpan w:val="5"/>
          </w:tcPr>
          <w:p>
            <w:pPr>
              <w:spacing w:after="0"/>
              <w:rPr>
                <w:sz w:val="22"/>
                <w:szCs w:val="22"/>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001-37359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10.54</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Agreement, dated</w:t>
              </w:r>
            </w:hyperlink>
          </w:p>
        </w:tc>
        <w:tc>
          <w:tcPr>
            <w:tcW w:w="840" w:type="dxa"/>
            <w:vAlign w:val="bottom"/>
            <w:gridSpan w:val="25"/>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November 8, 2021, by and</w:t>
              </w:r>
            </w:hyperlink>
          </w:p>
        </w:tc>
        <w:tc>
          <w:tcPr>
            <w:tcW w:w="20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between the Registrant and</w:t>
              </w:r>
            </w:hyperlink>
          </w:p>
        </w:tc>
        <w:tc>
          <w:tcPr>
            <w:tcW w:w="16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2"/>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Zai Lab (Shanghai) Co. Ltd</w:t>
              </w:r>
            </w:hyperlink>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10.67</w:t>
            </w:r>
          </w:p>
        </w:tc>
        <w:tc>
          <w:tcPr>
            <w:tcW w:w="1780" w:type="dxa"/>
            <w:vAlign w:val="bottom"/>
            <w:tcBorders>
              <w:top w:val="single" w:sz="8" w:color="0000EE"/>
              <w:bottom w:val="single" w:sz="8" w:color="0000EE"/>
            </w:tcBorders>
            <w:gridSpan w:val="23"/>
          </w:tcPr>
          <w:p>
            <w:pPr>
              <w:spacing w:after="0"/>
              <w:rPr>
                <w:rFonts w:ascii="Times New Roman" w:cs="Times New Roman" w:eastAsia="Times New Roman" w:hAnsi="Times New Roman"/>
                <w:sz w:val="18"/>
                <w:szCs w:val="18"/>
                <w:color w:val="0000EE"/>
                <w:w w:val="98"/>
              </w:rPr>
            </w:pPr>
            <w:hyperlink r:id="rId215">
              <w:r>
                <w:rPr>
                  <w:rFonts w:ascii="Times New Roman" w:cs="Times New Roman" w:eastAsia="Times New Roman" w:hAnsi="Times New Roman"/>
                  <w:sz w:val="18"/>
                  <w:szCs w:val="18"/>
                  <w:color w:val="0000EE"/>
                  <w:w w:val="98"/>
                </w:rPr>
                <w:t>Form of Indemnification</w:t>
              </w:r>
            </w:hyperlink>
          </w:p>
        </w:tc>
        <w:tc>
          <w:tcPr>
            <w:tcW w:w="200" w:type="dxa"/>
            <w:vAlign w:val="bottom"/>
            <w:tcBorders>
              <w:top w:val="single" w:sz="8" w:color="0000EE"/>
            </w:tcBorders>
            <w:gridSpan w:val="8"/>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333-202938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23, 2015</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215">
              <w:r>
                <w:rPr>
                  <w:rFonts w:ascii="Times New Roman" w:cs="Times New Roman" w:eastAsia="Times New Roman" w:hAnsi="Times New Roman"/>
                  <w:sz w:val="18"/>
                  <w:szCs w:val="18"/>
                  <w:color w:val="0000EE"/>
                  <w:w w:val="98"/>
                </w:rPr>
                <w:t>Agreement entered into</w:t>
              </w:r>
            </w:hyperlink>
          </w:p>
        </w:tc>
        <w:tc>
          <w:tcPr>
            <w:tcW w:w="42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2"/>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between the Registrant and</w:t>
              </w:r>
            </w:hyperlink>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r:id="rId215">
              <w:r>
                <w:rPr>
                  <w:rFonts w:ascii="Times New Roman" w:cs="Times New Roman" w:eastAsia="Times New Roman" w:hAnsi="Times New Roman"/>
                  <w:sz w:val="18"/>
                  <w:szCs w:val="18"/>
                  <w:color w:val="0000EE"/>
                  <w:w w:val="96"/>
                </w:rPr>
                <w:t>its directors</w:t>
              </w:r>
            </w:hyperlink>
          </w:p>
        </w:tc>
        <w:tc>
          <w:tcPr>
            <w:tcW w:w="1100" w:type="dxa"/>
            <w:vAlign w:val="bottom"/>
            <w:tcBorders>
              <w:top w:val="single" w:sz="8" w:color="0000EE"/>
            </w:tcBorders>
            <w:gridSpan w:val="25"/>
          </w:tcPr>
          <w:p>
            <w:pPr>
              <w:spacing w:after="0"/>
              <w:rPr>
                <w:sz w:val="17"/>
                <w:szCs w:val="17"/>
                <w:color w:val="auto"/>
              </w:rPr>
            </w:pPr>
          </w:p>
        </w:tc>
        <w:tc>
          <w:tcPr>
            <w:tcW w:w="1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10.68</w:t>
            </w:r>
          </w:p>
        </w:tc>
        <w:tc>
          <w:tcPr>
            <w:tcW w:w="17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216">
              <w:r>
                <w:rPr>
                  <w:rFonts w:ascii="Times New Roman" w:cs="Times New Roman" w:eastAsia="Times New Roman" w:hAnsi="Times New Roman"/>
                  <w:sz w:val="18"/>
                  <w:szCs w:val="18"/>
                  <w:color w:val="0000EE"/>
                  <w:w w:val="98"/>
                </w:rPr>
                <w:t>Form of Indemnification</w:t>
              </w:r>
            </w:hyperlink>
          </w:p>
        </w:tc>
        <w:tc>
          <w:tcPr>
            <w:tcW w:w="340" w:type="dxa"/>
            <w:vAlign w:val="bottom"/>
            <w:gridSpan w:val="9"/>
          </w:tcPr>
          <w:p>
            <w:pPr>
              <w:spacing w:after="0"/>
              <w:rPr>
                <w:sz w:val="22"/>
                <w:szCs w:val="22"/>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333-202938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23, 2015</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216">
              <w:r>
                <w:rPr>
                  <w:rFonts w:ascii="Times New Roman" w:cs="Times New Roman" w:eastAsia="Times New Roman" w:hAnsi="Times New Roman"/>
                  <w:sz w:val="18"/>
                  <w:szCs w:val="18"/>
                  <w:color w:val="0000EE"/>
                  <w:w w:val="98"/>
                </w:rPr>
                <w:t>Agreement entered into</w:t>
              </w:r>
            </w:hyperlink>
          </w:p>
        </w:tc>
        <w:tc>
          <w:tcPr>
            <w:tcW w:w="42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2"/>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between the Registrant and</w:t>
              </w:r>
            </w:hyperlink>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216">
              <w:r>
                <w:rPr>
                  <w:rFonts w:ascii="Times New Roman" w:cs="Times New Roman" w:eastAsia="Times New Roman" w:hAnsi="Times New Roman"/>
                  <w:sz w:val="18"/>
                  <w:szCs w:val="18"/>
                  <w:color w:val="0000EE"/>
                  <w:w w:val="96"/>
                </w:rPr>
                <w:t>its officers</w:t>
              </w:r>
            </w:hyperlink>
          </w:p>
        </w:tc>
        <w:tc>
          <w:tcPr>
            <w:tcW w:w="1180" w:type="dxa"/>
            <w:vAlign w:val="bottom"/>
            <w:tcBorders>
              <w:top w:val="single" w:sz="8" w:color="0000EE"/>
            </w:tcBorders>
            <w:gridSpan w:val="26"/>
          </w:tcPr>
          <w:p>
            <w:pPr>
              <w:spacing w:after="0"/>
              <w:rPr>
                <w:sz w:val="17"/>
                <w:szCs w:val="17"/>
                <w:color w:val="auto"/>
              </w:rPr>
            </w:pPr>
          </w:p>
        </w:tc>
        <w:tc>
          <w:tcPr>
            <w:tcW w:w="1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10.69#</w:t>
            </w:r>
          </w:p>
        </w:tc>
        <w:tc>
          <w:tcPr>
            <w:tcW w:w="16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217">
              <w:r>
                <w:rPr>
                  <w:rFonts w:ascii="Times New Roman" w:cs="Times New Roman" w:eastAsia="Times New Roman" w:hAnsi="Times New Roman"/>
                  <w:sz w:val="18"/>
                  <w:szCs w:val="18"/>
                  <w:color w:val="0000EE"/>
                  <w:w w:val="98"/>
                </w:rPr>
                <w:t>Senior Executive Cash</w:t>
              </w:r>
            </w:hyperlink>
          </w:p>
        </w:tc>
        <w:tc>
          <w:tcPr>
            <w:tcW w:w="480" w:type="dxa"/>
            <w:vAlign w:val="bottom"/>
            <w:gridSpan w:val="14"/>
          </w:tcPr>
          <w:p>
            <w:pPr>
              <w:spacing w:after="0"/>
              <w:rPr>
                <w:sz w:val="22"/>
                <w:szCs w:val="22"/>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11, 2016</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217">
              <w:r>
                <w:rPr>
                  <w:rFonts w:ascii="Times New Roman" w:cs="Times New Roman" w:eastAsia="Times New Roman" w:hAnsi="Times New Roman"/>
                  <w:sz w:val="18"/>
                  <w:szCs w:val="18"/>
                  <w:color w:val="0000EE"/>
                  <w:w w:val="98"/>
                </w:rPr>
                <w:t>Incentive Bonus Plan</w:t>
              </w:r>
            </w:hyperlink>
          </w:p>
        </w:tc>
        <w:tc>
          <w:tcPr>
            <w:tcW w:w="58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10.70</w:t>
            </w:r>
          </w:p>
        </w:tc>
        <w:tc>
          <w:tcPr>
            <w:tcW w:w="2120" w:type="dxa"/>
            <w:vAlign w:val="bottom"/>
            <w:gridSpan w:val="32"/>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Purchase and Sale</w:t>
              </w:r>
            </w:hyperlink>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10-Q</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2022</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2"/>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Agreement, dated as of</w:t>
              </w:r>
            </w:hyperlink>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218">
              <w:r>
                <w:rPr>
                  <w:rFonts w:ascii="Times New Roman" w:cs="Times New Roman" w:eastAsia="Times New Roman" w:hAnsi="Times New Roman"/>
                  <w:sz w:val="18"/>
                  <w:szCs w:val="18"/>
                  <w:color w:val="0000EE"/>
                  <w:w w:val="98"/>
                </w:rPr>
                <w:t>June 30, 2022, by and</w:t>
              </w:r>
            </w:hyperlink>
          </w:p>
        </w:tc>
        <w:tc>
          <w:tcPr>
            <w:tcW w:w="80" w:type="dxa"/>
            <w:vAlign w:val="bottom"/>
            <w:tcBorders>
              <w:top w:val="single" w:sz="8" w:color="0000EE"/>
            </w:tcBorders>
            <w:gridSpan w:val="3"/>
          </w:tcPr>
          <w:p>
            <w:pPr>
              <w:spacing w:after="0"/>
              <w:rPr>
                <w:sz w:val="17"/>
                <w:szCs w:val="17"/>
                <w:color w:val="auto"/>
              </w:rPr>
            </w:pPr>
          </w:p>
        </w:tc>
        <w:tc>
          <w:tcPr>
            <w:tcW w:w="460" w:type="dxa"/>
            <w:vAlign w:val="bottom"/>
            <w:gridSpan w:val="13"/>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2"/>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between the Registrant and</w:t>
              </w:r>
            </w:hyperlink>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218">
              <w:r>
                <w:rPr>
                  <w:rFonts w:ascii="Times New Roman" w:cs="Times New Roman" w:eastAsia="Times New Roman" w:hAnsi="Times New Roman"/>
                  <w:sz w:val="18"/>
                  <w:szCs w:val="18"/>
                  <w:color w:val="0000EE"/>
                  <w:w w:val="97"/>
                </w:rPr>
                <w:t>Royalty Pharma</w:t>
              </w:r>
            </w:hyperlink>
          </w:p>
        </w:tc>
        <w:tc>
          <w:tcPr>
            <w:tcW w:w="780" w:type="dxa"/>
            <w:vAlign w:val="bottom"/>
            <w:tcBorders>
              <w:top w:val="single" w:sz="8" w:color="0000EE"/>
            </w:tcBorders>
            <w:gridSpan w:val="24"/>
          </w:tcPr>
          <w:p>
            <w:pPr>
              <w:spacing w:after="0"/>
              <w:rPr>
                <w:sz w:val="17"/>
                <w:szCs w:val="17"/>
                <w:color w:val="auto"/>
              </w:rPr>
            </w:pPr>
          </w:p>
        </w:tc>
        <w:tc>
          <w:tcPr>
            <w:tcW w:w="1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2"/>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Investments 2019 ICAV</w:t>
              </w:r>
            </w:hyperlink>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56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80" w:type="dxa"/>
            <w:vAlign w:val="bottom"/>
          </w:tcPr>
          <w:p>
            <w:pPr>
              <w:jc w:val="right"/>
              <w:ind w:right="1051"/>
              <w:spacing w:after="0"/>
              <w:rPr>
                <w:sz w:val="20"/>
                <w:szCs w:val="20"/>
                <w:color w:val="auto"/>
              </w:rPr>
            </w:pPr>
            <w:r>
              <w:rPr>
                <w:rFonts w:ascii="Times New Roman" w:cs="Times New Roman" w:eastAsia="Times New Roman" w:hAnsi="Times New Roman"/>
                <w:sz w:val="18"/>
                <w:szCs w:val="18"/>
                <w:color w:val="auto"/>
              </w:rPr>
              <w:t>126</w:t>
            </w:r>
          </w:p>
        </w:tc>
        <w:tc>
          <w:tcPr>
            <w:tcW w:w="11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28" w:name="page129"/>
    <w:bookmarkEnd w:id="12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0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93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2100" w:type="dxa"/>
            <w:vAlign w:val="bottom"/>
            <w:gridSpan w:val="32"/>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Purchase and Sale</w:t>
              </w:r>
            </w:hyperlink>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2022</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gridSpan w:val="3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Agreement, dated as of</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June 30, 2022, by and</w:t>
              </w:r>
            </w:hyperlink>
          </w:p>
        </w:tc>
        <w:tc>
          <w:tcPr>
            <w:tcW w:w="80" w:type="dxa"/>
            <w:vAlign w:val="bottom"/>
            <w:tcBorders>
              <w:top w:val="single" w:sz="8" w:color="0000EE"/>
            </w:tcBorders>
            <w:gridSpan w:val="4"/>
          </w:tcPr>
          <w:p>
            <w:pPr>
              <w:spacing w:after="0"/>
              <w:rPr>
                <w:sz w:val="17"/>
                <w:szCs w:val="17"/>
                <w:color w:val="auto"/>
              </w:rPr>
            </w:pPr>
          </w:p>
        </w:tc>
        <w:tc>
          <w:tcPr>
            <w:tcW w:w="440" w:type="dxa"/>
            <w:vAlign w:val="bottom"/>
            <w:gridSpan w:val="14"/>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among the Registrant</w:t>
              </w:r>
            </w:hyperlink>
          </w:p>
        </w:tc>
        <w:tc>
          <w:tcPr>
            <w:tcW w:w="540" w:type="dxa"/>
            <w:vAlign w:val="bottom"/>
            <w:gridSpan w:val="19"/>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gridSpan w:val="3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Garnich Adjacent</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Investments S.a.r.l. the</w:t>
              </w:r>
            </w:hyperlink>
          </w:p>
        </w:tc>
        <w:tc>
          <w:tcPr>
            <w:tcW w:w="460" w:type="dxa"/>
            <w:vAlign w:val="bottom"/>
            <w:gridSpan w:val="15"/>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gridSpan w:val="3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various other purchasers</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19"/>
          </w:tcPr>
          <w:p>
            <w:pPr>
              <w:spacing w:after="0" w:line="182" w:lineRule="exact"/>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from time to time party</w:t>
              </w:r>
            </w:hyperlink>
          </w:p>
        </w:tc>
        <w:tc>
          <w:tcPr>
            <w:tcW w:w="8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thereto and Garnish</w:t>
              </w:r>
            </w:hyperlink>
          </w:p>
        </w:tc>
        <w:tc>
          <w:tcPr>
            <w:tcW w:w="680" w:type="dxa"/>
            <w:vAlign w:val="bottom"/>
            <w:gridSpan w:val="24"/>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Adjacent Investments</w:t>
              </w:r>
            </w:hyperlink>
          </w:p>
        </w:tc>
        <w:tc>
          <w:tcPr>
            <w:tcW w:w="540" w:type="dxa"/>
            <w:vAlign w:val="bottom"/>
            <w:gridSpan w:val="19"/>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S.a.r.l, as Purchaser’s</w:t>
              </w:r>
            </w:hyperlink>
          </w:p>
        </w:tc>
        <w:tc>
          <w:tcPr>
            <w:tcW w:w="560" w:type="dxa"/>
            <w:vAlign w:val="bottom"/>
            <w:gridSpan w:val="20"/>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gridSpan w:val="3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Representative</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98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6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10.72</w:t>
            </w:r>
          </w:p>
        </w:tc>
        <w:tc>
          <w:tcPr>
            <w:tcW w:w="16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Financing Agreement,</w:t>
              </w:r>
            </w:hyperlink>
          </w:p>
        </w:tc>
        <w:tc>
          <w:tcPr>
            <w:tcW w:w="480" w:type="dxa"/>
            <w:vAlign w:val="bottom"/>
            <w:gridSpan w:val="16"/>
          </w:tcPr>
          <w:p>
            <w:pPr>
              <w:spacing w:after="0"/>
              <w:rPr>
                <w:sz w:val="22"/>
                <w:szCs w:val="22"/>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2022</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dated as of June 30, 2022,</w:t>
              </w:r>
            </w:hyperlink>
          </w:p>
        </w:tc>
        <w:tc>
          <w:tcPr>
            <w:tcW w:w="22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220">
              <w:r>
                <w:rPr>
                  <w:rFonts w:ascii="Times New Roman" w:cs="Times New Roman" w:eastAsia="Times New Roman" w:hAnsi="Times New Roman"/>
                  <w:sz w:val="18"/>
                  <w:szCs w:val="18"/>
                  <w:color w:val="0000EE"/>
                  <w:w w:val="98"/>
                </w:rPr>
                <w:t>by and among the</w:t>
              </w:r>
            </w:hyperlink>
          </w:p>
        </w:tc>
        <w:tc>
          <w:tcPr>
            <w:tcW w:w="800" w:type="dxa"/>
            <w:vAlign w:val="bottom"/>
            <w:gridSpan w:val="25"/>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gridSpan w:val="32"/>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Registrant, as Borrower,</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220">
              <w:r>
                <w:rPr>
                  <w:rFonts w:ascii="Times New Roman" w:cs="Times New Roman" w:eastAsia="Times New Roman" w:hAnsi="Times New Roman"/>
                  <w:sz w:val="18"/>
                  <w:szCs w:val="18"/>
                  <w:color w:val="0000EE"/>
                  <w:w w:val="98"/>
                </w:rPr>
                <w:t>certain subsidiaries of the</w:t>
              </w:r>
            </w:hyperlink>
          </w:p>
        </w:tc>
        <w:tc>
          <w:tcPr>
            <w:tcW w:w="26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gridSpan w:val="32"/>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Registrant, as Guarantors,</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gridSpan w:val="32"/>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various lenders from time-</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22"/>
          </w:tcPr>
          <w:p>
            <w:pPr>
              <w:spacing w:after="0" w:line="182" w:lineRule="exact"/>
              <w:rPr>
                <w:rFonts w:ascii="Times New Roman" w:cs="Times New Roman" w:eastAsia="Times New Roman" w:hAnsi="Times New Roman"/>
                <w:sz w:val="18"/>
                <w:szCs w:val="18"/>
                <w:color w:val="0000EE"/>
                <w:w w:val="98"/>
              </w:rPr>
            </w:pPr>
            <w:hyperlink r:id="rId220">
              <w:r>
                <w:rPr>
                  <w:rFonts w:ascii="Times New Roman" w:cs="Times New Roman" w:eastAsia="Times New Roman" w:hAnsi="Times New Roman"/>
                  <w:sz w:val="18"/>
                  <w:szCs w:val="18"/>
                  <w:color w:val="0000EE"/>
                  <w:w w:val="98"/>
                </w:rPr>
                <w:t>to-time party thereto and</w:t>
              </w:r>
            </w:hyperlink>
          </w:p>
        </w:tc>
        <w:tc>
          <w:tcPr>
            <w:tcW w:w="14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r:id="rId220">
              <w:r>
                <w:rPr>
                  <w:rFonts w:ascii="Times New Roman" w:cs="Times New Roman" w:eastAsia="Times New Roman" w:hAnsi="Times New Roman"/>
                  <w:sz w:val="18"/>
                  <w:szCs w:val="18"/>
                  <w:color w:val="0000EE"/>
                  <w:w w:val="97"/>
                </w:rPr>
                <w:t>Tao Talents, LLC, as</w:t>
              </w:r>
            </w:hyperlink>
          </w:p>
        </w:tc>
        <w:tc>
          <w:tcPr>
            <w:tcW w:w="600" w:type="dxa"/>
            <w:vAlign w:val="bottom"/>
            <w:gridSpan w:val="22"/>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220">
              <w:r>
                <w:rPr>
                  <w:rFonts w:ascii="Times New Roman" w:cs="Times New Roman" w:eastAsia="Times New Roman" w:hAnsi="Times New Roman"/>
                  <w:sz w:val="18"/>
                  <w:szCs w:val="18"/>
                  <w:color w:val="0000EE"/>
                  <w:w w:val="98"/>
                </w:rPr>
                <w:t>Administrative Agent for</w:t>
              </w:r>
            </w:hyperlink>
          </w:p>
        </w:tc>
        <w:tc>
          <w:tcPr>
            <w:tcW w:w="28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220">
              <w:r>
                <w:rPr>
                  <w:rFonts w:ascii="Times New Roman" w:cs="Times New Roman" w:eastAsia="Times New Roman" w:hAnsi="Times New Roman"/>
                  <w:sz w:val="18"/>
                  <w:szCs w:val="18"/>
                  <w:color w:val="0000EE"/>
                  <w:w w:val="96"/>
                </w:rPr>
                <w:t>the lenders</w:t>
              </w:r>
            </w:hyperlink>
          </w:p>
        </w:tc>
        <w:tc>
          <w:tcPr>
            <w:tcW w:w="1320" w:type="dxa"/>
            <w:vAlign w:val="bottom"/>
            <w:gridSpan w:val="29"/>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10.73#</w:t>
            </w:r>
          </w:p>
        </w:tc>
        <w:tc>
          <w:tcPr>
            <w:tcW w:w="2100" w:type="dxa"/>
            <w:vAlign w:val="bottom"/>
            <w:gridSpan w:val="32"/>
          </w:tcPr>
          <w:p>
            <w:pPr>
              <w:spacing w:after="0"/>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Amended and Restated</w:t>
              </w:r>
            </w:hyperlink>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27, 2022</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221">
              <w:r>
                <w:rPr>
                  <w:rFonts w:ascii="Times New Roman" w:cs="Times New Roman" w:eastAsia="Times New Roman" w:hAnsi="Times New Roman"/>
                  <w:sz w:val="18"/>
                  <w:szCs w:val="18"/>
                  <w:color w:val="0000EE"/>
                  <w:w w:val="98"/>
                </w:rPr>
                <w:t>2020 Inducement Plan</w:t>
              </w:r>
            </w:hyperlink>
          </w:p>
        </w:tc>
        <w:tc>
          <w:tcPr>
            <w:tcW w:w="40" w:type="dxa"/>
            <w:vAlign w:val="bottom"/>
            <w:tcBorders>
              <w:top w:val="single" w:sz="8" w:color="0000EE"/>
            </w:tcBorders>
            <w:gridSpan w:val="2"/>
          </w:tcPr>
          <w:p>
            <w:pPr>
              <w:spacing w:after="0"/>
              <w:rPr>
                <w:sz w:val="17"/>
                <w:szCs w:val="17"/>
                <w:color w:val="auto"/>
              </w:rPr>
            </w:pPr>
          </w:p>
        </w:tc>
        <w:tc>
          <w:tcPr>
            <w:tcW w:w="440" w:type="dxa"/>
            <w:vAlign w:val="bottom"/>
            <w:gridSpan w:val="14"/>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10.74#</w:t>
            </w:r>
          </w:p>
        </w:tc>
        <w:tc>
          <w:tcPr>
            <w:tcW w:w="15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222">
              <w:r>
                <w:rPr>
                  <w:rFonts w:ascii="Times New Roman" w:cs="Times New Roman" w:eastAsia="Times New Roman" w:hAnsi="Times New Roman"/>
                  <w:sz w:val="18"/>
                  <w:szCs w:val="18"/>
                  <w:color w:val="0000EE"/>
                  <w:w w:val="98"/>
                </w:rPr>
                <w:t>Non-Qualified Stock</w:t>
              </w:r>
            </w:hyperlink>
          </w:p>
        </w:tc>
        <w:tc>
          <w:tcPr>
            <w:tcW w:w="600" w:type="dxa"/>
            <w:vAlign w:val="bottom"/>
            <w:gridSpan w:val="22"/>
          </w:tcPr>
          <w:p>
            <w:pPr>
              <w:spacing w:after="0"/>
              <w:rPr>
                <w:sz w:val="22"/>
                <w:szCs w:val="22"/>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10.76</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222">
              <w:r>
                <w:rPr>
                  <w:rFonts w:ascii="Times New Roman" w:cs="Times New Roman" w:eastAsia="Times New Roman" w:hAnsi="Times New Roman"/>
                  <w:sz w:val="18"/>
                  <w:szCs w:val="18"/>
                  <w:color w:val="0000EE"/>
                  <w:w w:val="98"/>
                </w:rPr>
                <w:t>Option for Employees</w:t>
              </w:r>
            </w:hyperlink>
          </w:p>
        </w:tc>
        <w:tc>
          <w:tcPr>
            <w:tcW w:w="500" w:type="dxa"/>
            <w:vAlign w:val="bottom"/>
            <w:gridSpan w:val="17"/>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gridSpan w:val="32"/>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under the 2015 Stock</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r:id="rId222">
              <w:r>
                <w:rPr>
                  <w:rFonts w:ascii="Times New Roman" w:cs="Times New Roman" w:eastAsia="Times New Roman" w:hAnsi="Times New Roman"/>
                  <w:sz w:val="18"/>
                  <w:szCs w:val="18"/>
                  <w:color w:val="0000EE"/>
                  <w:w w:val="98"/>
                </w:rPr>
                <w:t>Option and Incentive Plan</w:t>
              </w:r>
            </w:hyperlink>
          </w:p>
        </w:tc>
        <w:tc>
          <w:tcPr>
            <w:tcW w:w="22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222">
              <w:r>
                <w:rPr>
                  <w:rFonts w:ascii="Times New Roman" w:cs="Times New Roman" w:eastAsia="Times New Roman" w:hAnsi="Times New Roman"/>
                  <w:sz w:val="18"/>
                  <w:szCs w:val="18"/>
                  <w:color w:val="0000EE"/>
                  <w:w w:val="97"/>
                </w:rPr>
                <w:t>(annual award)</w:t>
              </w:r>
            </w:hyperlink>
          </w:p>
        </w:tc>
        <w:tc>
          <w:tcPr>
            <w:tcW w:w="1020" w:type="dxa"/>
            <w:vAlign w:val="bottom"/>
            <w:gridSpan w:val="27"/>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10.75#</w:t>
            </w:r>
          </w:p>
        </w:tc>
        <w:tc>
          <w:tcPr>
            <w:tcW w:w="15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223">
              <w:r>
                <w:rPr>
                  <w:rFonts w:ascii="Times New Roman" w:cs="Times New Roman" w:eastAsia="Times New Roman" w:hAnsi="Times New Roman"/>
                  <w:sz w:val="18"/>
                  <w:szCs w:val="18"/>
                  <w:color w:val="0000EE"/>
                  <w:w w:val="98"/>
                </w:rPr>
                <w:t>Non-Qualified Stock</w:t>
              </w:r>
            </w:hyperlink>
          </w:p>
        </w:tc>
        <w:tc>
          <w:tcPr>
            <w:tcW w:w="600" w:type="dxa"/>
            <w:vAlign w:val="bottom"/>
            <w:gridSpan w:val="22"/>
          </w:tcPr>
          <w:p>
            <w:pPr>
              <w:spacing w:after="0"/>
              <w:rPr>
                <w:sz w:val="22"/>
                <w:szCs w:val="22"/>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10.77</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223">
              <w:r>
                <w:rPr>
                  <w:rFonts w:ascii="Times New Roman" w:cs="Times New Roman" w:eastAsia="Times New Roman" w:hAnsi="Times New Roman"/>
                  <w:sz w:val="18"/>
                  <w:szCs w:val="18"/>
                  <w:color w:val="0000EE"/>
                  <w:w w:val="98"/>
                </w:rPr>
                <w:t>Option for Employees</w:t>
              </w:r>
            </w:hyperlink>
          </w:p>
        </w:tc>
        <w:tc>
          <w:tcPr>
            <w:tcW w:w="500" w:type="dxa"/>
            <w:vAlign w:val="bottom"/>
            <w:gridSpan w:val="17"/>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gridSpan w:val="32"/>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under the 2015 Stock</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r:id="rId223">
              <w:r>
                <w:rPr>
                  <w:rFonts w:ascii="Times New Roman" w:cs="Times New Roman" w:eastAsia="Times New Roman" w:hAnsi="Times New Roman"/>
                  <w:sz w:val="18"/>
                  <w:szCs w:val="18"/>
                  <w:color w:val="0000EE"/>
                  <w:w w:val="98"/>
                </w:rPr>
                <w:t>Option and Incentive Plan</w:t>
              </w:r>
            </w:hyperlink>
          </w:p>
        </w:tc>
        <w:tc>
          <w:tcPr>
            <w:tcW w:w="22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(non-U.S. new hire award)</w:t>
              </w:r>
            </w:hyperlink>
          </w:p>
        </w:tc>
        <w:tc>
          <w:tcPr>
            <w:tcW w:w="1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10.76#</w:t>
            </w:r>
          </w:p>
        </w:tc>
        <w:tc>
          <w:tcPr>
            <w:tcW w:w="15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224">
              <w:r>
                <w:rPr>
                  <w:rFonts w:ascii="Times New Roman" w:cs="Times New Roman" w:eastAsia="Times New Roman" w:hAnsi="Times New Roman"/>
                  <w:sz w:val="18"/>
                  <w:szCs w:val="18"/>
                  <w:color w:val="0000EE"/>
                  <w:w w:val="98"/>
                </w:rPr>
                <w:t>Non-Qualified Stock</w:t>
              </w:r>
            </w:hyperlink>
          </w:p>
        </w:tc>
        <w:tc>
          <w:tcPr>
            <w:tcW w:w="600" w:type="dxa"/>
            <w:vAlign w:val="bottom"/>
            <w:gridSpan w:val="22"/>
          </w:tcPr>
          <w:p>
            <w:pPr>
              <w:spacing w:after="0"/>
              <w:rPr>
                <w:sz w:val="22"/>
                <w:szCs w:val="22"/>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10.78</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224">
              <w:r>
                <w:rPr>
                  <w:rFonts w:ascii="Times New Roman" w:cs="Times New Roman" w:eastAsia="Times New Roman" w:hAnsi="Times New Roman"/>
                  <w:sz w:val="18"/>
                  <w:szCs w:val="18"/>
                  <w:color w:val="0000EE"/>
                  <w:w w:val="98"/>
                </w:rPr>
                <w:t>Option for Non-Employee</w:t>
              </w:r>
            </w:hyperlink>
          </w:p>
        </w:tc>
        <w:tc>
          <w:tcPr>
            <w:tcW w:w="20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gridSpan w:val="32"/>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Directors under the 2015</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160" w:type="dxa"/>
            <w:vAlign w:val="bottom"/>
            <w:gridSpan w:val="6"/>
            <w:shd w:val="clear" w:color="auto" w:fill="0000EE"/>
          </w:tcPr>
          <w:p>
            <w:pPr>
              <w:spacing w:after="0" w:line="20" w:lineRule="exact"/>
              <w:rPr>
                <w:sz w:val="1"/>
                <w:szCs w:val="1"/>
                <w:color w:val="auto"/>
              </w:rPr>
            </w:pPr>
          </w:p>
        </w:tc>
        <w:tc>
          <w:tcPr>
            <w:tcW w:w="180" w:type="dxa"/>
            <w:vAlign w:val="bottom"/>
            <w:gridSpan w:val="7"/>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Stock Option and Incentive</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gridSpan w:val="32"/>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Plan (annual award)</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98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6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10.77#</w:t>
            </w:r>
          </w:p>
        </w:tc>
        <w:tc>
          <w:tcPr>
            <w:tcW w:w="15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225">
              <w:r>
                <w:rPr>
                  <w:rFonts w:ascii="Times New Roman" w:cs="Times New Roman" w:eastAsia="Times New Roman" w:hAnsi="Times New Roman"/>
                  <w:sz w:val="18"/>
                  <w:szCs w:val="18"/>
                  <w:color w:val="0000EE"/>
                  <w:w w:val="98"/>
                </w:rPr>
                <w:t>Non-Qualified Stock</w:t>
              </w:r>
            </w:hyperlink>
          </w:p>
        </w:tc>
        <w:tc>
          <w:tcPr>
            <w:tcW w:w="600" w:type="dxa"/>
            <w:vAlign w:val="bottom"/>
            <w:gridSpan w:val="22"/>
          </w:tcPr>
          <w:p>
            <w:pPr>
              <w:spacing w:after="0"/>
              <w:rPr>
                <w:sz w:val="22"/>
                <w:szCs w:val="22"/>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10.79</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225">
              <w:r>
                <w:rPr>
                  <w:rFonts w:ascii="Times New Roman" w:cs="Times New Roman" w:eastAsia="Times New Roman" w:hAnsi="Times New Roman"/>
                  <w:sz w:val="18"/>
                  <w:szCs w:val="18"/>
                  <w:color w:val="0000EE"/>
                  <w:w w:val="98"/>
                </w:rPr>
                <w:t>Option for Non-Employee</w:t>
              </w:r>
            </w:hyperlink>
          </w:p>
        </w:tc>
        <w:tc>
          <w:tcPr>
            <w:tcW w:w="20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gridSpan w:val="32"/>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Directors under the 2015</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80" w:type="dxa"/>
            <w:vAlign w:val="bottom"/>
            <w:gridSpan w:val="13"/>
            <w:shd w:val="clear" w:color="auto" w:fill="0000EE"/>
          </w:tcPr>
          <w:p>
            <w:pPr>
              <w:spacing w:after="0" w:line="20" w:lineRule="exact"/>
              <w:rPr>
                <w:sz w:val="1"/>
                <w:szCs w:val="1"/>
                <w:color w:val="auto"/>
              </w:rPr>
            </w:pPr>
          </w:p>
        </w:tc>
        <w:tc>
          <w:tcPr>
            <w:tcW w:w="180" w:type="dxa"/>
            <w:vAlign w:val="bottom"/>
            <w:gridSpan w:val="7"/>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Stock Option and Incentive</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gridSpan w:val="32"/>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Plan (new director award)</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10.78#</w:t>
            </w:r>
          </w:p>
        </w:tc>
        <w:tc>
          <w:tcPr>
            <w:tcW w:w="150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8"/>
              </w:rPr>
            </w:pPr>
            <w:hyperlink r:id="rId226">
              <w:r>
                <w:rPr>
                  <w:rFonts w:ascii="Times New Roman" w:cs="Times New Roman" w:eastAsia="Times New Roman" w:hAnsi="Times New Roman"/>
                  <w:sz w:val="18"/>
                  <w:szCs w:val="18"/>
                  <w:color w:val="0000EE"/>
                  <w:w w:val="98"/>
                </w:rPr>
                <w:t>Non-Qualified Stock</w:t>
              </w:r>
            </w:hyperlink>
          </w:p>
        </w:tc>
        <w:tc>
          <w:tcPr>
            <w:tcW w:w="360" w:type="dxa"/>
            <w:vAlign w:val="bottom"/>
            <w:tcBorders>
              <w:top w:val="single" w:sz="8" w:color="0000EE"/>
            </w:tcBorders>
            <w:gridSpan w:val="15"/>
          </w:tcPr>
          <w:p>
            <w:pPr>
              <w:spacing w:after="0"/>
              <w:rPr>
                <w:sz w:val="22"/>
                <w:szCs w:val="22"/>
                <w:color w:val="auto"/>
              </w:rPr>
            </w:pPr>
          </w:p>
        </w:tc>
        <w:tc>
          <w:tcPr>
            <w:tcW w:w="240" w:type="dxa"/>
            <w:vAlign w:val="bottom"/>
            <w:gridSpan w:val="7"/>
          </w:tcPr>
          <w:p>
            <w:pPr>
              <w:spacing w:after="0"/>
              <w:rPr>
                <w:sz w:val="22"/>
                <w:szCs w:val="22"/>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10.80</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226">
              <w:r>
                <w:rPr>
                  <w:rFonts w:ascii="Times New Roman" w:cs="Times New Roman" w:eastAsia="Times New Roman" w:hAnsi="Times New Roman"/>
                  <w:sz w:val="18"/>
                  <w:szCs w:val="18"/>
                  <w:color w:val="0000EE"/>
                  <w:w w:val="98"/>
                </w:rPr>
                <w:t>Option for Employees</w:t>
              </w:r>
            </w:hyperlink>
          </w:p>
        </w:tc>
        <w:tc>
          <w:tcPr>
            <w:tcW w:w="500" w:type="dxa"/>
            <w:vAlign w:val="bottom"/>
            <w:gridSpan w:val="17"/>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gridSpan w:val="32"/>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under the 2020 Inducement</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6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Plan</w:t>
              </w:r>
            </w:hyperlink>
          </w:p>
        </w:tc>
        <w:tc>
          <w:tcPr>
            <w:tcW w:w="14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127</w:t>
            </w:r>
          </w:p>
        </w:tc>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29" w:name="page130"/>
    <w:bookmarkEnd w:id="12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0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93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10.79#</w:t>
            </w:r>
          </w:p>
        </w:tc>
        <w:tc>
          <w:tcPr>
            <w:tcW w:w="14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227">
              <w:r>
                <w:rPr>
                  <w:rFonts w:ascii="Times New Roman" w:cs="Times New Roman" w:eastAsia="Times New Roman" w:hAnsi="Times New Roman"/>
                  <w:sz w:val="18"/>
                  <w:szCs w:val="18"/>
                  <w:color w:val="0000EE"/>
                  <w:w w:val="98"/>
                </w:rPr>
                <w:t>Performance-Based</w:t>
              </w:r>
            </w:hyperlink>
          </w:p>
        </w:tc>
        <w:tc>
          <w:tcPr>
            <w:tcW w:w="700" w:type="dxa"/>
            <w:vAlign w:val="bottom"/>
            <w:gridSpan w:val="20"/>
          </w:tcPr>
          <w:p>
            <w:pPr>
              <w:spacing w:after="0"/>
              <w:rPr>
                <w:sz w:val="24"/>
                <w:szCs w:val="24"/>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10.81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Restricted Stock Unit</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Award Agreement for</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227">
              <w:r>
                <w:rPr>
                  <w:rFonts w:ascii="Times New Roman" w:cs="Times New Roman" w:eastAsia="Times New Roman" w:hAnsi="Times New Roman"/>
                  <w:sz w:val="18"/>
                  <w:szCs w:val="18"/>
                  <w:color w:val="0000EE"/>
                  <w:w w:val="98"/>
                </w:rPr>
                <w:t>Employees under the 2015</w:t>
              </w:r>
            </w:hyperlink>
          </w:p>
        </w:tc>
        <w:tc>
          <w:tcPr>
            <w:tcW w:w="20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Stock Option and Incentive</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227">
              <w:r>
                <w:rPr>
                  <w:rFonts w:ascii="Times New Roman" w:cs="Times New Roman" w:eastAsia="Times New Roman" w:hAnsi="Times New Roman"/>
                  <w:sz w:val="18"/>
                  <w:szCs w:val="18"/>
                  <w:color w:val="0000EE"/>
                  <w:w w:val="93"/>
                </w:rPr>
                <w:t>Plan</w:t>
              </w:r>
            </w:hyperlink>
          </w:p>
        </w:tc>
        <w:tc>
          <w:tcPr>
            <w:tcW w:w="1640" w:type="dxa"/>
            <w:vAlign w:val="bottom"/>
            <w:tcBorders>
              <w:top w:val="single" w:sz="8" w:color="0000EE"/>
            </w:tcBorders>
            <w:gridSpan w:val="24"/>
          </w:tcPr>
          <w:p>
            <w:pPr>
              <w:spacing w:after="0"/>
              <w:rPr>
                <w:sz w:val="17"/>
                <w:szCs w:val="17"/>
                <w:color w:val="auto"/>
              </w:rPr>
            </w:pPr>
          </w:p>
        </w:tc>
        <w:tc>
          <w:tcPr>
            <w:tcW w:w="16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5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10.80#</w:t>
            </w:r>
          </w:p>
        </w:tc>
        <w:tc>
          <w:tcPr>
            <w:tcW w:w="2120" w:type="dxa"/>
            <w:vAlign w:val="bottom"/>
            <w:gridSpan w:val="29"/>
          </w:tcPr>
          <w:p>
            <w:pPr>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Restricted Stock Unit</w:t>
              </w:r>
            </w:hyperlink>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10.82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Award for Employees</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w w:val="96"/>
              </w:rPr>
            </w:pPr>
            <w:hyperlink r:id="rId228">
              <w:r>
                <w:rPr>
                  <w:rFonts w:ascii="Times New Roman" w:cs="Times New Roman" w:eastAsia="Times New Roman" w:hAnsi="Times New Roman"/>
                  <w:sz w:val="18"/>
                  <w:szCs w:val="18"/>
                  <w:color w:val="0000EE"/>
                  <w:w w:val="96"/>
                </w:rPr>
                <w:t>under the 2015 Stock</w:t>
              </w:r>
            </w:hyperlink>
          </w:p>
        </w:tc>
        <w:tc>
          <w:tcPr>
            <w:tcW w:w="60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228">
              <w:r>
                <w:rPr>
                  <w:rFonts w:ascii="Times New Roman" w:cs="Times New Roman" w:eastAsia="Times New Roman" w:hAnsi="Times New Roman"/>
                  <w:sz w:val="18"/>
                  <w:szCs w:val="18"/>
                  <w:color w:val="0000EE"/>
                  <w:w w:val="98"/>
                </w:rPr>
                <w:t>Option and Incentive Plan</w:t>
              </w:r>
            </w:hyperlink>
          </w:p>
        </w:tc>
        <w:tc>
          <w:tcPr>
            <w:tcW w:w="24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10.81#</w:t>
            </w:r>
          </w:p>
        </w:tc>
        <w:tc>
          <w:tcPr>
            <w:tcW w:w="2120" w:type="dxa"/>
            <w:vAlign w:val="bottom"/>
            <w:gridSpan w:val="29"/>
          </w:tcPr>
          <w:p>
            <w:pPr>
              <w:spacing w:after="0"/>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Restricted Stock Unit</w:t>
              </w:r>
            </w:hyperlink>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10.83</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Award for Non-Employee</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Directors under the 2015</w:t>
              </w:r>
            </w:hyperlink>
          </w:p>
        </w:tc>
        <w:tc>
          <w:tcPr>
            <w:tcW w:w="60" w:type="dxa"/>
            <w:vAlign w:val="bottom"/>
            <w:tcBorders>
              <w:top w:val="single" w:sz="8" w:color="0000EE"/>
            </w:tcBorders>
            <w:gridSpan w:val="2"/>
          </w:tcPr>
          <w:p>
            <w:pPr>
              <w:spacing w:after="0"/>
              <w:rPr>
                <w:sz w:val="17"/>
                <w:szCs w:val="17"/>
                <w:color w:val="auto"/>
              </w:rPr>
            </w:pPr>
          </w:p>
        </w:tc>
        <w:tc>
          <w:tcPr>
            <w:tcW w:w="26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Stock Option and Incentive</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Plan (annual award)</w:t>
              </w:r>
            </w:hyperlink>
          </w:p>
        </w:tc>
        <w:tc>
          <w:tcPr>
            <w:tcW w:w="440" w:type="dxa"/>
            <w:vAlign w:val="bottom"/>
            <w:tcBorders>
              <w:top w:val="single" w:sz="8" w:color="0000EE"/>
            </w:tcBorders>
            <w:gridSpan w:val="15"/>
          </w:tcPr>
          <w:p>
            <w:pPr>
              <w:spacing w:after="0"/>
              <w:rPr>
                <w:sz w:val="17"/>
                <w:szCs w:val="17"/>
                <w:color w:val="auto"/>
              </w:rPr>
            </w:pPr>
          </w:p>
        </w:tc>
        <w:tc>
          <w:tcPr>
            <w:tcW w:w="16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10.82#</w:t>
            </w:r>
          </w:p>
        </w:tc>
        <w:tc>
          <w:tcPr>
            <w:tcW w:w="2120" w:type="dxa"/>
            <w:vAlign w:val="bottom"/>
            <w:gridSpan w:val="29"/>
          </w:tcPr>
          <w:p>
            <w:pPr>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Restricted Stock Unit</w:t>
              </w:r>
            </w:hyperlink>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10.84</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Award for Non-Employee</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Directors under the 2015</w:t>
              </w:r>
            </w:hyperlink>
          </w:p>
        </w:tc>
        <w:tc>
          <w:tcPr>
            <w:tcW w:w="60" w:type="dxa"/>
            <w:vAlign w:val="bottom"/>
            <w:tcBorders>
              <w:top w:val="single" w:sz="8" w:color="0000EE"/>
            </w:tcBorders>
            <w:gridSpan w:val="2"/>
          </w:tcPr>
          <w:p>
            <w:pPr>
              <w:spacing w:after="0"/>
              <w:rPr>
                <w:sz w:val="17"/>
                <w:szCs w:val="17"/>
                <w:color w:val="auto"/>
              </w:rPr>
            </w:pPr>
          </w:p>
        </w:tc>
        <w:tc>
          <w:tcPr>
            <w:tcW w:w="26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Stock Option and Incentive</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Plan (new director award)</w:t>
              </w:r>
            </w:hyperlink>
          </w:p>
        </w:tc>
        <w:tc>
          <w:tcPr>
            <w:tcW w:w="16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10.83#</w:t>
            </w:r>
          </w:p>
        </w:tc>
        <w:tc>
          <w:tcPr>
            <w:tcW w:w="186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Restricted Stock Unit</w:t>
              </w:r>
            </w:hyperlink>
          </w:p>
        </w:tc>
        <w:tc>
          <w:tcPr>
            <w:tcW w:w="260" w:type="dxa"/>
            <w:vAlign w:val="bottom"/>
            <w:gridSpan w:val="8"/>
          </w:tcPr>
          <w:p>
            <w:pPr>
              <w:spacing w:after="0"/>
              <w:rPr>
                <w:sz w:val="22"/>
                <w:szCs w:val="22"/>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10.85</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Award for Employees</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under the 2020 Incentive</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231">
              <w:r>
                <w:rPr>
                  <w:rFonts w:ascii="Times New Roman" w:cs="Times New Roman" w:eastAsia="Times New Roman" w:hAnsi="Times New Roman"/>
                  <w:sz w:val="18"/>
                  <w:szCs w:val="18"/>
                  <w:color w:val="0000EE"/>
                  <w:w w:val="93"/>
                </w:rPr>
                <w:t>Plan</w:t>
              </w:r>
            </w:hyperlink>
          </w:p>
        </w:tc>
        <w:tc>
          <w:tcPr>
            <w:tcW w:w="1460" w:type="dxa"/>
            <w:vAlign w:val="bottom"/>
            <w:tcBorders>
              <w:top w:val="single" w:sz="8" w:color="0000EE"/>
            </w:tcBorders>
            <w:gridSpan w:val="16"/>
          </w:tcPr>
          <w:p>
            <w:pPr>
              <w:spacing w:after="0"/>
              <w:rPr>
                <w:sz w:val="17"/>
                <w:szCs w:val="17"/>
                <w:color w:val="auto"/>
              </w:rPr>
            </w:pPr>
          </w:p>
        </w:tc>
        <w:tc>
          <w:tcPr>
            <w:tcW w:w="34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10.88</w:t>
            </w:r>
          </w:p>
        </w:tc>
        <w:tc>
          <w:tcPr>
            <w:tcW w:w="15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First Amendment to</w:t>
              </w:r>
            </w:hyperlink>
          </w:p>
        </w:tc>
        <w:tc>
          <w:tcPr>
            <w:tcW w:w="600" w:type="dxa"/>
            <w:vAlign w:val="bottom"/>
            <w:gridSpan w:val="18"/>
          </w:tcPr>
          <w:p>
            <w:pPr>
              <w:spacing w:after="0"/>
              <w:rPr>
                <w:sz w:val="22"/>
                <w:szCs w:val="22"/>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25, 2023</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232">
              <w:r>
                <w:rPr>
                  <w:rFonts w:ascii="Times New Roman" w:cs="Times New Roman" w:eastAsia="Times New Roman" w:hAnsi="Times New Roman"/>
                  <w:sz w:val="18"/>
                  <w:szCs w:val="18"/>
                  <w:color w:val="0000EE"/>
                  <w:w w:val="98"/>
                </w:rPr>
                <w:t>Financing Agreement dated</w:t>
              </w:r>
            </w:hyperlink>
          </w:p>
        </w:tc>
        <w:tc>
          <w:tcPr>
            <w:tcW w:w="1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232">
              <w:r>
                <w:rPr>
                  <w:rFonts w:ascii="Times New Roman" w:cs="Times New Roman" w:eastAsia="Times New Roman" w:hAnsi="Times New Roman"/>
                  <w:sz w:val="18"/>
                  <w:szCs w:val="18"/>
                  <w:color w:val="0000EE"/>
                  <w:w w:val="98"/>
                </w:rPr>
                <w:t>as of May 22, 2023 by and</w:t>
              </w:r>
            </w:hyperlink>
          </w:p>
        </w:tc>
        <w:tc>
          <w:tcPr>
            <w:tcW w:w="20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among Blueprint Medicines</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Corporation, the lenders</w:t>
              </w:r>
            </w:hyperlink>
          </w:p>
        </w:tc>
        <w:tc>
          <w:tcPr>
            <w:tcW w:w="240" w:type="dxa"/>
            <w:vAlign w:val="bottom"/>
            <w:tcBorders>
              <w:top w:val="single" w:sz="8" w:color="0000EE"/>
            </w:tcBorders>
            <w:gridSpan w:val="10"/>
          </w:tcPr>
          <w:p>
            <w:pPr>
              <w:spacing w:after="0"/>
              <w:rPr>
                <w:sz w:val="17"/>
                <w:szCs w:val="17"/>
                <w:color w:val="auto"/>
              </w:rPr>
            </w:pPr>
          </w:p>
        </w:tc>
        <w:tc>
          <w:tcPr>
            <w:tcW w:w="1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232">
              <w:r>
                <w:rPr>
                  <w:rFonts w:ascii="Times New Roman" w:cs="Times New Roman" w:eastAsia="Times New Roman" w:hAnsi="Times New Roman"/>
                  <w:sz w:val="18"/>
                  <w:szCs w:val="18"/>
                  <w:color w:val="0000EE"/>
                  <w:w w:val="98"/>
                </w:rPr>
                <w:t>party thereto, and TAO</w:t>
              </w:r>
            </w:hyperlink>
          </w:p>
        </w:tc>
        <w:tc>
          <w:tcPr>
            <w:tcW w:w="44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Talents LLC, as</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Borders>
              <w:top w:val="single" w:sz="8" w:color="0000EE"/>
              <w:bottom w:val="single" w:sz="8" w:color="0000EE"/>
            </w:tcBorders>
            <w:gridSpan w:val="6"/>
          </w:tcPr>
          <w:p>
            <w:pPr>
              <w:spacing w:after="0" w:line="182"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Administrative</w:t>
              </w:r>
            </w:hyperlink>
          </w:p>
        </w:tc>
        <w:tc>
          <w:tcPr>
            <w:tcW w:w="680" w:type="dxa"/>
            <w:vAlign w:val="bottom"/>
            <w:tcBorders>
              <w:bottom w:val="single" w:sz="8" w:color="0000EE"/>
            </w:tcBorders>
            <w:gridSpan w:val="14"/>
          </w:tcPr>
          <w:p>
            <w:pPr>
              <w:spacing w:after="0" w:line="182" w:lineRule="exact"/>
              <w:rPr>
                <w:rFonts w:ascii="Times New Roman" w:cs="Times New Roman" w:eastAsia="Times New Roman" w:hAnsi="Times New Roman"/>
                <w:sz w:val="18"/>
                <w:szCs w:val="18"/>
                <w:color w:val="0000EE"/>
                <w:w w:val="94"/>
              </w:rPr>
            </w:pPr>
            <w:hyperlink r:id="rId232">
              <w:r>
                <w:rPr>
                  <w:rFonts w:ascii="Times New Roman" w:cs="Times New Roman" w:eastAsia="Times New Roman" w:hAnsi="Times New Roman"/>
                  <w:sz w:val="18"/>
                  <w:szCs w:val="18"/>
                  <w:color w:val="0000EE"/>
                  <w:w w:val="94"/>
                </w:rPr>
                <w:t>Agent for</w:t>
              </w:r>
            </w:hyperlink>
          </w:p>
        </w:tc>
        <w:tc>
          <w:tcPr>
            <w:tcW w:w="300" w:type="dxa"/>
            <w:vAlign w:val="bottom"/>
            <w:gridSpan w:val="9"/>
          </w:tcPr>
          <w:p>
            <w:pPr>
              <w:spacing w:after="0"/>
              <w:rPr>
                <w:sz w:val="15"/>
                <w:szCs w:val="15"/>
                <w:color w:val="auto"/>
              </w:rPr>
            </w:pPr>
          </w:p>
        </w:tc>
        <w:tc>
          <w:tcPr>
            <w:tcW w:w="8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r:id="rId232">
              <w:r>
                <w:rPr>
                  <w:rFonts w:ascii="Times New Roman" w:cs="Times New Roman" w:eastAsia="Times New Roman" w:hAnsi="Times New Roman"/>
                  <w:sz w:val="18"/>
                  <w:szCs w:val="18"/>
                  <w:color w:val="0000EE"/>
                  <w:w w:val="96"/>
                </w:rPr>
                <w:t>the lenders</w:t>
              </w:r>
            </w:hyperlink>
          </w:p>
        </w:tc>
        <w:tc>
          <w:tcPr>
            <w:tcW w:w="1340" w:type="dxa"/>
            <w:vAlign w:val="bottom"/>
            <w:gridSpan w:val="24"/>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10.89</w:t>
            </w:r>
          </w:p>
        </w:tc>
        <w:tc>
          <w:tcPr>
            <w:tcW w:w="14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r:id="rId233">
              <w:r>
                <w:rPr>
                  <w:rFonts w:ascii="Times New Roman" w:cs="Times New Roman" w:eastAsia="Times New Roman" w:hAnsi="Times New Roman"/>
                  <w:sz w:val="18"/>
                  <w:szCs w:val="18"/>
                  <w:color w:val="0000EE"/>
                  <w:w w:val="97"/>
                </w:rPr>
                <w:t>Mutual Termination</w:t>
              </w:r>
            </w:hyperlink>
          </w:p>
        </w:tc>
        <w:tc>
          <w:tcPr>
            <w:tcW w:w="680" w:type="dxa"/>
            <w:vAlign w:val="bottom"/>
            <w:gridSpan w:val="19"/>
          </w:tcPr>
          <w:p>
            <w:pPr>
              <w:spacing w:after="0"/>
              <w:rPr>
                <w:sz w:val="22"/>
                <w:szCs w:val="22"/>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4, 2023</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233">
              <w:r>
                <w:rPr>
                  <w:rFonts w:ascii="Times New Roman" w:cs="Times New Roman" w:eastAsia="Times New Roman" w:hAnsi="Times New Roman"/>
                  <w:sz w:val="18"/>
                  <w:szCs w:val="18"/>
                  <w:color w:val="0000EE"/>
                  <w:w w:val="98"/>
                </w:rPr>
                <w:t>Agreement, effective as of</w:t>
              </w:r>
            </w:hyperlink>
          </w:p>
        </w:tc>
        <w:tc>
          <w:tcPr>
            <w:tcW w:w="22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April 30, 2023, by and</w:t>
              </w:r>
            </w:hyperlink>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r:id="rId233">
              <w:r>
                <w:rPr>
                  <w:rFonts w:ascii="Times New Roman" w:cs="Times New Roman" w:eastAsia="Times New Roman" w:hAnsi="Times New Roman"/>
                  <w:sz w:val="18"/>
                  <w:szCs w:val="18"/>
                  <w:color w:val="0000EE"/>
                  <w:w w:val="97"/>
                </w:rPr>
                <w:t>between F. Hoffman La</w:t>
              </w:r>
            </w:hyperlink>
          </w:p>
        </w:tc>
        <w:tc>
          <w:tcPr>
            <w:tcW w:w="420" w:type="dxa"/>
            <w:vAlign w:val="bottom"/>
            <w:gridSpan w:val="14"/>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233">
              <w:r>
                <w:rPr>
                  <w:rFonts w:ascii="Times New Roman" w:cs="Times New Roman" w:eastAsia="Times New Roman" w:hAnsi="Times New Roman"/>
                  <w:sz w:val="18"/>
                  <w:szCs w:val="18"/>
                  <w:color w:val="0000EE"/>
                  <w:w w:val="98"/>
                </w:rPr>
                <w:t>Roche Ltd, Hoffman-La</w:t>
              </w:r>
            </w:hyperlink>
          </w:p>
        </w:tc>
        <w:tc>
          <w:tcPr>
            <w:tcW w:w="380" w:type="dxa"/>
            <w:vAlign w:val="bottom"/>
            <w:gridSpan w:val="13"/>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Roche Inc. and the</w:t>
              </w:r>
            </w:hyperlink>
          </w:p>
        </w:tc>
        <w:tc>
          <w:tcPr>
            <w:tcW w:w="760" w:type="dxa"/>
            <w:vAlign w:val="bottom"/>
            <w:gridSpan w:val="21"/>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233">
              <w:r>
                <w:rPr>
                  <w:rFonts w:ascii="Times New Roman" w:cs="Times New Roman" w:eastAsia="Times New Roman" w:hAnsi="Times New Roman"/>
                  <w:sz w:val="18"/>
                  <w:szCs w:val="18"/>
                  <w:color w:val="0000EE"/>
                  <w:w w:val="97"/>
                </w:rPr>
                <w:t>Registrant</w:t>
              </w:r>
            </w:hyperlink>
          </w:p>
        </w:tc>
        <w:tc>
          <w:tcPr>
            <w:tcW w:w="1380" w:type="dxa"/>
            <w:vAlign w:val="bottom"/>
            <w:gridSpan w:val="25"/>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5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202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8"/>
              </w:rPr>
              <w:t>Blueprint Medicines Insider</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Trading Policy and Special</w:t>
            </w: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Trading Procedures for</w:t>
            </w:r>
          </w:p>
        </w:tc>
        <w:tc>
          <w:tcPr>
            <w:tcW w:w="280" w:type="dxa"/>
            <w:vAlign w:val="bottom"/>
            <w:tcBorders>
              <w:top w:val="single" w:sz="8" w:color="0000EE"/>
            </w:tcBorders>
            <w:gridSpan w:val="12"/>
          </w:tcPr>
          <w:p>
            <w:pPr>
              <w:spacing w:after="0"/>
              <w:rPr>
                <w:sz w:val="17"/>
                <w:szCs w:val="17"/>
                <w:color w:val="auto"/>
              </w:rPr>
            </w:pPr>
          </w:p>
        </w:tc>
        <w:tc>
          <w:tcPr>
            <w:tcW w:w="18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Insiders</w:t>
            </w: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98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60" w:type="dxa"/>
            <w:vAlign w:val="bottom"/>
            <w:gridSpan w:val="16"/>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Subsidiaries of the</w:t>
            </w:r>
          </w:p>
        </w:tc>
        <w:tc>
          <w:tcPr>
            <w:tcW w:w="780" w:type="dxa"/>
            <w:vAlign w:val="bottom"/>
            <w:gridSpan w:val="22"/>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Registrant</w:t>
            </w:r>
          </w:p>
        </w:tc>
        <w:tc>
          <w:tcPr>
            <w:tcW w:w="1380" w:type="dxa"/>
            <w:vAlign w:val="bottom"/>
            <w:gridSpan w:val="25"/>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1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Consent of Ernst &amp; Young</w:t>
            </w:r>
          </w:p>
        </w:tc>
        <w:tc>
          <w:tcPr>
            <w:tcW w:w="8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LLP</w:t>
            </w:r>
          </w:p>
        </w:tc>
        <w:tc>
          <w:tcPr>
            <w:tcW w:w="22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128</w:t>
            </w:r>
          </w:p>
        </w:tc>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30" w:name="page131"/>
    <w:bookmarkEnd w:id="13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6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5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93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Principal</w:t>
            </w:r>
          </w:p>
        </w:tc>
        <w:tc>
          <w:tcPr>
            <w:tcW w:w="840" w:type="dxa"/>
            <w:vAlign w:val="bottom"/>
            <w:gridSpan w:val="7"/>
          </w:tcPr>
          <w:p>
            <w:pPr>
              <w:spacing w:after="0"/>
              <w:rPr>
                <w:sz w:val="24"/>
                <w:szCs w:val="24"/>
                <w:color w:val="auto"/>
              </w:rPr>
            </w:pPr>
          </w:p>
        </w:tc>
        <w:tc>
          <w:tcPr>
            <w:tcW w:w="5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pursuant</w:t>
            </w:r>
          </w:p>
        </w:tc>
        <w:tc>
          <w:tcPr>
            <w:tcW w:w="740" w:type="dxa"/>
            <w:vAlign w:val="bottom"/>
            <w:gridSpan w:val="2"/>
          </w:tcPr>
          <w:p>
            <w:pPr>
              <w:spacing w:after="0"/>
              <w:rPr>
                <w:sz w:val="17"/>
                <w:szCs w:val="17"/>
                <w:color w:val="auto"/>
              </w:rPr>
            </w:pPr>
          </w:p>
        </w:tc>
        <w:tc>
          <w:tcPr>
            <w:tcW w:w="5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to Rule 13a-14(a) or Rule</w:t>
            </w:r>
          </w:p>
        </w:tc>
        <w:tc>
          <w:tcPr>
            <w:tcW w:w="5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15d-14(a) of the Exchange</w:t>
            </w:r>
          </w:p>
        </w:tc>
        <w:tc>
          <w:tcPr>
            <w:tcW w:w="760" w:type="dxa"/>
            <w:vAlign w:val="bottom"/>
            <w:gridSpan w:val="3"/>
          </w:tcPr>
          <w:p>
            <w:pPr>
              <w:spacing w:after="0"/>
              <w:rPr>
                <w:sz w:val="17"/>
                <w:szCs w:val="17"/>
                <w:color w:val="auto"/>
              </w:rPr>
            </w:pPr>
          </w:p>
        </w:tc>
        <w:tc>
          <w:tcPr>
            <w:tcW w:w="5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Act, as adopted pursuant to</w:t>
            </w:r>
          </w:p>
        </w:tc>
        <w:tc>
          <w:tcPr>
            <w:tcW w:w="720" w:type="dxa"/>
            <w:vAlign w:val="bottom"/>
          </w:tcPr>
          <w:p>
            <w:pPr>
              <w:spacing w:after="0"/>
              <w:rPr>
                <w:sz w:val="17"/>
                <w:szCs w:val="17"/>
                <w:color w:val="auto"/>
              </w:rPr>
            </w:pPr>
          </w:p>
        </w:tc>
        <w:tc>
          <w:tcPr>
            <w:tcW w:w="5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w:t>
            </w:r>
          </w:p>
        </w:tc>
        <w:tc>
          <w:tcPr>
            <w:tcW w:w="5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w:t>
            </w:r>
          </w:p>
        </w:tc>
        <w:tc>
          <w:tcPr>
            <w:tcW w:w="526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4"/>
              </w:rPr>
              <w:t>2002</w:t>
            </w:r>
          </w:p>
        </w:tc>
        <w:tc>
          <w:tcPr>
            <w:tcW w:w="6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60" w:type="dxa"/>
            <w:vAlign w:val="bottom"/>
          </w:tcPr>
          <w:p>
            <w:pPr>
              <w:spacing w:after="0"/>
              <w:rPr>
                <w:sz w:val="15"/>
                <w:szCs w:val="15"/>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Principal</w:t>
            </w:r>
          </w:p>
        </w:tc>
        <w:tc>
          <w:tcPr>
            <w:tcW w:w="840" w:type="dxa"/>
            <w:vAlign w:val="bottom"/>
            <w:gridSpan w:val="7"/>
          </w:tcPr>
          <w:p>
            <w:pPr>
              <w:spacing w:after="0"/>
              <w:rPr>
                <w:sz w:val="22"/>
                <w:szCs w:val="22"/>
                <w:color w:val="auto"/>
              </w:rPr>
            </w:pPr>
          </w:p>
        </w:tc>
        <w:tc>
          <w:tcPr>
            <w:tcW w:w="5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pursuant</w:t>
            </w:r>
          </w:p>
        </w:tc>
        <w:tc>
          <w:tcPr>
            <w:tcW w:w="5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to Rule 13a-14(a) or Rule</w:t>
            </w:r>
          </w:p>
        </w:tc>
        <w:tc>
          <w:tcPr>
            <w:tcW w:w="800" w:type="dxa"/>
            <w:vAlign w:val="bottom"/>
            <w:gridSpan w:val="5"/>
          </w:tcPr>
          <w:p>
            <w:pPr>
              <w:spacing w:after="0"/>
              <w:rPr>
                <w:sz w:val="17"/>
                <w:szCs w:val="17"/>
                <w:color w:val="auto"/>
              </w:rPr>
            </w:pPr>
          </w:p>
        </w:tc>
        <w:tc>
          <w:tcPr>
            <w:tcW w:w="5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15d-14(a) of the Exchange</w:t>
            </w:r>
          </w:p>
        </w:tc>
        <w:tc>
          <w:tcPr>
            <w:tcW w:w="760" w:type="dxa"/>
            <w:vAlign w:val="bottom"/>
            <w:gridSpan w:val="3"/>
          </w:tcPr>
          <w:p>
            <w:pPr>
              <w:spacing w:after="0"/>
              <w:rPr>
                <w:sz w:val="17"/>
                <w:szCs w:val="17"/>
                <w:color w:val="auto"/>
              </w:rPr>
            </w:pPr>
          </w:p>
        </w:tc>
        <w:tc>
          <w:tcPr>
            <w:tcW w:w="5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Act, as adopted pursuant to</w:t>
            </w:r>
          </w:p>
        </w:tc>
        <w:tc>
          <w:tcPr>
            <w:tcW w:w="720" w:type="dxa"/>
            <w:vAlign w:val="bottom"/>
          </w:tcPr>
          <w:p>
            <w:pPr>
              <w:spacing w:after="0"/>
              <w:rPr>
                <w:sz w:val="17"/>
                <w:szCs w:val="17"/>
                <w:color w:val="auto"/>
              </w:rPr>
            </w:pPr>
          </w:p>
        </w:tc>
        <w:tc>
          <w:tcPr>
            <w:tcW w:w="5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w:t>
            </w:r>
          </w:p>
        </w:tc>
        <w:tc>
          <w:tcPr>
            <w:tcW w:w="5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w:t>
            </w:r>
          </w:p>
        </w:tc>
        <w:tc>
          <w:tcPr>
            <w:tcW w:w="526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4"/>
              </w:rPr>
              <w:t>2002</w:t>
            </w:r>
          </w:p>
        </w:tc>
        <w:tc>
          <w:tcPr>
            <w:tcW w:w="6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60" w:type="dxa"/>
            <w:vAlign w:val="bottom"/>
          </w:tcPr>
          <w:p>
            <w:pPr>
              <w:spacing w:after="0"/>
              <w:rPr>
                <w:sz w:val="15"/>
                <w:szCs w:val="15"/>
                <w:color w:val="auto"/>
              </w:rPr>
            </w:pPr>
          </w:p>
        </w:tc>
      </w:tr>
      <w:tr>
        <w:trPr>
          <w:trHeight w:val="26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Certifications of Principal</w:t>
            </w:r>
          </w:p>
        </w:tc>
        <w:tc>
          <w:tcPr>
            <w:tcW w:w="5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and</w:t>
            </w:r>
          </w:p>
        </w:tc>
        <w:tc>
          <w:tcPr>
            <w:tcW w:w="280" w:type="dxa"/>
            <w:vAlign w:val="bottom"/>
            <w:tcBorders>
              <w:top w:val="single" w:sz="8" w:color="0000EE"/>
            </w:tcBorders>
            <w:gridSpan w:val="4"/>
          </w:tcPr>
          <w:p>
            <w:pPr>
              <w:spacing w:after="0"/>
              <w:rPr>
                <w:sz w:val="17"/>
                <w:szCs w:val="17"/>
                <w:color w:val="auto"/>
              </w:rPr>
            </w:pPr>
          </w:p>
        </w:tc>
        <w:tc>
          <w:tcPr>
            <w:tcW w:w="820" w:type="dxa"/>
            <w:vAlign w:val="bottom"/>
            <w:gridSpan w:val="6"/>
          </w:tcPr>
          <w:p>
            <w:pPr>
              <w:spacing w:after="0"/>
              <w:rPr>
                <w:sz w:val="17"/>
                <w:szCs w:val="17"/>
                <w:color w:val="auto"/>
              </w:rPr>
            </w:pPr>
          </w:p>
        </w:tc>
        <w:tc>
          <w:tcPr>
            <w:tcW w:w="5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Financial Officer</w:t>
            </w:r>
          </w:p>
        </w:tc>
        <w:tc>
          <w:tcPr>
            <w:tcW w:w="760" w:type="dxa"/>
            <w:vAlign w:val="bottom"/>
            <w:gridSpan w:val="3"/>
          </w:tcPr>
          <w:p>
            <w:pPr>
              <w:spacing w:after="0"/>
              <w:rPr>
                <w:sz w:val="17"/>
                <w:szCs w:val="17"/>
                <w:color w:val="auto"/>
              </w:rPr>
            </w:pPr>
          </w:p>
        </w:tc>
        <w:tc>
          <w:tcPr>
            <w:tcW w:w="5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pursuant to 18 U.S.C.</w:t>
            </w:r>
          </w:p>
        </w:tc>
        <w:tc>
          <w:tcPr>
            <w:tcW w:w="1120" w:type="dxa"/>
            <w:vAlign w:val="bottom"/>
            <w:gridSpan w:val="11"/>
          </w:tcPr>
          <w:p>
            <w:pPr>
              <w:spacing w:after="0"/>
              <w:rPr>
                <w:sz w:val="17"/>
                <w:szCs w:val="17"/>
                <w:color w:val="auto"/>
              </w:rPr>
            </w:pPr>
          </w:p>
        </w:tc>
        <w:tc>
          <w:tcPr>
            <w:tcW w:w="5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as adopted</w:t>
            </w:r>
          </w:p>
        </w:tc>
        <w:tc>
          <w:tcPr>
            <w:tcW w:w="840" w:type="dxa"/>
            <w:vAlign w:val="bottom"/>
            <w:gridSpan w:val="7"/>
          </w:tcPr>
          <w:p>
            <w:pPr>
              <w:spacing w:after="0"/>
              <w:rPr>
                <w:sz w:val="17"/>
                <w:szCs w:val="17"/>
                <w:color w:val="auto"/>
              </w:rPr>
            </w:pPr>
          </w:p>
        </w:tc>
        <w:tc>
          <w:tcPr>
            <w:tcW w:w="5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pursuant to Section 906 of</w:t>
            </w:r>
          </w:p>
        </w:tc>
        <w:tc>
          <w:tcPr>
            <w:tcW w:w="780" w:type="dxa"/>
            <w:vAlign w:val="bottom"/>
            <w:gridSpan w:val="4"/>
          </w:tcPr>
          <w:p>
            <w:pPr>
              <w:spacing w:after="0"/>
              <w:rPr>
                <w:sz w:val="17"/>
                <w:szCs w:val="17"/>
                <w:color w:val="auto"/>
              </w:rPr>
            </w:pPr>
          </w:p>
        </w:tc>
        <w:tc>
          <w:tcPr>
            <w:tcW w:w="5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w:t>
            </w:r>
          </w:p>
        </w:tc>
        <w:tc>
          <w:tcPr>
            <w:tcW w:w="526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4"/>
              </w:rPr>
              <w:t>2002</w:t>
            </w:r>
          </w:p>
        </w:tc>
        <w:tc>
          <w:tcPr>
            <w:tcW w:w="6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60" w:type="dxa"/>
            <w:vAlign w:val="bottom"/>
          </w:tcPr>
          <w:p>
            <w:pPr>
              <w:spacing w:after="0"/>
              <w:rPr>
                <w:sz w:val="15"/>
                <w:szCs w:val="15"/>
                <w:color w:val="auto"/>
              </w:rPr>
            </w:pPr>
          </w:p>
        </w:tc>
      </w:tr>
      <w:tr>
        <w:trPr>
          <w:trHeight w:val="26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Blueprint Medicines</w:t>
            </w:r>
          </w:p>
        </w:tc>
        <w:tc>
          <w:tcPr>
            <w:tcW w:w="5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Corporation Policy for</w:t>
            </w:r>
          </w:p>
        </w:tc>
        <w:tc>
          <w:tcPr>
            <w:tcW w:w="5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Recoupment of</w:t>
            </w:r>
          </w:p>
        </w:tc>
        <w:tc>
          <w:tcPr>
            <w:tcW w:w="520" w:type="dxa"/>
            <w:vAlign w:val="bottom"/>
            <w:tcBorders>
              <w:top w:val="single" w:sz="8" w:color="0000EE"/>
            </w:tcBorders>
            <w:gridSpan w:val="5"/>
          </w:tcPr>
          <w:p>
            <w:pPr>
              <w:spacing w:after="0"/>
              <w:rPr>
                <w:sz w:val="17"/>
                <w:szCs w:val="17"/>
                <w:color w:val="auto"/>
              </w:rPr>
            </w:pPr>
          </w:p>
        </w:tc>
        <w:tc>
          <w:tcPr>
            <w:tcW w:w="1060" w:type="dxa"/>
            <w:vAlign w:val="bottom"/>
            <w:gridSpan w:val="9"/>
          </w:tcPr>
          <w:p>
            <w:pPr>
              <w:spacing w:after="0"/>
              <w:rPr>
                <w:sz w:val="17"/>
                <w:szCs w:val="17"/>
                <w:color w:val="auto"/>
              </w:rPr>
            </w:pPr>
          </w:p>
        </w:tc>
        <w:tc>
          <w:tcPr>
            <w:tcW w:w="5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Erroneously Awarded</w:t>
            </w:r>
          </w:p>
        </w:tc>
        <w:tc>
          <w:tcPr>
            <w:tcW w:w="5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w:t>
            </w:r>
          </w:p>
        </w:tc>
        <w:tc>
          <w:tcPr>
            <w:tcW w:w="520" w:type="dxa"/>
            <w:vAlign w:val="bottom"/>
            <w:tcBorders>
              <w:top w:val="single" w:sz="8" w:color="0000EE"/>
            </w:tcBorders>
            <w:gridSpan w:val="4"/>
          </w:tcPr>
          <w:p>
            <w:pPr>
              <w:spacing w:after="0"/>
              <w:rPr>
                <w:sz w:val="17"/>
                <w:szCs w:val="17"/>
                <w:color w:val="auto"/>
              </w:rPr>
            </w:pPr>
          </w:p>
        </w:tc>
        <w:tc>
          <w:tcPr>
            <w:tcW w:w="1120" w:type="dxa"/>
            <w:vAlign w:val="bottom"/>
            <w:gridSpan w:val="11"/>
          </w:tcPr>
          <w:p>
            <w:pPr>
              <w:spacing w:after="0"/>
              <w:rPr>
                <w:sz w:val="17"/>
                <w:szCs w:val="17"/>
                <w:color w:val="auto"/>
              </w:rPr>
            </w:pPr>
          </w:p>
        </w:tc>
        <w:tc>
          <w:tcPr>
            <w:tcW w:w="5260" w:type="dxa"/>
            <w:vAlign w:val="bottom"/>
          </w:tcPr>
          <w:p>
            <w:pPr>
              <w:spacing w:after="0"/>
              <w:rPr>
                <w:sz w:val="17"/>
                <w:szCs w:val="17"/>
                <w:color w:val="auto"/>
              </w:rPr>
            </w:pPr>
          </w:p>
        </w:tc>
      </w:tr>
      <w:tr>
        <w:trPr>
          <w:trHeight w:val="286"/>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Instance Document -</w:t>
            </w:r>
          </w:p>
        </w:tc>
        <w:tc>
          <w:tcPr>
            <w:tcW w:w="5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the instance document does</w:t>
            </w:r>
          </w:p>
        </w:tc>
        <w:tc>
          <w:tcPr>
            <w:tcW w:w="5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not appear in the Interactive</w:t>
            </w:r>
          </w:p>
        </w:tc>
        <w:tc>
          <w:tcPr>
            <w:tcW w:w="5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Data File because its XBRL</w:t>
            </w:r>
          </w:p>
        </w:tc>
        <w:tc>
          <w:tcPr>
            <w:tcW w:w="5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tags are embedded within</w:t>
            </w:r>
          </w:p>
        </w:tc>
        <w:tc>
          <w:tcPr>
            <w:tcW w:w="52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526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w:t>
            </w:r>
          </w:p>
        </w:tc>
        <w:tc>
          <w:tcPr>
            <w:tcW w:w="5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Extension Schema</w:t>
            </w:r>
          </w:p>
        </w:tc>
        <w:tc>
          <w:tcPr>
            <w:tcW w:w="52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5260" w:type="dxa"/>
            <w:vAlign w:val="bottom"/>
          </w:tcPr>
          <w:p>
            <w:pPr>
              <w:spacing w:after="0"/>
              <w:rPr>
                <w:sz w:val="20"/>
                <w:szCs w:val="20"/>
                <w:color w:val="auto"/>
              </w:rPr>
            </w:pPr>
          </w:p>
        </w:tc>
      </w:tr>
      <w:tr>
        <w:trPr>
          <w:trHeight w:val="265"/>
        </w:trPr>
        <w:tc>
          <w:tcPr>
            <w:tcW w:w="2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w:t>
            </w:r>
          </w:p>
        </w:tc>
        <w:tc>
          <w:tcPr>
            <w:tcW w:w="5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Extension Calculation</w:t>
            </w:r>
          </w:p>
        </w:tc>
        <w:tc>
          <w:tcPr>
            <w:tcW w:w="52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260" w:type="dxa"/>
            <w:vAlign w:val="bottom"/>
          </w:tcPr>
          <w:p>
            <w:pPr>
              <w:spacing w:after="0"/>
              <w:rPr>
                <w:sz w:val="20"/>
                <w:szCs w:val="20"/>
                <w:color w:val="auto"/>
              </w:rPr>
            </w:pPr>
          </w:p>
        </w:tc>
      </w:tr>
      <w:tr>
        <w:trPr>
          <w:trHeight w:val="265"/>
        </w:trPr>
        <w:tc>
          <w:tcPr>
            <w:tcW w:w="2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w:t>
            </w:r>
          </w:p>
        </w:tc>
        <w:tc>
          <w:tcPr>
            <w:tcW w:w="5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Extension Definition</w:t>
            </w:r>
          </w:p>
        </w:tc>
        <w:tc>
          <w:tcPr>
            <w:tcW w:w="52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260" w:type="dxa"/>
            <w:vAlign w:val="bottom"/>
          </w:tcPr>
          <w:p>
            <w:pPr>
              <w:spacing w:after="0"/>
              <w:rPr>
                <w:sz w:val="20"/>
                <w:szCs w:val="20"/>
                <w:color w:val="auto"/>
              </w:rPr>
            </w:pPr>
          </w:p>
        </w:tc>
      </w:tr>
      <w:tr>
        <w:trPr>
          <w:trHeight w:val="265"/>
        </w:trPr>
        <w:tc>
          <w:tcPr>
            <w:tcW w:w="2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w:t>
            </w:r>
          </w:p>
        </w:tc>
        <w:tc>
          <w:tcPr>
            <w:tcW w:w="5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Extension Label Linkbase</w:t>
            </w:r>
          </w:p>
        </w:tc>
        <w:tc>
          <w:tcPr>
            <w:tcW w:w="52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5260" w:type="dxa"/>
            <w:vAlign w:val="bottom"/>
          </w:tcPr>
          <w:p>
            <w:pPr>
              <w:spacing w:after="0"/>
              <w:rPr>
                <w:sz w:val="20"/>
                <w:szCs w:val="20"/>
                <w:color w:val="auto"/>
              </w:rPr>
            </w:pPr>
          </w:p>
        </w:tc>
      </w:tr>
      <w:tr>
        <w:trPr>
          <w:trHeight w:val="265"/>
        </w:trPr>
        <w:tc>
          <w:tcPr>
            <w:tcW w:w="2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w:t>
            </w:r>
          </w:p>
        </w:tc>
        <w:tc>
          <w:tcPr>
            <w:tcW w:w="5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Extension Presentation</w:t>
            </w:r>
          </w:p>
        </w:tc>
        <w:tc>
          <w:tcPr>
            <w:tcW w:w="52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260" w:type="dxa"/>
            <w:vAlign w:val="bottom"/>
          </w:tcPr>
          <w:p>
            <w:pPr>
              <w:spacing w:after="0"/>
              <w:rPr>
                <w:sz w:val="20"/>
                <w:szCs w:val="20"/>
                <w:color w:val="auto"/>
              </w:rPr>
            </w:pPr>
          </w:p>
        </w:tc>
      </w:tr>
      <w:tr>
        <w:trPr>
          <w:trHeight w:val="55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6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rPr>
              <w:t>129</w:t>
            </w:r>
          </w:p>
        </w:tc>
      </w:tr>
      <w:tr>
        <w:trPr>
          <w:trHeight w:val="560"/>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0" w:lineRule="exact"/>
        <w:rPr>
          <w:sz w:val="20"/>
          <w:szCs w:val="20"/>
          <w:color w:val="auto"/>
        </w:rPr>
      </w:pPr>
    </w:p>
    <w:p>
      <w:pPr>
        <w:sectPr>
          <w:pgSz w:w="11900" w:h="16838" w:orient="portrait"/>
          <w:cols w:equalWidth="0" w:num="2">
            <w:col w:w="7240" w:space="720"/>
            <w:col w:w="1059"/>
          </w:cols>
          <w:pgMar w:left="1440" w:top="513" w:right="1440"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8"/>
          <w:szCs w:val="18"/>
          <w:color w:val="auto"/>
        </w:rPr>
        <w:t>Data File (formatted as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inline XBRL with</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applicable taxonomy</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extension information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contained in Exhibits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245745</wp:posOffset>
            </wp:positionV>
            <wp:extent cx="141414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17" w:lineRule="exact"/>
        <w:rPr>
          <w:sz w:val="20"/>
          <w:szCs w:val="20"/>
          <w:color w:val="auto"/>
        </w:rPr>
      </w:pPr>
    </w:p>
    <w:p>
      <w:pPr>
        <w:ind w:left="240" w:right="159" w:hanging="190"/>
        <w:spacing w:after="0" w:line="312" w:lineRule="auto"/>
        <w:tabs>
          <w:tab w:leader="none" w:pos="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exhibits to the Agreement have been omitted pursuant to Item 601(a)(5) of Regulation S-K. A copy of any omitted schedule and/or exhibit will be furnished to the Securities and Exchange Commission upon request</w:t>
      </w:r>
    </w:p>
    <w:p>
      <w:pPr>
        <w:spacing w:after="0" w:line="342" w:lineRule="exact"/>
        <w:rPr>
          <w:sz w:val="20"/>
          <w:szCs w:val="20"/>
          <w:color w:val="auto"/>
        </w:rPr>
      </w:pPr>
    </w:p>
    <w:p>
      <w:pPr>
        <w:ind w:left="240" w:right="299" w:hanging="190"/>
        <w:spacing w:after="0" w:line="282" w:lineRule="auto"/>
        <w:tabs>
          <w:tab w:leader="none" w:pos="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portions of the exhibit. Confidential materials omitted and filed separately with the Securities and Exchange Commission.</w:t>
      </w:r>
    </w:p>
    <w:p>
      <w:pPr>
        <w:spacing w:after="0" w:line="54" w:lineRule="exact"/>
        <w:rPr>
          <w:sz w:val="20"/>
          <w:szCs w:val="20"/>
          <w:color w:val="auto"/>
        </w:rPr>
      </w:pPr>
    </w:p>
    <w:p>
      <w:pPr>
        <w:ind w:left="240" w:right="559" w:hanging="18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12529"/>
        </w:rPr>
        <w:t>Certain portions of the exhibit have been omitted pursuant to Regulation S-K Item 601(b) because it is both (i)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material to investors and (ii) likely to cause competitive harm to the Company if publicly disclosed.</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240" w:right="339" w:hanging="190"/>
        <w:spacing w:after="0" w:line="261" w:lineRule="auto"/>
        <w:tabs>
          <w:tab w:leader="none" w:pos="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Annual Report on Form 10-K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162" w:lineRule="exact"/>
        <w:rPr>
          <w:sz w:val="20"/>
          <w:szCs w:val="20"/>
          <w:color w:val="auto"/>
        </w:rPr>
      </w:pPr>
    </w:p>
    <w:p>
      <w:pPr>
        <w:jc w:val="center"/>
        <w:ind w:right="6539"/>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33" w:lineRule="exact"/>
        <w:rPr>
          <w:sz w:val="20"/>
          <w:szCs w:val="20"/>
          <w:color w:val="auto"/>
        </w:rPr>
      </w:pPr>
    </w:p>
    <w:p>
      <w:pPr>
        <w:jc w:val="center"/>
        <w:ind w:right="65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56" w:lineRule="exact"/>
        <w:rPr>
          <w:sz w:val="20"/>
          <w:szCs w:val="20"/>
          <w:color w:val="auto"/>
        </w:rPr>
      </w:pPr>
    </w:p>
    <w:p>
      <w:pPr>
        <w:ind w:left="60"/>
        <w:spacing w:after="0"/>
        <w:tabs>
          <w:tab w:leader="none" w:pos="4660" w:val="left"/>
          <w:tab w:leader="none" w:pos="5160" w:val="left"/>
        </w:tabs>
        <w:rPr>
          <w:sz w:val="20"/>
          <w:szCs w:val="20"/>
          <w:color w:val="auto"/>
        </w:rPr>
      </w:pPr>
      <w:r>
        <w:rPr>
          <w:rFonts w:ascii="Times New Roman" w:cs="Times New Roman" w:eastAsia="Times New Roman" w:hAnsi="Times New Roman"/>
          <w:sz w:val="18"/>
          <w:szCs w:val="18"/>
          <w:color w:val="auto"/>
        </w:rPr>
        <w:t>Date: February 15, 2024</w:t>
      </w:r>
      <w:r>
        <w:rPr>
          <w:sz w:val="20"/>
          <w:szCs w:val="20"/>
          <w:color w:val="auto"/>
        </w:rPr>
        <w:tab/>
      </w:r>
      <w:r>
        <w:rPr>
          <w:rFonts w:ascii="Times New Roman" w:cs="Times New Roman" w:eastAsia="Times New Roman" w:hAnsi="Times New Roman"/>
          <w:sz w:val="18"/>
          <w:szCs w:val="18"/>
          <w:color w:val="auto"/>
        </w:rPr>
        <w:t>By:</w:t>
        <w:tab/>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34290</wp:posOffset>
            </wp:positionV>
            <wp:extent cx="23914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3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00" w:lineRule="exact"/>
        <w:rPr>
          <w:sz w:val="20"/>
          <w:szCs w:val="20"/>
          <w:color w:val="auto"/>
        </w:rPr>
      </w:pPr>
    </w:p>
    <w:p>
      <w:pPr>
        <w:spacing w:after="0" w:line="257"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9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29"/>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 Kathryn Haviland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240" w:type="dxa"/>
            <w:vAlign w:val="bottom"/>
            <w:vMerge w:val="restart"/>
          </w:tcPr>
          <w:p>
            <w:pPr>
              <w:spacing w:after="0"/>
              <w:rPr>
                <w:sz w:val="5"/>
                <w:szCs w:val="5"/>
                <w:color w:val="auto"/>
              </w:rPr>
            </w:pPr>
          </w:p>
        </w:tc>
        <w:tc>
          <w:tcPr>
            <w:tcW w:w="4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Kathryn Haviland</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 Michael Landsittel</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240" w:type="dxa"/>
            <w:vAlign w:val="bottom"/>
            <w:vMerge w:val="restart"/>
          </w:tcPr>
          <w:p>
            <w:pPr>
              <w:spacing w:after="0"/>
              <w:rPr>
                <w:sz w:val="5"/>
                <w:szCs w:val="5"/>
                <w:color w:val="auto"/>
              </w:rPr>
            </w:pPr>
          </w:p>
        </w:tc>
        <w:tc>
          <w:tcPr>
            <w:tcW w:w="4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Michael Landsittel</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 Ariel Hurley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Senior Vice President, Finance</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c>
          <w:tcPr>
            <w:tcW w:w="0" w:type="dxa"/>
            <w:vAlign w:val="bottom"/>
          </w:tcPr>
          <w:p>
            <w:pPr>
              <w:spacing w:after="0"/>
              <w:rPr>
                <w:sz w:val="1"/>
                <w:szCs w:val="1"/>
                <w:color w:val="auto"/>
              </w:rPr>
            </w:pPr>
          </w:p>
        </w:tc>
      </w:tr>
      <w:tr>
        <w:trPr>
          <w:trHeight w:val="34"/>
        </w:trPr>
        <w:tc>
          <w:tcPr>
            <w:tcW w:w="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6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W. Albers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Jeffrey W. Albers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Daniella Beckman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Alexis Borisy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Lonnel Coats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Lonnel Coats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Habib Dable</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Habib Dable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Goldberg</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Mark Goldberg,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Lydon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Nicholas Lydon, Ph.D.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 Seely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Lynn Seely,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Tsai</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John Tsai,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40" w:type="dxa"/>
            <w:vAlign w:val="bottom"/>
            <w:gridSpan w:val="4"/>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Blueprint Medicines Corporation</w:t>
            </w:r>
          </w:p>
        </w:tc>
        <w:tc>
          <w:tcPr>
            <w:tcW w:w="1520" w:type="dxa"/>
            <w:vAlign w:val="bottom"/>
          </w:tcPr>
          <w:p>
            <w:pPr>
              <w:spacing w:after="0"/>
              <w:rPr>
                <w:sz w:val="20"/>
                <w:szCs w:val="20"/>
                <w:color w:val="auto"/>
              </w:rPr>
            </w:pPr>
          </w:p>
        </w:tc>
      </w:tr>
      <w:tr>
        <w:trPr>
          <w:trHeight w:val="459"/>
        </w:trPr>
        <w:tc>
          <w:tcPr>
            <w:tcW w:w="2080" w:type="dxa"/>
            <w:vAlign w:val="bottom"/>
          </w:tcPr>
          <w:p>
            <w:pPr>
              <w:spacing w:after="0"/>
              <w:rPr>
                <w:sz w:val="24"/>
                <w:szCs w:val="24"/>
                <w:color w:val="auto"/>
              </w:rPr>
            </w:pPr>
          </w:p>
        </w:tc>
        <w:tc>
          <w:tcPr>
            <w:tcW w:w="530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520" w:type="dxa"/>
            <w:vAlign w:val="bottom"/>
          </w:tcPr>
          <w:p>
            <w:pPr>
              <w:spacing w:after="0"/>
              <w:rPr>
                <w:sz w:val="24"/>
                <w:szCs w:val="24"/>
                <w:color w:val="auto"/>
              </w:rPr>
            </w:pPr>
          </w:p>
        </w:tc>
      </w:tr>
      <w:tr>
        <w:trPr>
          <w:trHeight w:val="405"/>
        </w:trPr>
        <w:tc>
          <w:tcPr>
            <w:tcW w:w="4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3160" w:type="dxa"/>
            <w:vAlign w:val="bottom"/>
            <w:gridSpan w:val="2"/>
          </w:tcPr>
          <w:p>
            <w:pPr>
              <w:spacing w:after="0"/>
              <w:rPr>
                <w:sz w:val="24"/>
                <w:szCs w:val="24"/>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7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w:t>
            </w:r>
          </w:p>
        </w:tc>
        <w:tc>
          <w:tcPr>
            <w:tcW w:w="2700" w:type="dxa"/>
            <w:vAlign w:val="bottom"/>
          </w:tcPr>
          <w:p>
            <w:pPr>
              <w:spacing w:after="0"/>
              <w:rPr>
                <w:sz w:val="17"/>
                <w:szCs w:val="17"/>
                <w:color w:val="auto"/>
              </w:rPr>
            </w:pP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7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35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840" w:type="dxa"/>
            <w:vAlign w:val="bottom"/>
            <w:gridSpan w:val="3"/>
          </w:tcPr>
          <w:p>
            <w:pPr>
              <w:spacing w:after="0"/>
              <w:rPr>
                <w:sz w:val="17"/>
                <w:szCs w:val="17"/>
                <w:color w:val="auto"/>
              </w:rPr>
            </w:pP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F-9</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Blueprint Medicines Corporation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Blueprint Medicines Corporation (the Company) as of December 31, 2023 and 2022, the related consolidated statements of operations and comprehensive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7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15, 2024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i w:val="1"/>
          <w:iCs w:val="1"/>
          <w:color w:val="auto"/>
        </w:rPr>
        <w:t>Accrued Clinical Trial Expenses</w:t>
      </w:r>
    </w:p>
    <w:p>
      <w:pPr>
        <w:spacing w:after="0" w:line="227" w:lineRule="exact"/>
        <w:rPr>
          <w:sz w:val="20"/>
          <w:szCs w:val="20"/>
          <w:color w:val="auto"/>
        </w:rPr>
      </w:pPr>
    </w:p>
    <w:p>
      <w:pPr>
        <w:ind w:left="14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Description of</w:t>
      </w:r>
      <w:r>
        <w:rPr>
          <w:sz w:val="20"/>
          <w:szCs w:val="20"/>
          <w:color w:val="auto"/>
        </w:rPr>
        <w:tab/>
      </w:r>
      <w:r>
        <w:rPr>
          <w:rFonts w:ascii="Times New Roman" w:cs="Times New Roman" w:eastAsia="Times New Roman" w:hAnsi="Times New Roman"/>
          <w:sz w:val="18"/>
          <w:szCs w:val="18"/>
          <w:color w:val="auto"/>
        </w:rPr>
        <w:t>As discussed in Note 2 to the consolidated financial statements, the Company accrues costs for</w:t>
      </w:r>
    </w:p>
    <w:p>
      <w:pPr>
        <w:spacing w:after="0" w:line="29" w:lineRule="exact"/>
        <w:rPr>
          <w:sz w:val="20"/>
          <w:szCs w:val="20"/>
          <w:color w:val="auto"/>
        </w:rPr>
      </w:pPr>
    </w:p>
    <w:p>
      <w:pPr>
        <w:ind w:left="14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the Matter</w:t>
      </w:r>
      <w:r>
        <w:rPr>
          <w:sz w:val="20"/>
          <w:szCs w:val="20"/>
          <w:color w:val="auto"/>
        </w:rPr>
        <w:tab/>
      </w:r>
      <w:r>
        <w:rPr>
          <w:rFonts w:ascii="Times New Roman" w:cs="Times New Roman" w:eastAsia="Times New Roman" w:hAnsi="Times New Roman"/>
          <w:sz w:val="18"/>
          <w:szCs w:val="18"/>
          <w:color w:val="auto"/>
        </w:rPr>
        <w:t>clinical trial activities based upon estimates of the services received and related expenses incurred</w:t>
      </w:r>
    </w:p>
    <w:p>
      <w:pPr>
        <w:spacing w:after="0" w:line="9" w:lineRule="exact"/>
        <w:rPr>
          <w:sz w:val="20"/>
          <w:szCs w:val="20"/>
          <w:color w:val="auto"/>
        </w:rPr>
      </w:pPr>
    </w:p>
    <w:p>
      <w:pPr>
        <w:ind w:left="1780" w:right="179"/>
        <w:spacing w:after="0" w:line="260" w:lineRule="auto"/>
        <w:rPr>
          <w:sz w:val="20"/>
          <w:szCs w:val="20"/>
          <w:color w:val="auto"/>
        </w:rPr>
      </w:pPr>
      <w:r>
        <w:rPr>
          <w:rFonts w:ascii="Times New Roman" w:cs="Times New Roman" w:eastAsia="Times New Roman" w:hAnsi="Times New Roman"/>
          <w:sz w:val="18"/>
          <w:szCs w:val="18"/>
          <w:color w:val="auto"/>
        </w:rPr>
        <w:t>through the balance sheet date that have yet to be invoiced by the contract research organizations or other clinical trial vendors that perform the activities.</w:t>
      </w:r>
    </w:p>
    <w:p>
      <w:pPr>
        <w:spacing w:after="0" w:line="168" w:lineRule="exact"/>
        <w:rPr>
          <w:sz w:val="20"/>
          <w:szCs w:val="20"/>
          <w:color w:val="auto"/>
        </w:rPr>
      </w:pPr>
    </w:p>
    <w:p>
      <w:pPr>
        <w:ind w:left="1780" w:right="239"/>
        <w:spacing w:after="0" w:line="258" w:lineRule="auto"/>
        <w:rPr>
          <w:sz w:val="20"/>
          <w:szCs w:val="20"/>
          <w:color w:val="auto"/>
        </w:rPr>
      </w:pPr>
      <w:r>
        <w:rPr>
          <w:rFonts w:ascii="Times New Roman" w:cs="Times New Roman" w:eastAsia="Times New Roman" w:hAnsi="Times New Roman"/>
          <w:sz w:val="18"/>
          <w:szCs w:val="18"/>
          <w:color w:val="auto"/>
        </w:rPr>
        <w:t>Auditing the Company’s accruals for clinical trials is challenging due to the fact that information necessary to estimate the accruals is accumulated from multiple sources. In addition, in certain circumstances, the determination of the nature and level of services that have been received during the reporting period requires judgment because the timing and pattern of vendor invoicing does not correspond to the level of services provided and there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tbl>
      <w:tblPr>
        <w:tblLayout w:type="fixed"/>
        <w:tblInd w:w="6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Table of Contents</w:t>
            </w:r>
          </w:p>
        </w:tc>
        <w:tc>
          <w:tcPr>
            <w:tcW w:w="7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1260" w:type="dxa"/>
            <w:vAlign w:val="bottom"/>
          </w:tcPr>
          <w:p>
            <w:pPr>
              <w:spacing w:after="0"/>
              <w:rPr>
                <w:sz w:val="24"/>
                <w:szCs w:val="24"/>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be delays in invoicing from clinical study sites and other vendors.</w:t>
            </w:r>
          </w:p>
        </w:tc>
        <w:tc>
          <w:tcPr>
            <w:tcW w:w="0" w:type="dxa"/>
            <w:vAlign w:val="bottom"/>
          </w:tcPr>
          <w:p>
            <w:pPr>
              <w:spacing w:after="0"/>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 obtained an understanding of, evaluated the design and tested the operating effectiveness of</w:t>
            </w:r>
          </w:p>
        </w:tc>
        <w:tc>
          <w:tcPr>
            <w:tcW w:w="0" w:type="dxa"/>
            <w:vAlign w:val="bottom"/>
          </w:tcPr>
          <w:p>
            <w:pPr>
              <w:spacing w:after="0"/>
              <w:rPr>
                <w:sz w:val="1"/>
                <w:szCs w:val="1"/>
                <w:color w:val="auto"/>
              </w:rPr>
            </w:pPr>
          </w:p>
        </w:tc>
      </w:tr>
      <w:tr>
        <w:trPr>
          <w:trHeight w:val="216"/>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internal controls that addressed the identified risks related to the Company’s process for recording</w:t>
            </w:r>
          </w:p>
        </w:tc>
        <w:tc>
          <w:tcPr>
            <w:tcW w:w="0" w:type="dxa"/>
            <w:vAlign w:val="bottom"/>
          </w:tcPr>
          <w:p>
            <w:pPr>
              <w:spacing w:after="0"/>
              <w:rPr>
                <w:sz w:val="1"/>
                <w:szCs w:val="1"/>
                <w:color w:val="auto"/>
              </w:rPr>
            </w:pPr>
          </w:p>
        </w:tc>
      </w:tr>
      <w:tr>
        <w:trPr>
          <w:trHeight w:val="216"/>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clinical expenses.</w:t>
            </w:r>
          </w:p>
        </w:tc>
        <w:tc>
          <w:tcPr>
            <w:tcW w:w="0" w:type="dxa"/>
            <w:vAlign w:val="bottom"/>
          </w:tcPr>
          <w:p>
            <w:pPr>
              <w:spacing w:after="0"/>
              <w:rPr>
                <w:sz w:val="1"/>
                <w:szCs w:val="1"/>
                <w:color w:val="auto"/>
              </w:rPr>
            </w:pPr>
          </w:p>
        </w:tc>
      </w:tr>
      <w:tr>
        <w:trPr>
          <w:trHeight w:val="236"/>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Audit</w:t>
            </w:r>
          </w:p>
        </w:tc>
        <w:tc>
          <w:tcPr>
            <w:tcW w:w="75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To evaluate the accrual for clinical expenses, our audit procedures included, among others,</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7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testing the completeness and accuracy of the underlying data used in the estimates and</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7520" w:type="dxa"/>
            <w:vAlign w:val="bottom"/>
          </w:tcPr>
          <w:p>
            <w:pPr>
              <w:ind w:left="460"/>
              <w:spacing w:after="0" w:line="202" w:lineRule="exact"/>
              <w:rPr>
                <w:sz w:val="20"/>
                <w:szCs w:val="20"/>
                <w:color w:val="auto"/>
              </w:rPr>
            </w:pPr>
            <w:r>
              <w:rPr>
                <w:rFonts w:ascii="Times New Roman" w:cs="Times New Roman" w:eastAsia="Times New Roman" w:hAnsi="Times New Roman"/>
                <w:sz w:val="18"/>
                <w:szCs w:val="18"/>
                <w:color w:val="auto"/>
              </w:rPr>
              <w:t>evaluating the significant assumptions including, but not limited to, expected patient enrollment,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costs per patient, site activation and estimated project duration, that are used by management to</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estimate the recorded accruals. To assess the reasonableness of the significant assumptions, we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corroborated the progress of clinical trials with the Company’s clinical team and obtained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information directly from third parties related to active patient sites and currently enrolled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patients. We also tested subsequent invoicing received from such third parties and inspected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Company’s contracts with third parties and any pending change orders to assess the impact to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accrual through the balance sheet date and compared that to the Company’s estimates.</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4"/>
        </w:trPr>
        <w:tc>
          <w:tcPr>
            <w:tcW w:w="6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183"/>
        </w:trPr>
        <w:tc>
          <w:tcPr>
            <w:tcW w:w="6620" w:type="dxa"/>
            <w:vAlign w:val="bottom"/>
            <w:shd w:val="clear" w:color="auto" w:fill="CCEEFF"/>
          </w:tcPr>
          <w:p>
            <w:pPr>
              <w:ind w:left="3040"/>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71,286</w:t>
            </w:r>
          </w:p>
        </w:tc>
        <w:tc>
          <w:tcPr>
            <w:tcW w:w="1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119,709</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639,355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825,283</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23,525</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13,413</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29,697</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33,351</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35,024</w:t>
            </w:r>
          </w:p>
        </w:tc>
        <w:tc>
          <w:tcPr>
            <w:tcW w:w="100" w:type="dxa"/>
            <w:vAlign w:val="bottom"/>
            <w:tcBorders>
              <w:bottom w:val="single" w:sz="8" w:color="CCEEFF"/>
            </w:tcBorders>
          </w:tcPr>
          <w:p>
            <w:pPr>
              <w:spacing w:after="0"/>
              <w:rPr>
                <w:sz w:val="16"/>
                <w:szCs w:val="16"/>
                <w:color w:val="auto"/>
              </w:rPr>
            </w:pPr>
          </w:p>
        </w:tc>
      </w:tr>
      <w:tr>
        <w:trPr>
          <w:trHeight w:val="183"/>
        </w:trPr>
        <w:tc>
          <w:tcPr>
            <w:tcW w:w="66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808,393</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1,046,651</w:t>
            </w:r>
          </w:p>
        </w:tc>
        <w:tc>
          <w:tcPr>
            <w:tcW w:w="100" w:type="dxa"/>
            <w:vAlign w:val="bottom"/>
            <w:shd w:val="clear" w:color="auto" w:fill="CCEEFF"/>
          </w:tcPr>
          <w:p>
            <w:pPr>
              <w:spacing w:after="0"/>
              <w:rPr>
                <w:sz w:val="15"/>
                <w:szCs w:val="15"/>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56,530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133,480</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33,344</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73,691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81,854</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27,789</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30,650</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21,589</w:t>
            </w:r>
          </w:p>
        </w:tc>
        <w:tc>
          <w:tcPr>
            <w:tcW w:w="100" w:type="dxa"/>
            <w:vAlign w:val="bottom"/>
            <w:shd w:val="clear" w:color="auto" w:fill="CCEEFF"/>
          </w:tcPr>
          <w:p>
            <w:pPr>
              <w:spacing w:after="0"/>
              <w:rPr>
                <w:sz w:val="16"/>
                <w:szCs w:val="16"/>
                <w:color w:val="auto"/>
              </w:rPr>
            </w:pPr>
          </w:p>
        </w:tc>
      </w:tr>
      <w:tr>
        <w:trPr>
          <w:trHeight w:val="223"/>
        </w:trPr>
        <w:tc>
          <w:tcPr>
            <w:tcW w:w="662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1,049,250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1,349,902</w:t>
            </w:r>
          </w:p>
        </w:tc>
        <w:tc>
          <w:tcPr>
            <w:tcW w:w="100" w:type="dxa"/>
            <w:vAlign w:val="bottom"/>
            <w:tcBorders>
              <w:bottom w:val="single" w:sz="8" w:color="CCEEFF"/>
            </w:tcBorders>
          </w:tcPr>
          <w:p>
            <w:pPr>
              <w:spacing w:after="0"/>
              <w:rPr>
                <w:sz w:val="19"/>
                <w:szCs w:val="19"/>
                <w:color w:val="auto"/>
              </w:rPr>
            </w:pPr>
          </w:p>
        </w:tc>
      </w:tr>
      <w:tr>
        <w:trPr>
          <w:trHeight w:val="169"/>
        </w:trPr>
        <w:tc>
          <w:tcPr>
            <w:tcW w:w="6620" w:type="dxa"/>
            <w:vAlign w:val="bottom"/>
            <w:shd w:val="clear" w:color="auto" w:fill="CCEEFF"/>
          </w:tcPr>
          <w:p>
            <w:pPr>
              <w:ind w:left="2040"/>
              <w:spacing w:after="0" w:line="170"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1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127,992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131,123</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10,579</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4,667</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liabilities related to the sale of future royalties and revenues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17,285</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term loan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30,278</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16,851</w:t>
            </w:r>
          </w:p>
        </w:tc>
        <w:tc>
          <w:tcPr>
            <w:tcW w:w="100" w:type="dxa"/>
            <w:vAlign w:val="bottom"/>
            <w:tcBorders>
              <w:bottom w:val="single" w:sz="8" w:color="CCEEFF"/>
            </w:tcBorders>
          </w:tcPr>
          <w:p>
            <w:pPr>
              <w:spacing w:after="0"/>
              <w:rPr>
                <w:sz w:val="16"/>
                <w:szCs w:val="16"/>
                <w:color w:val="auto"/>
              </w:rPr>
            </w:pPr>
          </w:p>
        </w:tc>
      </w:tr>
      <w:tr>
        <w:trPr>
          <w:trHeight w:val="183"/>
        </w:trPr>
        <w:tc>
          <w:tcPr>
            <w:tcW w:w="66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214,923</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183,234</w:t>
            </w:r>
          </w:p>
        </w:tc>
        <w:tc>
          <w:tcPr>
            <w:tcW w:w="100" w:type="dxa"/>
            <w:vAlign w:val="bottom"/>
            <w:shd w:val="clear" w:color="auto" w:fill="CCEEFF"/>
          </w:tcPr>
          <w:p>
            <w:pPr>
              <w:spacing w:after="0"/>
              <w:rPr>
                <w:sz w:val="15"/>
                <w:szCs w:val="15"/>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81,751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92,789</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13,624</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Liabilities related to the sale of future royalties and revenues, net of current portion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402,427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413,045</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 of current portion</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208,535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122,232</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6,213</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10,301</w:t>
            </w:r>
          </w:p>
        </w:tc>
        <w:tc>
          <w:tcPr>
            <w:tcW w:w="100" w:type="dxa"/>
            <w:vAlign w:val="bottom"/>
            <w:tcBorders>
              <w:bottom w:val="single" w:sz="8" w:color="CCEEFF"/>
            </w:tcBorders>
          </w:tcPr>
          <w:p>
            <w:pPr>
              <w:spacing w:after="0"/>
              <w:rPr>
                <w:sz w:val="16"/>
                <w:szCs w:val="16"/>
                <w:color w:val="auto"/>
              </w:rPr>
            </w:pPr>
          </w:p>
        </w:tc>
      </w:tr>
      <w:tr>
        <w:trPr>
          <w:trHeight w:val="183"/>
        </w:trPr>
        <w:tc>
          <w:tcPr>
            <w:tcW w:w="66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918,641</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835,225</w:t>
            </w:r>
          </w:p>
        </w:tc>
        <w:tc>
          <w:tcPr>
            <w:tcW w:w="100" w:type="dxa"/>
            <w:vAlign w:val="bottom"/>
            <w:shd w:val="clear" w:color="auto" w:fill="CCEEFF"/>
          </w:tcPr>
          <w:p>
            <w:pPr>
              <w:spacing w:after="0"/>
              <w:rPr>
                <w:sz w:val="15"/>
                <w:szCs w:val="15"/>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75"/>
        </w:trPr>
        <w:tc>
          <w:tcPr>
            <w:tcW w:w="66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Common stock, $0.001 par value; 120,000,000 shares authorized; 61,147,236 and 59,958,919 shares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issued and outstanding at December 31, 2023 and December 31, 2022, respectively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2,473,985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2,358,018</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(10,443)</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(2,339,942)</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(1,832,958)</w:t>
            </w:r>
          </w:p>
        </w:tc>
        <w:tc>
          <w:tcPr>
            <w:tcW w:w="100" w:type="dxa"/>
            <w:vAlign w:val="bottom"/>
            <w:tcBorders>
              <w:bottom w:val="single" w:sz="8" w:color="CCEEFF"/>
            </w:tcBorders>
          </w:tcPr>
          <w:p>
            <w:pPr>
              <w:spacing w:after="0"/>
              <w:rPr>
                <w:sz w:val="16"/>
                <w:szCs w:val="16"/>
                <w:color w:val="auto"/>
              </w:rPr>
            </w:pPr>
          </w:p>
        </w:tc>
      </w:tr>
      <w:tr>
        <w:trPr>
          <w:trHeight w:val="183"/>
        </w:trPr>
        <w:tc>
          <w:tcPr>
            <w:tcW w:w="66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130,609</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514,677</w:t>
            </w:r>
          </w:p>
        </w:tc>
        <w:tc>
          <w:tcPr>
            <w:tcW w:w="100" w:type="dxa"/>
            <w:vAlign w:val="bottom"/>
            <w:shd w:val="clear" w:color="auto" w:fill="CCEEFF"/>
          </w:tcPr>
          <w:p>
            <w:pPr>
              <w:spacing w:after="0"/>
              <w:rPr>
                <w:sz w:val="15"/>
                <w:szCs w:val="15"/>
                <w:color w:val="auto"/>
              </w:rPr>
            </w:pPr>
          </w:p>
        </w:tc>
      </w:tr>
      <w:tr>
        <w:trPr>
          <w:trHeight w:val="183"/>
        </w:trPr>
        <w:tc>
          <w:tcPr>
            <w:tcW w:w="66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1,049,250</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1,349,902</w:t>
            </w:r>
          </w:p>
        </w:tc>
        <w:tc>
          <w:tcPr>
            <w:tcW w:w="100" w:type="dxa"/>
            <w:vAlign w:val="bottom"/>
          </w:tcPr>
          <w:p>
            <w:pPr>
              <w:spacing w:after="0"/>
              <w:rPr>
                <w:sz w:val="15"/>
                <w:szCs w:val="15"/>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1520" w:right="1940"/>
        <w:spacing w:after="0" w:line="268" w:lineRule="auto"/>
        <w:rPr>
          <w:sz w:val="20"/>
          <w:szCs w:val="20"/>
          <w:color w:val="auto"/>
        </w:rPr>
      </w:pPr>
      <w:r>
        <w:rPr>
          <w:rFonts w:ascii="Times New Roman" w:cs="Times New Roman" w:eastAsia="Times New Roman" w:hAnsi="Times New Roman"/>
          <w:sz w:val="18"/>
          <w:szCs w:val="18"/>
          <w:b w:val="1"/>
          <w:bCs w:val="1"/>
          <w:color w:val="auto"/>
        </w:rPr>
        <w:t>Blueprint Medicines Corporation Consolidated Statements of Operations and Comprehensive Loss (in thousands, except per share data)</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4"/>
        </w:trPr>
        <w:tc>
          <w:tcPr>
            <w:tcW w:w="59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revenue - related party</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204,036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295,141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237,374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(18,793)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(16,767)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(506,984)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(557,517)</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 on pension benefit obligations</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available-for-sale investments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(8.37)</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(9.35)</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596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number of common shares used in net loss per share — basic</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60,558</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8"/>
        </w:trPr>
        <w:tc>
          <w:tcPr>
            <w:tcW w:w="4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6"/>
        </w:trPr>
        <w:tc>
          <w:tcPr>
            <w:tcW w:w="4180" w:type="dxa"/>
            <w:vAlign w:val="bottom"/>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44"/>
        </w:trPr>
        <w:tc>
          <w:tcPr>
            <w:tcW w:w="418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2"/>
                <w:szCs w:val="12"/>
                <w:color w:val="auto"/>
              </w:rPr>
            </w:pPr>
          </w:p>
        </w:tc>
        <w:tc>
          <w:tcPr>
            <w:tcW w:w="8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Pr>
          <w:p>
            <w:pPr>
              <w:spacing w:after="0"/>
              <w:rPr>
                <w:sz w:val="12"/>
                <w:szCs w:val="12"/>
                <w:color w:val="auto"/>
              </w:rPr>
            </w:pPr>
          </w:p>
        </w:tc>
        <w:tc>
          <w:tcPr>
            <w:tcW w:w="720" w:type="dxa"/>
            <w:vAlign w:val="bottom"/>
            <w:gridSpan w:val="2"/>
          </w:tcPr>
          <w:p>
            <w:pPr>
              <w:jc w:val="right"/>
              <w:ind w:right="320"/>
              <w:spacing w:after="0" w:line="144"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2"/>
                <w:szCs w:val="12"/>
                <w:color w:val="auto"/>
              </w:rPr>
            </w:pPr>
          </w:p>
        </w:tc>
        <w:tc>
          <w:tcPr>
            <w:tcW w:w="600" w:type="dxa"/>
            <w:vAlign w:val="bottom"/>
          </w:tcPr>
          <w:p>
            <w:pPr>
              <w:jc w:val="right"/>
              <w:ind w:right="117"/>
              <w:spacing w:after="0" w:line="144"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42"/>
        </w:trPr>
        <w:tc>
          <w:tcPr>
            <w:tcW w:w="41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December 31, 2020</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57,793,533</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58</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7"/>
              </w:rPr>
              <w:t>$ 2,106,600</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(5,214)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(631,356)</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1,470,088</w:t>
            </w:r>
          </w:p>
        </w:tc>
      </w:tr>
      <w:tr>
        <w:trPr>
          <w:trHeight w:val="14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 and stock purchase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1,347,553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50,615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50,616</w:t>
            </w: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93,035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93,035</w:t>
            </w:r>
          </w:p>
        </w:tc>
      </w:tr>
      <w:tr>
        <w:trPr>
          <w:trHeight w:val="14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w:t>
            </w:r>
          </w:p>
        </w:tc>
      </w:tr>
      <w:tr>
        <w:trPr>
          <w:trHeight w:val="14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(644,085)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(644,085)</w:t>
            </w:r>
          </w:p>
        </w:tc>
      </w:tr>
      <w:tr>
        <w:trPr>
          <w:trHeight w:val="142"/>
        </w:trPr>
        <w:tc>
          <w:tcPr>
            <w:tcW w:w="41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December 31, 2021</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59,141,086</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59</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7"/>
              </w:rPr>
              <w:t>$ 2,250,250</w:t>
            </w:r>
          </w:p>
        </w:tc>
        <w:tc>
          <w:tcPr>
            <w:tcW w:w="120" w:type="dxa"/>
            <w:vAlign w:val="bottom"/>
          </w:tcPr>
          <w:p>
            <w:pPr>
              <w:spacing w:after="0"/>
              <w:rPr>
                <w:sz w:val="12"/>
                <w:szCs w:val="12"/>
                <w:color w:val="auto"/>
              </w:rPr>
            </w:pPr>
          </w:p>
        </w:tc>
        <w:tc>
          <w:tcPr>
            <w:tcW w:w="16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(4,133)</w:t>
            </w:r>
          </w:p>
        </w:tc>
        <w:tc>
          <w:tcPr>
            <w:tcW w:w="12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5"/>
              </w:rPr>
              <w:t>(1,275,441)</w:t>
            </w: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970,735</w:t>
            </w:r>
          </w:p>
        </w:tc>
      </w:tr>
      <w:tr>
        <w:trPr>
          <w:trHeight w:val="148"/>
        </w:trPr>
        <w:tc>
          <w:tcPr>
            <w:tcW w:w="4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4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 and stock purchase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817,833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8,135</w:t>
            </w:r>
          </w:p>
        </w:tc>
      </w:tr>
      <w:tr>
        <w:trPr>
          <w:trHeight w:val="14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99,634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99,634</w:t>
            </w:r>
          </w:p>
        </w:tc>
      </w:tr>
      <w:tr>
        <w:trPr>
          <w:trHeight w:val="14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(6,310)</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(6,310)</w:t>
            </w: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(557,517)</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(557,517)</w:t>
            </w:r>
          </w:p>
        </w:tc>
      </w:tr>
      <w:tr>
        <w:trPr>
          <w:trHeight w:val="142"/>
        </w:trPr>
        <w:tc>
          <w:tcPr>
            <w:tcW w:w="41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December 31, 2022</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59,958,919</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60</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7"/>
              </w:rPr>
              <w:t>$ 2,358,018</w:t>
            </w:r>
          </w:p>
        </w:tc>
        <w:tc>
          <w:tcPr>
            <w:tcW w:w="120" w:type="dxa"/>
            <w:vAlign w:val="bottom"/>
          </w:tcPr>
          <w:p>
            <w:pPr>
              <w:spacing w:after="0"/>
              <w:rPr>
                <w:sz w:val="12"/>
                <w:szCs w:val="12"/>
                <w:color w:val="auto"/>
              </w:rPr>
            </w:pPr>
          </w:p>
        </w:tc>
        <w:tc>
          <w:tcPr>
            <w:tcW w:w="16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(10,443)</w:t>
            </w:r>
          </w:p>
        </w:tc>
        <w:tc>
          <w:tcPr>
            <w:tcW w:w="12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5"/>
              </w:rPr>
              <w:t>(1,832,958)</w:t>
            </w: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514,677</w:t>
            </w:r>
          </w:p>
        </w:tc>
      </w:tr>
      <w:tr>
        <w:trPr>
          <w:trHeight w:val="148"/>
        </w:trPr>
        <w:tc>
          <w:tcPr>
            <w:tcW w:w="4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49"/>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 and stock purchase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1,188,317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22,712</w:t>
            </w: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93,256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93,256</w:t>
            </w:r>
          </w:p>
        </w:tc>
      </w:tr>
      <w:tr>
        <w:trPr>
          <w:trHeight w:val="14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6,948</w:t>
            </w: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(506,984)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(506,984)</w:t>
            </w:r>
          </w:p>
        </w:tc>
      </w:tr>
      <w:tr>
        <w:trPr>
          <w:trHeight w:val="142"/>
        </w:trPr>
        <w:tc>
          <w:tcPr>
            <w:tcW w:w="41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December 31, 2023</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61,147,236</w:t>
            </w:r>
          </w:p>
        </w:tc>
        <w:tc>
          <w:tcPr>
            <w:tcW w:w="1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61</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7"/>
              </w:rPr>
              <w:t>$ 2,473,985</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(3,495)</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5"/>
              </w:rPr>
              <w:t>(2,339,942)</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130,609</w:t>
            </w:r>
          </w:p>
        </w:tc>
      </w:tr>
      <w:tr>
        <w:trPr>
          <w:trHeight w:val="20"/>
        </w:trPr>
        <w:tc>
          <w:tcPr>
            <w:tcW w:w="4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9"/>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4"/>
        </w:trPr>
        <w:tc>
          <w:tcPr>
            <w:tcW w:w="59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(506,984)</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(557,517)</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(644,085)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customer consideration</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259,957</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(accretion of discount) amortization of premium on investments</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(17,466)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(20,715)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(12,687)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(502,277)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(298,653)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(16,062)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in-process research and development asset, net of cash acquired</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(258,152)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(766,363)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(489,705)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(655,449)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690,830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(225,860)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the sale of future royalties and revenues</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term loan facility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stock option exercises and employee stock purchase plan</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119,225</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561,810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(43,582)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(473,797)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81,524</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124,904</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215,119</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38,467</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Property and equipment purchases unpaid at period end</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(refunds received) for taxes, net</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60" w:type="dxa"/>
            <w:vAlign w:val="bottom"/>
            <w:vMerge w:val="continue"/>
          </w:tcPr>
          <w:p>
            <w:pPr>
              <w:spacing w:after="0"/>
              <w:rPr>
                <w:sz w:val="17"/>
                <w:szCs w:val="17"/>
                <w:color w:val="auto"/>
              </w:rPr>
            </w:pPr>
          </w:p>
        </w:tc>
        <w:tc>
          <w:tcPr>
            <w:tcW w:w="140" w:type="dxa"/>
            <w:vAlign w:val="bottom"/>
            <w:tcBorders>
              <w:bottom w:val="single" w:sz="8" w:color="auto"/>
            </w:tcBorders>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6,505</w:t>
            </w:r>
          </w:p>
        </w:tc>
        <w:tc>
          <w:tcPr>
            <w:tcW w:w="10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4"/>
        </w:trPr>
        <w:tc>
          <w:tcPr>
            <w:tcW w:w="6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r>
      <w:tr>
        <w:trPr>
          <w:trHeight w:val="16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71,286</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119,709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209,948</w:t>
            </w:r>
          </w:p>
        </w:tc>
        <w:tc>
          <w:tcPr>
            <w:tcW w:w="80" w:type="dxa"/>
            <w:vAlign w:val="bottom"/>
            <w:shd w:val="clear" w:color="auto" w:fill="CCEEFF"/>
          </w:tcPr>
          <w:p>
            <w:pPr>
              <w:spacing w:after="0"/>
              <w:rPr>
                <w:sz w:val="14"/>
                <w:szCs w:val="14"/>
                <w:color w:val="auto"/>
              </w:rPr>
            </w:pPr>
          </w:p>
        </w:tc>
      </w:tr>
      <w:tr>
        <w:trPr>
          <w:trHeight w:val="175"/>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10,238</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80" w:type="dxa"/>
            <w:vAlign w:val="bottom"/>
            <w:tcBorders>
              <w:bottom w:val="single" w:sz="8" w:color="CCEEFF"/>
            </w:tcBorders>
          </w:tcPr>
          <w:p>
            <w:pPr>
              <w:spacing w:after="0"/>
              <w:rPr>
                <w:sz w:val="15"/>
                <w:szCs w:val="15"/>
                <w:color w:val="auto"/>
              </w:rPr>
            </w:pPr>
          </w:p>
        </w:tc>
      </w:tr>
      <w:tr>
        <w:trPr>
          <w:trHeight w:val="169"/>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consolidated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81,524</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124,904</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215,119</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16"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Blueprint Medicines Corporation (the Company), a Delaware corporation incorporated on October 14, 2008, is a fully-integrated, commercial-stage, global biopharmaceutical company that invents life-changing medicines in two core, strategic areas of allergy/inflammation and oncology/hematology. The Company’s approach is to pursue discovery, development, and commercialization of therapies that potently and selectively target primary drivers of disease, with focused investment in therapeutic areas where the Company can leverage its core expertise and business infrastructure to bring scale to the Company’s science.</w:t>
      </w:r>
    </w:p>
    <w:p>
      <w:pPr>
        <w:spacing w:after="0" w:line="187"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The Company is bringing AYVAKIT®/AYVAKYT® (avapritinib) to people living with systemic mastocytosis (SM) and PDGFRA Exon 18 mutant GIST in the U.S. and Europe. Additionally, the Company has a pipeline of research and development programs that range from early science to advanced clinical trials in mast cell-mediated diseases, including SM and chronic urticaria, breast cancer and other solid tumors vulnerable to CDK2 inhibition. The Company is devoting substantially all of its efforts to research and development for current and future drug candidates and commercialization of AYVAKIT/AYVAKYT, and any current or future drug candidates that obtain marketing approval.</w:t>
      </w:r>
    </w:p>
    <w:p>
      <w:pPr>
        <w:spacing w:after="0" w:line="18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is subject to a number of risks similar to those of other commercial-stage companies, including but not limited to: successful commercialization of its current and future drugs, either by itself or through collaboration with third parties; establishing safety and efficacy in clinical trials and obtaining regulatory approvals for its drug candidates; competition from other companies; compliance with comprehensive and ongoing regulatory requirements and legislative changes; and the need to obtain adequate additional financing to fund the development of its drug candidates. If the Company is unable to raise capital when needed or on attractive terms, it may be forced to delay, reduce, eliminate or repartner certain of its research and development programs or future commercialization efforts.</w:t>
      </w:r>
    </w:p>
    <w:p>
      <w:pPr>
        <w:spacing w:after="0" w:line="187"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cash, cash equivalents and marketable securities of $767.2 million. Based on the Company’s current operating plans, the Company anticipates that its existing cash, cash equivalents and marketable securities will be sufficient to enable it to fund its current operations for at least the next twelve months from the issuance of the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Recent Accounting Pronouncements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of the Company included herein have been prepared in accordance with accounting principles generally accepted in the U.S. (GAAP) as found in the Accounting Standards Codification (ASC) and Accounting Standards Update (ASU) of the Financial Accounting Standards Board (FASB) and the rules and regulations of the Securities and Exchange Commission (SEC).</w:t>
      </w:r>
    </w:p>
    <w:p>
      <w:pPr>
        <w:spacing w:after="0" w:line="166"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Blueprint Medicines (Italy) S.r.L. All intercompany transactions and balances have been eliminated.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liabilities</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related to the sale of future royalties and future revenues, equity investment, and income taxes. Actual results may differ from these estimates.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The Company accounts for contracts with customers in accordance with ASC Topic 606, </w:t>
      </w:r>
      <w:r>
        <w:rPr>
          <w:rFonts w:ascii="Times New Roman" w:cs="Times New Roman" w:eastAsia="Times New Roman" w:hAnsi="Times New Roman"/>
          <w:sz w:val="18"/>
          <w:szCs w:val="18"/>
          <w:i w:val="1"/>
          <w:iCs w:val="1"/>
          <w:color w:val="auto"/>
        </w:rPr>
        <w:t>Revenue from Contracts</w:t>
      </w:r>
    </w:p>
    <w:p>
      <w:pPr>
        <w:spacing w:after="0" w:line="50"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(ASC 606). The Company recognizes revenue when its customer obtains control of promised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5"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Consideration received prior to revenue recognition is recorded as deferred revenue in the consolidated balance sheets.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Amounts are recorded as accounts receivable if the Company transfer goods or services to a customer before the customer pays consideration and the Company’s right to consideration is unconditional. The Company does not assess whether a contract has a significant financing component if the expectation at contract inception is that the period between payment by the customer and the transfer of the promised goods or services to the customer will be one year or less.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generated product revenue primarily from sales of </w:t>
      </w:r>
      <w:r>
        <w:rPr>
          <w:rFonts w:ascii="Times New Roman" w:cs="Times New Roman" w:eastAsia="Times New Roman" w:hAnsi="Times New Roman"/>
          <w:sz w:val="18"/>
          <w:szCs w:val="18"/>
          <w:color w:val="0A0A0A"/>
          <w:highlight w:val="white"/>
        </w:rPr>
        <w:t>AYVAKIT</w:t>
      </w:r>
      <w:r>
        <w:rPr>
          <w:rFonts w:ascii="Times New Roman" w:cs="Times New Roman" w:eastAsia="Times New Roman" w:hAnsi="Times New Roman"/>
          <w:sz w:val="18"/>
          <w:szCs w:val="18"/>
          <w:color w:val="auto"/>
        </w:rPr>
        <w:t xml:space="preserve"> in the U.S and sales of AYVAKYT in the European Union to a limited number of specialty distributors and specialty pharmacy providers. These customers subsequently resell the products or dispense the products directly to patients. In addition, the Company entered into arrangements with payors that provide for government mandated rebates, discounts and allowances with respect to the utilization of </w:t>
      </w:r>
      <w:r>
        <w:rPr>
          <w:rFonts w:ascii="Times New Roman" w:cs="Times New Roman" w:eastAsia="Times New Roman" w:hAnsi="Times New Roman"/>
          <w:sz w:val="18"/>
          <w:szCs w:val="18"/>
          <w:color w:val="0A0A0A"/>
          <w:highlight w:val="white"/>
        </w:rPr>
        <w:t>its products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Product revenue is recognized when the customer takes control of the product, typically upon delivery to the customer. Product revenue is recorded at the net sales price, or transaction price, which includes estimated reserves for variable consideration resulting from chargebacks, government rebates, trade discounts and allowances, product returns and other incentives that are offered within the contract with customers, healthcare providers, payors and other indirect customers relating to the sales of the Company’s product. Reserves are established based on the amounts earned or to be claimed on the related sales. Where appropriate, the Company utilizes the expected value method to determine the appropriate amount for estimates of variable consideration based on factors such as the Company’s current contractual and statutory requirements, specific known market events and trends, industry data and forecasted customer buying and payment patterns, the percentage of product that are sold via these programs, and the product’s pricing.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adjusts these estimates, which would affect net product revenue and earnings in the period such variances become known.</w:t>
      </w:r>
    </w:p>
    <w:p>
      <w:pPr>
        <w:spacing w:after="0" w:line="192" w:lineRule="exact"/>
        <w:rPr>
          <w:sz w:val="20"/>
          <w:szCs w:val="20"/>
          <w:color w:val="auto"/>
        </w:rPr>
      </w:pPr>
    </w:p>
    <w:p>
      <w:pPr>
        <w:ind w:left="60" w:right="25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Chargebacks: </w:t>
      </w:r>
      <w:r>
        <w:rPr>
          <w:rFonts w:ascii="Times New Roman" w:cs="Times New Roman" w:eastAsia="Times New Roman" w:hAnsi="Times New Roman"/>
          <w:sz w:val="17"/>
          <w:szCs w:val="17"/>
          <w:color w:val="auto"/>
        </w:rPr>
        <w:t>Chargebacks for fees and discounts represent the estimated obligations resulting from contractual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commitments to sell product to qualified healthcare providers and government agencies at prices lower than the list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prices charged to the customers who directly purchase the product from the Company. The customers charge the Company for the difference between what they pay for the product and the ultimate contractually committed or government required lower selling price to the qualified healthcare providers. These reserves are estimated using the expected value method based upon a range of possible outcomes and are established in the same period that the related revenue is recognized, resulting in a reduction of product revenue.</w:t>
      </w:r>
    </w:p>
    <w:p>
      <w:pPr>
        <w:spacing w:after="0" w:line="181"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Government rebates consist of Medicare, Tricare and Medicaid rebates, which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using the expected value method, based upon a range of possible outcomes for the estimated payor mix. These reserves are recorded in the same period the related revenue is recognized, resulting in a reduction of product revenue. For Medicare, the Company also estimates the number of patients in the prescription drug coverage gap for whom it will owe a rebate under the Medicare Part D program.</w:t>
      </w:r>
    </w:p>
    <w:p>
      <w:pPr>
        <w:spacing w:after="0" w:line="183"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The Company provides the customers with discounts that are explicitly stated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contracts and recorded as a reduction of revenue in the period the related product revenue is recognized. In addition, the Company also receives sales order management, inventory management and data services from the customers in exchange for certain fees.</w:t>
      </w:r>
    </w:p>
    <w:p>
      <w:pPr>
        <w:spacing w:after="0" w:line="16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 estimates the amount of its product sales that may be returned by its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records this estimate as a reduction of revenue in the period the related product revenue is recognized. The Company currently estimates product return liabilities using expected value method based on available industry data and its visibility into the inventory remaining in the distribution channel.</w:t>
      </w:r>
    </w:p>
    <w:p>
      <w:pPr>
        <w:spacing w:after="0" w:line="180"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deductions: </w:t>
      </w:r>
      <w:r>
        <w:rPr>
          <w:rFonts w:ascii="Times New Roman" w:cs="Times New Roman" w:eastAsia="Times New Roman" w:hAnsi="Times New Roman"/>
          <w:sz w:val="18"/>
          <w:szCs w:val="18"/>
          <w:color w:val="auto"/>
        </w:rPr>
        <w:t>Co-pay assistance relates to financial assistance provided to qualified patients, whereby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assist them with prescription drug co-payments required by the patient’s insurance provider. Reserves for co-pay assistance are recorded in the same period the related revenue is recognized, resulting in a reduction of product revenue.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22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 xml:space="preserve">At contract inception, the Company analyzes its collaboration and license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therefore within the scope of ASC 606.</w:t>
      </w:r>
    </w:p>
    <w:p>
      <w:pPr>
        <w:spacing w:after="0" w:line="19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other participants associated with multiple activities in a collaboration arrangement based on the nature of each separate activity. For the co-commercialization and marketing activities of certain of the Company’s products and product candidates in a collaboration arrangement, where the Company is the principal on sales transactions with third parties, the Company recognizes revenues, cost of sales and operating expenses on a gross basis in their respective lines in its consolidated statements of operations and comprehensive income (loss). Where the Company is not the principal on sales transactions with third parties, the Company records its share of the revenues, cost of sales and operating expenses on a net basis as revenue (expenses) from the collaboration arrangement in its consolidated statements of operations and comprehensive income (loss).</w:t>
      </w:r>
    </w:p>
    <w:p>
      <w:pPr>
        <w:spacing w:after="0" w:line="19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For elements accounted within scope of ASC 606, to determine the appropriate amount of revenue to be recognized for the arrangements,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performance obligations based on</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determination under step (ii) above;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royalties and sales-based milestones,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185"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Exclusive Licenses. </w:t>
      </w:r>
      <w:r>
        <w:rPr>
          <w:rFonts w:ascii="Times New Roman" w:cs="Times New Roman" w:eastAsia="Times New Roman" w:hAnsi="Times New Roman"/>
          <w:sz w:val="17"/>
          <w:szCs w:val="17"/>
          <w:color w:val="auto"/>
        </w:rPr>
        <w:t>If the license to the Company’s intellectual property is determined to be distinct from the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65"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Services. </w:t>
      </w:r>
      <w:r>
        <w:rPr>
          <w:rFonts w:ascii="Times New Roman" w:cs="Times New Roman" w:eastAsia="Times New Roman" w:hAnsi="Times New Roman"/>
          <w:sz w:val="18"/>
          <w:szCs w:val="18"/>
          <w:color w:val="auto"/>
        </w:rPr>
        <w:t>The promises under the Company’s collaboration agreements may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services to be performed by the Company on behalf of the partner. Payments or reimbursements resulting from the Company’s research and development efforts are recognized as revenue when the services are performed and presented on a gross basis because the Company is the principal for such efforts. Payments or reimbursements from the partner that are the result of a collaborative relationship with the partner, instead of a customer relationship, such as co-development activities, are recorded as a reduction to research and development expense.</w:t>
      </w:r>
    </w:p>
    <w:p>
      <w:pPr>
        <w:spacing w:after="0" w:line="18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If an arrangement is determined to contain customer options that allow the customer to acquire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9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research or development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6" w:lineRule="exact"/>
        <w:rPr>
          <w:sz w:val="20"/>
          <w:szCs w:val="20"/>
          <w:color w:val="auto"/>
        </w:rPr>
      </w:pPr>
    </w:p>
    <w:p>
      <w:pPr>
        <w:ind w:left="60" w:right="899" w:firstLine="648"/>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Royalties. </w:t>
      </w:r>
      <w:r>
        <w:rPr>
          <w:rFonts w:ascii="Times New Roman" w:cs="Times New Roman" w:eastAsia="Times New Roman" w:hAnsi="Times New Roman"/>
          <w:sz w:val="17"/>
          <w:szCs w:val="17"/>
          <w:color w:val="auto"/>
        </w:rPr>
        <w:t>For arrangements that include sales-based royalties, including milestone payments upon first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commercial sales and milestone payments based on a level of sales, which are the result of a customer-vendor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relationship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spacing w:after="0" w:line="174" w:lineRule="exact"/>
        <w:rPr>
          <w:sz w:val="20"/>
          <w:szCs w:val="20"/>
          <w:color w:val="auto"/>
        </w:rPr>
      </w:pPr>
    </w:p>
    <w:p>
      <w:pPr>
        <w:ind w:left="60" w:right="279"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 complete discussion of accounting for collaboration and license revenues, see Note 11, </w:t>
      </w:r>
      <w:r>
        <w:rPr>
          <w:rFonts w:ascii="Times New Roman" w:cs="Times New Roman" w:eastAsia="Times New Roman" w:hAnsi="Times New Roman"/>
          <w:sz w:val="18"/>
          <w:szCs w:val="18"/>
          <w:i w:val="1"/>
          <w:iCs w:val="1"/>
          <w:color w:val="auto"/>
        </w:rPr>
        <w:t>Collaboration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Accounts receivable arise from product sales and amounts due from the Company’s collaboration partners. The amount from product sales primarily represents amounts due from specialty distributors and specialty pharmacy providers in the U.S.. The Company provides reserves against accounts receivable for current expected credit losses that are estimated based on the composition of its accounts receivable and the financial condition of the counterparty, considering past events, current economic conditions, and reasonable and supportable forecasts about the future economic conditions. The contractual life of our accounts receivable is generally short-term. Amounts determined to be uncollectible are charged or written-off against the reserve. For the years ended December 31, 2023, 2022 and 2021, the Company did not record any significant expected credit losses related to outstanding accounts receivable.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 first-out method. Inventory that can be used in either the production of clinical or commercial products is expensed as research and development costs when identified for use in clinical trials. The Company classifies its inventory costs as long-term when it expects to utilize the inventory beyond its normal operating cycle and includes these costs in other assets in the consolidated balance sheets.</w:t>
      </w:r>
    </w:p>
    <w:p>
      <w:pPr>
        <w:spacing w:after="0" w:line="183"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Prior to the regulatory approval of its drug candidates, the Company incurs expenses for the manufacture of drug product supplies to support clinical development that could potentially be available to support the commercial launch of those drugs. Until the date at which regulatory approval has been received or is otherwise considered probable, the Company records all such costs as research and development expenses.</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inventories during each reporting period and writes down any excess and obsolete inventory to its net realizable value in the period in which the impairment is first identified. Such impairment charges, should they occur, are recorded as a component of cost of product sales in the consolidated statements of operations and comprehensive income (loss). The determination of whether inventory costs will be realizable requires the use of estimates by management. If actual market conditions are less favorable than projected by management, additional write-downs of inventory may be required.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left="60" w:right="559" w:firstLine="648"/>
        <w:spacing w:after="0" w:line="312" w:lineRule="auto"/>
        <w:rPr>
          <w:sz w:val="20"/>
          <w:szCs w:val="20"/>
          <w:color w:val="auto"/>
        </w:rPr>
      </w:pPr>
      <w:r>
        <w:rPr>
          <w:rFonts w:ascii="Times New Roman" w:cs="Times New Roman" w:eastAsia="Times New Roman" w:hAnsi="Times New Roman"/>
          <w:sz w:val="17"/>
          <w:szCs w:val="17"/>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140" w:lineRule="exact"/>
        <w:rPr>
          <w:sz w:val="20"/>
          <w:szCs w:val="20"/>
          <w:color w:val="auto"/>
        </w:rPr>
      </w:pPr>
    </w:p>
    <w:p>
      <w:pPr>
        <w:ind w:left="1380" w:right="119" w:hanging="331"/>
        <w:spacing w:after="0" w:line="282" w:lineRule="auto"/>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values are determined utilizing quoted prices (unadjusted) in active markets for identical assets or liabilities that the Company has the ability to access;</w:t>
      </w:r>
    </w:p>
    <w:p>
      <w:pPr>
        <w:spacing w:after="0" w:line="161" w:lineRule="exact"/>
        <w:rPr>
          <w:rFonts w:ascii="Times New Roman" w:cs="Times New Roman" w:eastAsia="Times New Roman" w:hAnsi="Times New Roman"/>
          <w:sz w:val="18"/>
          <w:szCs w:val="18"/>
          <w:color w:val="auto"/>
        </w:rPr>
      </w:pPr>
    </w:p>
    <w:p>
      <w:pPr>
        <w:ind w:left="1380" w:right="439" w:hanging="331"/>
        <w:spacing w:after="0" w:line="266" w:lineRule="auto"/>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values are determined by utilizing quoted prices for identical or similar assets and liabilities in active markets or other market observable inputs such as interest rates, yield curves and foreign currency spot rates; and</w:t>
      </w:r>
    </w:p>
    <w:p>
      <w:pPr>
        <w:spacing w:after="0" w:line="175" w:lineRule="exact"/>
        <w:rPr>
          <w:rFonts w:ascii="Times New Roman" w:cs="Times New Roman" w:eastAsia="Times New Roman" w:hAnsi="Times New Roman"/>
          <w:sz w:val="18"/>
          <w:szCs w:val="18"/>
          <w:color w:val="auto"/>
        </w:rPr>
      </w:pPr>
    </w:p>
    <w:p>
      <w:pPr>
        <w:ind w:left="1380" w:right="119" w:hanging="331"/>
        <w:spacing w:after="0" w:line="255" w:lineRule="auto"/>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87" w:lineRule="exact"/>
        <w:rPr>
          <w:sz w:val="20"/>
          <w:szCs w:val="20"/>
          <w:color w:val="auto"/>
        </w:rPr>
      </w:pPr>
    </w:p>
    <w:p>
      <w:pPr>
        <w:ind w:left="60" w:right="419" w:firstLine="648"/>
        <w:spacing w:after="0" w:line="312" w:lineRule="auto"/>
        <w:rPr>
          <w:sz w:val="20"/>
          <w:szCs w:val="20"/>
          <w:color w:val="auto"/>
        </w:rPr>
      </w:pPr>
      <w:r>
        <w:rPr>
          <w:rFonts w:ascii="Times New Roman" w:cs="Times New Roman" w:eastAsia="Times New Roman" w:hAnsi="Times New Roman"/>
          <w:sz w:val="17"/>
          <w:szCs w:val="17"/>
          <w:color w:val="auto"/>
        </w:rPr>
        <w:t>The Company’s financial assets, which include cash equivalents and marketable securities, have been initially valued at the transaction price, and subsequently revalued at the end of each reporting period, utilizing third-party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pricing services. The pricing services utilize industry standard valuation models, including both income and market based approaches, to determine value.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have been no changes to the valuation methods during the years ended December 31, 2023, 2022 and 2021.</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from the date of purchase to be cash equivalents. As of December 31, 2023 and 2022, the Company’s cash equivalents comprised of money market funds with less than 90 days from the date of purchase. Cash equivalents are reported at fair value.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27"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The Company classifies its investments in marketable debt securities as available-for-sale when their original maturities, from the date of purchase, exceed three months. Available-for-sale debt securities with a remaining maturity date greater than one year are classified as non-current assets. Available-for-sale marketable debt securities are maintained by an investment manager and mainly consist of U.S. treasury securities and U.S. government agency securities. Available-for-sale marketable debt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Realized losses are recognized only if the Company has the intention to sell the security or it is expecting to be required to sell the security before recovery of its amortized cost basis. The Company also reviews its portfolio of available-for-sale debt securities, using both quantitative and qualitative factors, to determine if declines in fair value below cost have resulted from a credit-related loss. If the decline in fair value is due to credit-related factors, a loss is recognized in other income (expense).</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14"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(loss) is defined as the change in equity of a business enterprise during a period from transactions and other events and circumstances from non-owner sources. Other comprehensive income (loss) consisted of foreign currency translation adjustments, unrealized gains and losses on available-for-sale investments and unrealized gains and losses on pension benefit obligations.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Expenditures relating to research and development are expensed in the period incurred. Research and development expenses consist of both internal and external costs associated with the development of the Company’s selective cancer therapies and building of its discovery platform. As part of the process of preparing the consolidated financial statements, the Company accrues costs for clinical trial activities based upon estimates of the services received and related expenses incurred that have yet to be invoiced by the contract research organizations or other clinical trial vendors that perform the activities.</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 future use for the research and development, until related goods or services are provided. In circumstances where amounts have been paid in excess of costs incurred, the Company records a prepaid expense.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399" w:firstLine="648"/>
        <w:spacing w:after="0" w:line="289" w:lineRule="auto"/>
        <w:rPr>
          <w:sz w:val="20"/>
          <w:szCs w:val="20"/>
          <w:color w:val="auto"/>
        </w:rPr>
      </w:pPr>
      <w:r>
        <w:rPr>
          <w:rFonts w:ascii="Times New Roman" w:cs="Times New Roman" w:eastAsia="Times New Roman" w:hAnsi="Times New Roman"/>
          <w:sz w:val="17"/>
          <w:szCs w:val="17"/>
          <w:color w:val="auto"/>
        </w:rPr>
        <w:t>Selling, general and administrative expenses are primarily comprised of compensation and benefits associated with sales and marketing, finance, human resources, legal, information technology and other administrative personnel, business development, advertising and legal expenses and other general and administrative costs. Advertising costs are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expensed as incurred. For years ended December 31, 2023, 2022 and 2021, advertising costs totaled $16.9 million, $18.1 million and $13.5 million,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2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straight-line method.</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continually evaluates whether events or circumstances have occurred that indicate that the carrying amount of any of its long-lived assets might not be recoverable and that impairment might exist. If indicators of impairment are present, the Company performs a test for recoverability. The Company has not recognized any impairment charges associated with long-lived assets for the years ended December 31, 2023, 2022 and 2021.</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 xml:space="preserve">Leases are accounted for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At the inception of a contract, the Company assesses whether the contract is, or contains, a lease. The assessment is based on: (1) whether the contract involves the use of a distinct identified asset, (2) whether the Company obtains the right to substantially all the economic benefit from the use of the asset throughout the period, and (3) whether the Company has the right to direct the use of the asset. At inception of a lease, the Company allocates the consideration in the contract to each lease component based on its relative stand-alone price to determine the lease payments.</w:t>
      </w:r>
    </w:p>
    <w:p>
      <w:pPr>
        <w:spacing w:after="0" w:line="18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187"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the secured incremental borrowing rate for the same term as the underlying lease.</w:t>
      </w:r>
    </w:p>
    <w:p>
      <w:pPr>
        <w:spacing w:after="0" w:line="187" w:lineRule="exact"/>
        <w:rPr>
          <w:sz w:val="20"/>
          <w:szCs w:val="20"/>
          <w:color w:val="auto"/>
        </w:rPr>
      </w:pPr>
    </w:p>
    <w:p>
      <w:pPr>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58"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189" w:lineRule="exact"/>
        <w:rPr>
          <w:sz w:val="20"/>
          <w:szCs w:val="20"/>
          <w:color w:val="auto"/>
        </w:rPr>
      </w:pPr>
    </w:p>
    <w:p>
      <w:pPr>
        <w:jc w:val="both"/>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has made an accounting policy election to not recognize leases with an initial term of 12 months or less within its consolidated balance sheets and to recognize those lease payments on a straight-line basis in its consolidated statements of income over the lease term.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Stock-based compensation awards are accounted for in accordance with ASC Topic 718, </w:t>
      </w:r>
      <w:r>
        <w:rPr>
          <w:rFonts w:ascii="Times New Roman" w:cs="Times New Roman" w:eastAsia="Times New Roman" w:hAnsi="Times New Roman"/>
          <w:sz w:val="18"/>
          <w:szCs w:val="18"/>
          <w:i w:val="1"/>
          <w:iCs w:val="1"/>
          <w:color w:val="auto"/>
        </w:rPr>
        <w:t>Compensation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The Company expenses the fair value of stock awards granted to employees and members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over the requisite service period, which is typically the vesting period. Compensation cost for stock-based awards issued to employees is measured using the estimated fair value at the grant date and is adjusted to reflect actual forfeitures.</w:t>
      </w:r>
    </w:p>
    <w:p>
      <w:pPr>
        <w:spacing w:after="0" w:line="18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Fair value of restricted stock awards granted to employees is based upon the quoted closing market price per share on the date of grant. Fair value of options granted to employees at the date of grant are estimated using the Black-Scholes option-pricing model that requires management to apply judgment and make estimates, including:</w:t>
      </w:r>
    </w:p>
    <w:p>
      <w:pPr>
        <w:spacing w:after="0" w:line="183" w:lineRule="exact"/>
        <w:rPr>
          <w:sz w:val="20"/>
          <w:szCs w:val="20"/>
          <w:color w:val="auto"/>
        </w:rPr>
      </w:pPr>
    </w:p>
    <w:p>
      <w:pPr>
        <w:ind w:left="1380" w:right="139" w:hanging="331"/>
        <w:spacing w:after="0" w:line="252"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which was calculated using the historical volatility of the Company’s publicly traded stock for awards granted during the years ended December 31, 2023 and 2022. In prior reporting period, expected volatility was calculated based on a blend of the Company’s reported volatility data for the length of time that market data is available for the Company’s stock and the historical data for a representative group of publicly traded companies, for which historical information is available. For these analyses, the Company selected companies with comparable characteristics to itself including enterprise value, risk profiles, position within the industry, and with historical share price information sufficient to meet the expected life of the stock-based awards. The Company computed the historical volatility data using the daily closing prices during the equivalent period of the calculated expected term of its stock-based awards;</w:t>
      </w:r>
    </w:p>
    <w:p>
      <w:pPr>
        <w:spacing w:after="0" w:line="189" w:lineRule="exact"/>
        <w:rPr>
          <w:rFonts w:ascii="Times New Roman" w:cs="Times New Roman" w:eastAsia="Times New Roman" w:hAnsi="Times New Roman"/>
          <w:sz w:val="18"/>
          <w:szCs w:val="18"/>
          <w:color w:val="auto"/>
        </w:rPr>
      </w:pPr>
    </w:p>
    <w:p>
      <w:pPr>
        <w:ind w:left="1380" w:right="559" w:hanging="331"/>
        <w:spacing w:after="0" w:line="282"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is based on the U.S. Treasury yield curve in effect at the time of grant commensurate with the expected term assumption;</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53"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expected term, which is calculated using the simplified method, as prescribed by the Securities and Exchange Commission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as the Company has insufficient historical information regarding its stock options to provide a basis for an estimate. Under this approach, the weighted-average expected life is presumed to be the average of the contractual term of ten years and the weighted-average vesting term of the stock options, taking into consideration multiple vesting tranches; and</w:t>
      </w:r>
    </w:p>
    <w:p>
      <w:pPr>
        <w:spacing w:after="0" w:line="189" w:lineRule="exact"/>
        <w:rPr>
          <w:rFonts w:ascii="Times New Roman" w:cs="Times New Roman" w:eastAsia="Times New Roman" w:hAnsi="Times New Roman"/>
          <w:sz w:val="18"/>
          <w:szCs w:val="18"/>
          <w:color w:val="auto"/>
        </w:rPr>
      </w:pPr>
    </w:p>
    <w:p>
      <w:pPr>
        <w:ind w:left="1380" w:right="119" w:hanging="331"/>
        <w:spacing w:after="0" w:line="282"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which is zero based on the fact that the Company never paid cash dividends and does not expect to pay any cash dividends in the foreseeable future.</w:t>
      </w:r>
    </w:p>
    <w:p>
      <w:pPr>
        <w:spacing w:after="0" w:line="16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Fair value of performance-based restricted stock unit awards (PSUs) at the grant date are estimated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 The PSUs cliff vest at the end of the service period and the compensation expense for PSUs is recognized straight-line over the applicable service period.</w:t>
      </w:r>
    </w:p>
    <w:p>
      <w:pPr>
        <w:spacing w:after="0" w:line="18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Stock-based awards issued to non-employees, including directors for non-board-related services, are accounted for based on the fair value of such services received or the fair value of the awards granted on the grant date, whichever is more reliably measured. Stock-based awards subject to service-based vesting conditions are expensed on a straight-line basis over the vesting period.</w:t>
      </w:r>
    </w:p>
    <w:p>
      <w:pPr>
        <w:spacing w:after="0" w:line="180" w:lineRule="exact"/>
        <w:rPr>
          <w:sz w:val="20"/>
          <w:szCs w:val="20"/>
          <w:color w:val="auto"/>
        </w:rPr>
      </w:pPr>
    </w:p>
    <w:p>
      <w:pPr>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The purchase price of common stock under the Company’s 2015 employee stock purchase plan (as amended, the 2015 ESPP) is equal to 85% of the lesser of (i) the fair market value per share of the common stock on the first business day of an offering period and (ii) the fair market value per share of the common stock on the purchase date. The fair value of the discounted purchases made under 2015 ESPP is calculated using the Black-Scholes valuation model. The fair value of the look-back provision plus the 15% discount is recognized as compensation expense over the 180-day purchase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Investment</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Investments in non-marketable equity securities of privately-held companies that do not have readily determinable fair values are carried at cost, less any impairments, plus or minus changes resulting from observable price changes in orderly transactions for the identical or a similar investment of the same issuer. Each period the Company assesses relevant transactions to identify observable price changes, and the Company regularly monitors these investments to evaluate whether there is an indication of impairment. The Company evaluates whether an investment’s fair value is less than its carrying value using an estimate of fair value, if such an estimate is available. For periods in which there is no estimate of fair value, the Company evaluates whether an event or change in circumstances has occurred that may have a significant adverse effect on the value of the investment.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Liabilities related to the sale of future royalties and revenues</w:t>
      </w:r>
    </w:p>
    <w:p>
      <w:pPr>
        <w:spacing w:after="0" w:line="227"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The Company accounts for net proceeds from sales of the Company’s rights to receive future royalty payments and from sales of future revenues as liabilities if the Company has significant continuing involvement in the generation of the related future cash flows. Interest expenses on the liabilities related to the sale of future royalties and revenues are recognized using the effective interest rate method over the life of the related royalty or revenue stream. The liabilities related to the sale of future royalties and revenues and the related interest expenses are based on the Company’s current estimates of future royalties or revenues as well as commercial milestones expected to be achieved and received over the life of the arrangement, which the Company determines by using forecasts of the underlying drug products of the underlying regions. The Company periodically assesses the expected payments and to the extent the amount or timing of the future estimated payments is materially different than previous estimates, the Company accounts for any such change by adjusting the carrying value of the liabilities related to the sale of future royalties and revenues, and prospectively recognizing the related interest expenses.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Acquisition</w:t>
      </w:r>
    </w:p>
    <w:p>
      <w:pPr>
        <w:spacing w:after="0" w:line="214"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 xml:space="preserve">When entering an acquisition transaction, the Company first determines whether the transaction is a business combination by applying the definition in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definition of a “business”, requires considerations in the form of two steps: (1) determination of whether “substantially all” of the fair value of the gross assets acquired is concentrated in a single identifiable asset or a group of similar identifiable assets (i.e., “screen test”); if not, then (2) evaluate whether the set of transferred assets and activities meets the definition of a business which includes, at a minimum, an input and a substantive process that together significantly contribute to the ability to create outputs. If the assets acquired are not a business, the Company accounts for the transaction as an asset acquisition. If the transaction is a business combination, it is accounted for by applying the acquisition method.</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asset acquisitions, the Company allocates the cost of a group of assets acquired to the individual assets acquired or liabilities assumed based on their relative fair values. Goodwill is not recognized in an asset acquisition. Any difference between the cost of an asset acquisition and the fair value of the net assets acquired is allocated to the non-monetary identifiable assets based on their relative fair values. The Company follows the guidance in ASC Topic 730 </w:t>
      </w:r>
      <w:r>
        <w:rPr>
          <w:rFonts w:ascii="Times New Roman" w:cs="Times New Roman" w:eastAsia="Times New Roman" w:hAnsi="Times New Roman"/>
          <w:sz w:val="18"/>
          <w:szCs w:val="18"/>
          <w:i w:val="1"/>
          <w:iCs w:val="1"/>
          <w:color w:val="auto"/>
        </w:rPr>
        <w:t>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Development </w:t>
      </w:r>
      <w:r>
        <w:rPr>
          <w:rFonts w:ascii="Times New Roman" w:cs="Times New Roman" w:eastAsia="Times New Roman" w:hAnsi="Times New Roman"/>
          <w:sz w:val="18"/>
          <w:szCs w:val="18"/>
          <w:color w:val="auto"/>
        </w:rPr>
        <w:t>(ASC 730) and determines whether any acquired research and development assets have alternative use.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have an alternative future use, they are recognized as assets by the Company. If they have no alternative future use, they are charged to research and development expense at the acquisition date.</w:t>
      </w:r>
    </w:p>
    <w:p>
      <w:pPr>
        <w:spacing w:after="0" w:line="187"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In business combinations, the acquisition method is applied, where the identifiable assets acquired, the liabilities assumed, and any noncontrolling interest in the acquiree as well as any goodwill is measured and recognized based on its fair value at acquisition date.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more-likely-than-not threshold for recognizing and resolving uncertain tax positions. The evaluation of</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financial statements of each of the Company’s subsidiaries with a functional currency other than the U.S. dollar are translated into U.S. dollars using period-end exchange rates for assets and liabilities, historical exchange rates for stockholders’ equity and weighted average exchange rates for operating results. Translation gains and losses are included in accumulated other comprehensive income (loss) in stockholders’ equity. Foreign currency transaction gains and losses are included in other (expense) income, net in the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 Significant Suppliers</w:t>
      </w:r>
    </w:p>
    <w:p>
      <w:pPr>
        <w:spacing w:after="0" w:line="229"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The Company has no significant off-balance-sheet risk such as foreign exchange contracts, option contracts, or other foreign hedging arrangements. Financial instruments that potentially expose the Company to concentrations of credit risk primarily consist of cash and cash equivalents, investments, accounts receivable and unbilled account receivables.</w:t>
      </w:r>
    </w:p>
    <w:p>
      <w:pPr>
        <w:spacing w:after="0" w:line="158"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its cash, cash equivalents and marketable securities in custodian accounts at high quality financial institutions, and as of December 31, 2023 and 2022, substantially all the Company’s cash, cash equivalents and marketable securities were invested in money market funds and U.S. government agency securities and treasury obligations, and consequently, the Company believes that such funds are subject to minimal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8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receivables and unbilled accounts receivables represent amounts arising from product sales and amounts due from the Company’s collaboration partners. The Company monitors economic conditions to identify facts or circumstances that may indicate that its receivables are at risk of collection.</w:t>
      </w:r>
    </w:p>
    <w:p>
      <w:pPr>
        <w:spacing w:after="0" w:line="183" w:lineRule="exact"/>
        <w:rPr>
          <w:sz w:val="20"/>
          <w:szCs w:val="20"/>
          <w:color w:val="auto"/>
        </w:rPr>
      </w:pPr>
    </w:p>
    <w:p>
      <w:pPr>
        <w:ind w:left="60" w:right="339" w:firstLine="648"/>
        <w:spacing w:after="0" w:line="256"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commercial and research and development activities associated with its drug and drug candidates, as applicable. In particular, the Company relies and expects to continue to rely on a small number of manufacturers to supply it with its requirements for the active pharmaceutical ingredients and formulated drugs related to the Company's drug and drug candidate activities. These activities, including the commercialization of AYVAKIT/AYVAKYT, could be adversely affected by a significant interruption in the supply of active pharmaceutical ingredients and formulated drugs.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The Company operates in the U.S. and Europe. All material long-lived assets of the Company reside in the U.S.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The Company does not believe that the adoption of recently issued standards have or may have a material impact on its consolidated financial statements and disclosures.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Financing Arrangements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Royalty Pharma Purchase and Sale Agreement</w:t>
      </w:r>
    </w:p>
    <w:p>
      <w:pPr>
        <w:spacing w:after="0" w:line="22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On June 30, 2022, the Company entered into a purchase and sale agreement (Royalty Purchase Agreement) with Royalty Pharma. Pursuant to the Royalty Purchase Agreement, the Company received an upfront payment of $175.0 million in consideration for the Company’s rights to receive royalty payments on the net sales of GAVRETO worldwide excluding the CStone Territory (as defined below) and U.S. territory under the terms of the Roche pralsetinib collaboration agreement.</w:t>
      </w:r>
    </w:p>
    <w:p>
      <w:pPr>
        <w:spacing w:after="0" w:line="187" w:lineRule="exact"/>
        <w:rPr>
          <w:sz w:val="20"/>
          <w:szCs w:val="20"/>
          <w:color w:val="auto"/>
        </w:rPr>
      </w:pPr>
    </w:p>
    <w:p>
      <w:pPr>
        <w:ind w:left="60" w:right="159" w:firstLine="648"/>
        <w:spacing w:after="0" w:line="268" w:lineRule="auto"/>
        <w:rPr>
          <w:sz w:val="20"/>
          <w:szCs w:val="20"/>
          <w:color w:val="auto"/>
        </w:rPr>
      </w:pPr>
      <w:r>
        <w:rPr>
          <w:rFonts w:ascii="Times New Roman" w:cs="Times New Roman" w:eastAsia="Times New Roman" w:hAnsi="Times New Roman"/>
          <w:sz w:val="17"/>
          <w:szCs w:val="17"/>
          <w:color w:val="auto"/>
        </w:rPr>
        <w:t>Although the Company sold all of the rights to receive royalties on the net sales of GAVRETO worldwide excluding the CStone Territory and U.S. territory to Royalty Pharma, the Company continues to co-develop pralsetinib with Roche globally and is therefore involved in the generation of these future royalties. Due to the Company’s significant continuing involvement, the Company continues to account for any royalties and development and commercialization milestones earned related to the underlying territory under the Roche pralsetinib collaboration agreement as collaboration revenue on its consolidated statements of operations and comprehensive loss. Net proceeds from the transaction were recorded as a liability related to sale of future royalties and revenues on the consolidated balance sheet. The Company accretes the $175.0 million, net of transaction costs of $3.8 million, to the total of these royalties as interest expense using the effective interest method over the estimated life of the arrangement. These estimates contain assumptions that impact the amount recorded and the interest expense that will be recognized in future periods.</w:t>
      </w:r>
    </w:p>
    <w:p>
      <w:pPr>
        <w:spacing w:after="0" w:line="18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As payments are made to Royalty Pharma, the balance of the liability will be effectively repaid over the life of the Royalty Purchase Agreement. In order to determine the amortization of the liability, the Company estimates the total amount of future royalty payments to be paid to Royalty Pharma over the life of the arrangement. The exact amount of repayment is likely to change each reporting period. A significant increase or decrease in GAVRETO’s net revenue of the underlying territory will impact interest expense and the liability related to this arrangement. The Company periodically assesses the expected payments to Royalty Pharma and prospectively adjusts the amortization of the liability related to this arrangement for material changes in such payments, including the prospective impact around the uncertainty related to GAVRETO’s commercial outlook in the underlying territory during the life of the arrangement.</w:t>
      </w:r>
    </w:p>
    <w:p>
      <w:pPr>
        <w:spacing w:after="0" w:line="178"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February 2023, the Company received written notice from Roche of their election to terminate for convenience the Roche pralsetinib collaboration agreement. The termination will become effective February 2024, at which time the Company will regain commercialization and development rights to GAVRETO from Roche worldwide excluding the CStone Territory. In January 2024, the Company decided to discontinue global development and marketing of GAVRETO in territories excluding the U.S. and the CStone Territory following the termination of the Roche pralsetinib collaboration effective in February 2024.</w:t>
      </w:r>
    </w:p>
    <w:p>
      <w:pPr>
        <w:spacing w:after="0" w:line="185"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2023, none of the derecognition conditions under ASC 405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xml:space="preserve"> were met, and in consideration of the significant uncertainties related to GAVRETO’s commercial outlook in the underlying territory during the life of the arrangement caused by the termination of the Roche pralsetinib collaboration agreement, during the year ended December 31, 2023, the Company did not accrete any interest expenses related to the liability. As of December 31, 2023, the net carrying value of the liability related to this arrangement was $175.0 million.</w:t>
      </w:r>
    </w:p>
    <w:p>
      <w:pPr>
        <w:spacing w:after="0" w:line="18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Pursuant to the Royalty Purchase Agreement, the Company is eligible to receive certain milestone payments totaling up to $165.0 million, subject to the achievement of specified net sales milestones by Roche. However, following the termination of the Roche pralsetinib collaboration agreement effective in February 2024 and the decision to discontinue global development and marketing of GAVRETO in territories excluding the U.S. and the CStone Territory after the termination of the Roche pralsetinib collaboration agreement, the Company does not anticipate receiving any of the contingent milestone payments from Royalty Pharma under the Royalty Purchase Agreement.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Arrangements with Sixth Street Partners</w:t>
      </w:r>
    </w:p>
    <w:p>
      <w:pPr>
        <w:spacing w:after="0" w:line="227"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July 2022, the Company closed two transactions pursuant to a purchase and sale agreement (Future Revenue Purchase Agreement) and a financing transaction for up to $660.0 million (as amended, Financing Agreement) with Sixth Street Partners. Because two transactions were entered into with the same parties and in contemplation of one another, the Company recorded these transactions based on the relative fair values of each freestanding financial instrument and allocated the proceeds in proportion to those fair value amounts.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Sixth Street Partners Purchase and Sale Agreement</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Pursuant to the Future Revenue Purchase Agreement, the Company received gross proceeds of $250.0 million in exchange for future royalty payments at a rate of 9.75% on up to $900 million each year of (i) aggregate worldwide annual net product sales of AYVAKIT/ AYVAKYT (avapritinib) and (ii), if it is approved, aggregate worldwide annual net product sales of BLU-263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Company continues to own the research, development, manufacturing and commercialization of AYVAKIT/ AYVAKYT and if it is approved, elenestinib, and has significant continuing involvement in the generation of the cash flows under the Future Revenue Purchase Agreement. Therefore, the Company continues to account for any revenue earned from worldwide product sales of AYVAKIT/ AYVAKYT and, if it is approved, elenestinib, on its consolidated statements of operations and comprehensive loss. Net proceeds received from the transaction were recorded as a liability related to sale of future royalties and revenues on the consolidated balance sheet. The Company accretes the $250.0 million, net of transaction costs of $5.4 million, to the total of these future payments as interest expense using the effective interest method over the estimated life of the arrangement.</w:t>
      </w:r>
    </w:p>
    <w:p>
      <w:pPr>
        <w:spacing w:after="0" w:line="19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As payments are made to Sixth Street Partners, the balance of the liability is effectively repaid over the life of the Future Revenue Purchase Agreement. In order to determine the amortization of the liability, the Company estimates the total amount of future revenue payments to be paid to Sixth Street Partners over the life of the arrangement. The exact amount of repayment is likely to change each reporting period. A significant increase or decrease in worldwide product sales of AYVAKIT/ AYVAKYT and, if it is approved, elenestinib, will materially impact the liability related to this arrangement, interest expense and the time period for repayment. The Company periodically assesses the expected payments to Sixth Street Partners and prospectively adjusts the amortization of the liability related to this arrangement for material changes in such payments. As of December 31, 2023, the Company’s estimate of this total interest expense resulted in an effective annual interest rate of 10.7%. These estimates contain assumptions that impact the amount recorded and the interest expense that will be recognized in future periods.</w:t>
      </w:r>
    </w:p>
    <w:p>
      <w:pPr>
        <w:spacing w:after="0" w:line="193"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net carrying value of the liability related to this arrangement was $266.7 million. The following table shows the activity within the liability account during the years ended December 31, 2023 and 2022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1"/>
        </w:trPr>
        <w:tc>
          <w:tcPr>
            <w:tcW w:w="6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254,328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from the sale of future revenue</w:t>
            </w:r>
          </w:p>
        </w:tc>
        <w:tc>
          <w:tcPr>
            <w:tcW w:w="2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244,605</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(15,723)</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10"/>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at December 31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254,328</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Sixth Street Partners Term Loan</w:t>
      </w:r>
    </w:p>
    <w:p>
      <w:pPr>
        <w:spacing w:after="0" w:line="227" w:lineRule="exact"/>
        <w:rPr>
          <w:sz w:val="20"/>
          <w:szCs w:val="20"/>
          <w:color w:val="auto"/>
        </w:rPr>
      </w:pPr>
    </w:p>
    <w:p>
      <w:pPr>
        <w:jc w:val="both"/>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Financing Agreement entered into by the parties in connection with the transaction provides for (i) a senior secured term loan facility of up to $150.0 million and (ii) a senior secured delayed draw term loan facility of up to $250.0 million to be funded in two tranches at the Company’s choice subject to certain terms and conditions. The term loans will mature on June 30, 2028 and bear interest at a variable rate equal to either the Secured Overnight Financing</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Rate (SOFR) plus 6.50% or the base rate plus 5.50%, subject to a floor of 1% and 2% with respect to the SOFR and base rate, respectively.</w:t>
      </w:r>
    </w:p>
    <w:p>
      <w:pPr>
        <w:spacing w:after="0" w:line="162" w:lineRule="exact"/>
        <w:rPr>
          <w:sz w:val="20"/>
          <w:szCs w:val="20"/>
          <w:color w:val="auto"/>
        </w:rPr>
      </w:pPr>
    </w:p>
    <w:p>
      <w:pPr>
        <w:ind w:left="60" w:right="159" w:firstLine="648"/>
        <w:spacing w:after="0" w:line="251" w:lineRule="auto"/>
        <w:rPr>
          <w:sz w:val="20"/>
          <w:szCs w:val="20"/>
          <w:color w:val="auto"/>
        </w:rPr>
      </w:pPr>
      <w:r>
        <w:rPr>
          <w:rFonts w:ascii="Times New Roman" w:cs="Times New Roman" w:eastAsia="Times New Roman" w:hAnsi="Times New Roman"/>
          <w:sz w:val="18"/>
          <w:szCs w:val="18"/>
          <w:color w:val="auto"/>
        </w:rPr>
        <w:t>As part of the Financing Agreement with Sixth Street Partners, the Company received gross proceeds of $150.0 million in July 2022 and incurred an aggregate of $12.2 million of debt discounts and transaction costs. In August 2023, the Company received the first tranche of the senior secured delayed draw term loan facility in the amount of $100.0 million in gross proceeds and incurred $2.1 million of transaction costs. Debt discounts and transaction costs have been recorded as a reduction to the carrying amount of the debt on the Company’s consolidated balance sheet and are amortized as additional interest expenses using the effective interest rate method over the period from issuance through maturity. In addition, the Company may at any time request an incremental term loan in an amount not to exceed $260.0 million on terms to be agreed and subject to the consent of Sixth Street Partners providing such incremental term loan. As of December 31, 2023, the Company’s estimate of the total interest expense resulted in an effective annual interest rate of</w:t>
      </w:r>
    </w:p>
    <w:p>
      <w:pPr>
        <w:spacing w:after="0" w:line="1" w:lineRule="exact"/>
        <w:rPr>
          <w:sz w:val="20"/>
          <w:szCs w:val="20"/>
          <w:color w:val="auto"/>
        </w:rPr>
      </w:pPr>
    </w:p>
    <w:p>
      <w:pPr>
        <w:ind w:left="60" w:right="279"/>
        <w:spacing w:after="0" w:line="260" w:lineRule="auto"/>
        <w:rPr>
          <w:sz w:val="20"/>
          <w:szCs w:val="20"/>
          <w:color w:val="auto"/>
        </w:rPr>
      </w:pPr>
      <w:r>
        <w:rPr>
          <w:rFonts w:ascii="Times New Roman" w:cs="Times New Roman" w:eastAsia="Times New Roman" w:hAnsi="Times New Roman"/>
          <w:sz w:val="18"/>
          <w:szCs w:val="18"/>
          <w:color w:val="auto"/>
        </w:rPr>
        <w:t>13.3%. The carrying amount of the debt as of December 31, 2023 is subject to variable interest rates, which are based on current market rates, and as such, approximates fair value.</w:t>
      </w:r>
    </w:p>
    <w:p>
      <w:pPr>
        <w:spacing w:after="0" w:line="168"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activity within the liability account during the years ended December 31, 2023 and 2022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2"/>
        </w:trPr>
        <w:tc>
          <w:tcPr>
            <w:tcW w:w="66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received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137,786</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(21,743)</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w:t>
            </w:r>
          </w:p>
        </w:tc>
      </w:tr>
      <w:tr>
        <w:trPr>
          <w:trHeight w:val="209"/>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at December 31</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238,813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139,083</w:t>
            </w: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The total estimated total gross payments due under the term loan are as follows as of December 31, 2023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30,278</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30,032</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30,032</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30,032</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264,975</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385,349</w:t>
            </w:r>
          </w:p>
        </w:tc>
      </w:tr>
      <w:tr>
        <w:trPr>
          <w:trHeight w:val="20"/>
        </w:trPr>
        <w:tc>
          <w:tcPr>
            <w:tcW w:w="7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Company’s obligations under the Financing Agreement are secured, subject to certain exceptions, by security interests in the substantially all of the Company’s assets and the Company’s certain subsidiaries. The Financing Agreement contains customary negative covenants that, among other things and subject to certain exceptions, could restrict the Company’s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the Company to maintain a consolidated liquidity of at least (i) $50.0 million during the period commencing from the date on which the term loans are funded to the date which is the day before the next term loans are funded and (ii) $80.0 million for each day thereafter. As of December 31, 2023, the Company was in compliance with the applicable terms and conditions of the covenants under the Financing Agreement.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Marketable securities consisted of the following at December 31, 2023 and 2022 (in thousands):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26"/>
        </w:trPr>
        <w:tc>
          <w:tcPr>
            <w:tcW w:w="53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$ 170,194</w:t>
            </w:r>
          </w:p>
        </w:tc>
        <w:tc>
          <w:tcPr>
            <w:tcW w:w="20" w:type="dxa"/>
            <w:vAlign w:val="bottom"/>
          </w:tcPr>
          <w:p>
            <w:pPr>
              <w:spacing w:after="0"/>
              <w:rPr>
                <w:sz w:val="19"/>
                <w:szCs w:val="19"/>
                <w:color w:val="auto"/>
              </w:rPr>
            </w:pP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525,880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526,082</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$ 696,074</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695,885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0" w:type="dxa"/>
            <w:vAlign w:val="bottom"/>
          </w:tcPr>
          <w:p>
            <w:pPr>
              <w:spacing w:after="0"/>
              <w:rPr>
                <w:sz w:val="24"/>
                <w:szCs w:val="24"/>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24"/>
                <w:szCs w:val="24"/>
                <w:color w:val="auto"/>
              </w:rPr>
            </w:pP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26"/>
        </w:trPr>
        <w:tc>
          <w:tcPr>
            <w:tcW w:w="53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$ 377,519</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(4,848)</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372,671</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591,193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(5,123)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586,092</w:t>
            </w:r>
          </w:p>
        </w:tc>
        <w:tc>
          <w:tcPr>
            <w:tcW w:w="0" w:type="dxa"/>
            <w:vAlign w:val="bottom"/>
          </w:tcPr>
          <w:p>
            <w:pPr>
              <w:spacing w:after="0"/>
              <w:rPr>
                <w:sz w:val="1"/>
                <w:szCs w:val="1"/>
                <w:color w:val="auto"/>
              </w:rPr>
            </w:pPr>
          </w:p>
        </w:tc>
      </w:tr>
      <w:tr>
        <w:trPr>
          <w:trHeight w:val="20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$ 968,712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958,763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basis and estimated fair value of the Company’s available-for-sale securities by contractual maturity as of December 31, 2023 and 2022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6"/>
                <w:szCs w:val="16"/>
                <w:color w:val="auto"/>
              </w:rPr>
            </w:pPr>
          </w:p>
        </w:tc>
      </w:tr>
      <w:tr>
        <w:trPr>
          <w:trHeight w:val="221"/>
        </w:trPr>
        <w:tc>
          <w:tcPr>
            <w:tcW w:w="514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5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10"/>
        </w:trPr>
        <w:tc>
          <w:tcPr>
            <w:tcW w:w="514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4"/>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$ 639,881</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$ 639,355</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$ 834,440</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$ 825,283</w:t>
            </w: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one through five years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56,193</w:t>
            </w: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56,530</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134,272</w:t>
            </w: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133,480</w:t>
            </w:r>
          </w:p>
        </w:tc>
      </w:tr>
      <w:tr>
        <w:trPr>
          <w:trHeight w:val="20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$ 696,074</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$ 695,885</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$ 968,712</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$ 958,763</w:t>
            </w:r>
          </w:p>
        </w:tc>
      </w:tr>
      <w:tr>
        <w:trPr>
          <w:trHeight w:val="20"/>
        </w:trPr>
        <w:tc>
          <w:tcPr>
            <w:tcW w:w="5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and 2022, the Company held 62 and 122 debt securities, respectively, that were in an unrealized loss position. The following table summarizes the estimated fair value and the aggregate unrealized loss for the Company’s available-for-sale securities in loss position as of December 31, 2023 and 2022 by the length of time the security has been in a loss position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223"/>
        </w:trPr>
        <w:tc>
          <w:tcPr>
            <w:tcW w:w="5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9"/>
                <w:szCs w:val="19"/>
                <w:color w:val="auto"/>
              </w:rPr>
            </w:pPr>
          </w:p>
        </w:tc>
      </w:tr>
      <w:tr>
        <w:trPr>
          <w:trHeight w:val="218"/>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233"/>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20"/>
                <w:szCs w:val="20"/>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20"/>
                <w:szCs w:val="20"/>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16"/>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in unrealized loss position for 12 months or less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2"/>
              </w:rPr>
              <w:t>(550)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371,746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(1,884)</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in unrealized loss position for more than 12 months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(8,087)</w:t>
            </w:r>
          </w:p>
        </w:tc>
      </w:tr>
      <w:tr>
        <w:trPr>
          <w:trHeight w:val="210"/>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securities in unrealized loss position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2"/>
              </w:rPr>
              <w:t>(804)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(9,971)</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the intent and ability to hold its debt securities until recovery of amortized cost basis. As a result, the Company did not recognize any differences between the fair value and amortized cost basis as a loss in its consolidated statements of operations and comprehensive loss for the years ended December 31, 2023, 2022 and 2021. The Company did not record any credit-related impairments for its </w:t>
      </w:r>
      <w:r>
        <w:rPr>
          <w:rFonts w:ascii="Times New Roman" w:cs="Times New Roman" w:eastAsia="Times New Roman" w:hAnsi="Times New Roman"/>
          <w:sz w:val="18"/>
          <w:szCs w:val="18"/>
          <w:color w:val="212529"/>
        </w:rPr>
        <w:t>available-for-sale</w:t>
      </w:r>
      <w:r>
        <w:rPr>
          <w:rFonts w:ascii="Times New Roman" w:cs="Times New Roman" w:eastAsia="Times New Roman" w:hAnsi="Times New Roman"/>
          <w:sz w:val="18"/>
          <w:szCs w:val="18"/>
          <w:color w:val="auto"/>
        </w:rPr>
        <w:t xml:space="preserve"> securities for the years ended December 31, 2023, 2022 </w:t>
      </w:r>
      <w:r>
        <w:rPr>
          <w:rFonts w:ascii="Times New Roman" w:cs="Times New Roman" w:eastAsia="Times New Roman" w:hAnsi="Times New Roman"/>
          <w:sz w:val="18"/>
          <w:szCs w:val="18"/>
          <w:color w:val="212529"/>
        </w:rPr>
        <w:t>and 2021 because the declines in fair value were not due to credit-related factors.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212529"/>
        </w:rPr>
        <w:t>The following table summarizes the proceeds from maturities of debt securities during the years ended December 31, 2023, 2022 and 2021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2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r>
      <w:tr>
        <w:trPr>
          <w:trHeight w:val="196"/>
        </w:trPr>
        <w:tc>
          <w:tcPr>
            <w:tcW w:w="60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debt securities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$ 1,056,465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$ 349,373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690,830</w:t>
            </w:r>
          </w:p>
        </w:tc>
      </w:tr>
    </w:tbl>
    <w:p>
      <w:pPr>
        <w:spacing w:after="0" w:line="200" w:lineRule="exact"/>
        <w:rPr>
          <w:sz w:val="20"/>
          <w:szCs w:val="20"/>
          <w:color w:val="auto"/>
        </w:rPr>
      </w:pPr>
    </w:p>
    <w:p>
      <w:pPr>
        <w:spacing w:after="0" w:line="214" w:lineRule="exact"/>
        <w:rPr>
          <w:sz w:val="20"/>
          <w:szCs w:val="20"/>
          <w:color w:val="auto"/>
        </w:rPr>
      </w:pPr>
    </w:p>
    <w:p>
      <w:pPr>
        <w:ind w:left="60" w:right="979" w:firstLine="648"/>
        <w:spacing w:after="0" w:line="282" w:lineRule="auto"/>
        <w:rPr>
          <w:sz w:val="20"/>
          <w:szCs w:val="20"/>
          <w:color w:val="auto"/>
        </w:rPr>
      </w:pPr>
      <w:r>
        <w:rPr>
          <w:rFonts w:ascii="Times New Roman" w:cs="Times New Roman" w:eastAsia="Times New Roman" w:hAnsi="Times New Roman"/>
          <w:sz w:val="18"/>
          <w:szCs w:val="18"/>
          <w:color w:val="212529"/>
        </w:rPr>
        <w:t>The Company did not realize any gains or losses from maturities of debt securities for the years ended December 31, 2023, 2022 and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48"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cash equivalents and marketable securities measured at fair value on a recurring basis as of December 31, 2023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26"/>
        </w:trPr>
        <w:tc>
          <w:tcPr>
            <w:tcW w:w="40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751,297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581,494</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cash equivalents and marketable securities measured at fair value on a recurring basis as of December 31, 2022 (in thousands):</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26"/>
        </w:trPr>
        <w:tc>
          <w:tcPr>
            <w:tcW w:w="3960" w:type="dxa"/>
            <w:vAlign w:val="bottom"/>
            <w:tcBorders>
              <w:bottom w:val="single" w:sz="8" w:color="CCEEFF"/>
            </w:tcBorders>
            <w:vMerge w:val="continue"/>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586,092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372,671</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Product Revenue and Related Reserves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January 2020, the U.S. Food and Drug Administration (FDA) approved AYVAKIT for the treatment of adults with unresectable or metastatic gastrointestinal stromal tumor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SM. In March 2022, the European Commission expanded the marketing authorization for AYVAKYT to include the treatment of adult patients with ASM, SM-AHN, or MCL, after at least one systemic therapy. In May 2023, the FDA approved AYVAKIT for the treatment of adult patients with indolent SM and in December 2023, the European Commission approved AYVAKYT for the treatment of adult patients with indolent SM with moderate to severe symptoms inadequately controlled on symptomatic treatment.</w:t>
      </w:r>
    </w:p>
    <w:p>
      <w:pPr>
        <w:spacing w:after="0" w:line="176"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In September 2020, the FDA granted accelerated approval of GAVRETO for the treatment of adult patients with metastatic RET fusion-positive non-small cell lung cancer (NSCLC) as detected by an FDA approved test. In December 2020, the FDA granted a subsequent accelerated approval for GAVRETO, expanding the labeled indications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to include adult and pediatric patients 12 years of age and older with advanced or metastatic RET-mutant medullary thyroid cancer (MTC) who require systemic therapy (which indication was subsequently voluntarily withdrawn by Roche in June 2023, followed by the official FDA withdrawal on July 20, 2023), or with advanced or metastatic RET fusion-positive thyroid cancer who require systemic therapy and who are radioactive iodine-refractory (if radioactive iodine is appropriate). In August 2023, the FDA converted the accelerated approval of GAVRETO to full regular approval for the treatment of adult patients with metastatic RET fusion-positive NSCLC.</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recorded net product revenue from the U.S. product sales of GAVRETO in 2021 until it transferred, on July 1, 2021, certain responsibilities associated with product sales to customers, pricing and distribution matters related to U.S. product sales of GAVRETO to its collaboration partner. The Company did not record any net product revenue from product sales of GAVRETO subsequent to this transition date. Products sales of GAVRETO were reflected as part of collaboration loss sharing in the consolidated statements of operations and comprehensive loss. For additional information, see Note 11, </w:t>
      </w:r>
      <w:r>
        <w:rPr>
          <w:rFonts w:ascii="Times New Roman" w:cs="Times New Roman" w:eastAsia="Times New Roman" w:hAnsi="Times New Roman"/>
          <w:sz w:val="18"/>
          <w:szCs w:val="18"/>
          <w:i w:val="1"/>
          <w:iCs w:val="1"/>
          <w:color w:val="auto"/>
        </w:rPr>
        <w:t>Collaboration and License Agreements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recognized from product sales for the years ended December 31, 2023, 2022 and 2021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174"/>
        </w:trPr>
        <w:tc>
          <w:tcPr>
            <w:tcW w:w="60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AYVAKIT/AYVAKYT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181,971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97,226</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44,959</w:t>
            </w: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r>
      <w:tr>
        <w:trPr>
          <w:trHeight w:val="20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52,981</w:t>
            </w: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GAVRETO</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1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57,687</w:t>
            </w: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right="439" w:firstLine="315"/>
        <w:spacing w:after="0" w:line="266" w:lineRule="auto"/>
        <w:rPr>
          <w:sz w:val="20"/>
          <w:szCs w:val="20"/>
          <w:color w:val="auto"/>
        </w:rPr>
      </w:pPr>
      <w:r>
        <w:rPr>
          <w:rFonts w:ascii="Times New Roman" w:cs="Times New Roman" w:eastAsia="Times New Roman" w:hAnsi="Times New Roman"/>
          <w:sz w:val="18"/>
          <w:szCs w:val="18"/>
          <w:color w:val="auto"/>
        </w:rPr>
        <w:t>The Company primarily sells AYVAKIT/AYVAKYT through specialty distributors and specialty pharmacies. The following table summarizes the customers that represent 10% or greater of gross product revenue for the years ended December 31, 2023, 2022, and 2021:</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23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ind w:left="700"/>
        <w:spacing w:after="0"/>
        <w:rPr>
          <w:sz w:val="20"/>
          <w:szCs w:val="20"/>
          <w:color w:val="auto"/>
        </w:rPr>
      </w:pPr>
      <w:r>
        <w:rPr>
          <w:rFonts w:ascii="Times New Roman" w:cs="Times New Roman" w:eastAsia="Times New Roman" w:hAnsi="Times New Roman"/>
          <w:sz w:val="16"/>
          <w:szCs w:val="16"/>
          <w:color w:val="auto"/>
        </w:rPr>
        <w:t>* Indicates the customer’s share is under 10%.</w:t>
      </w:r>
    </w:p>
    <w:p>
      <w:pPr>
        <w:spacing w:after="0" w:line="203"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customers with amounts due that represent 10% or greater of the accounts receivable associated with the Company’s product sales as of December 31, 2023 and 2022:</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23"/>
        </w:trPr>
        <w:tc>
          <w:tcPr>
            <w:tcW w:w="67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 Indicates the customer’s share is under 10%.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years ended December 31, 2023 and 2022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6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related to sales in the current period</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19,292</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related to prior periods sales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(27,095)</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(13,140)</w:t>
            </w:r>
          </w:p>
        </w:tc>
      </w:tr>
      <w:tr>
        <w:trPr>
          <w:trHeight w:val="210"/>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total reserves above, which are included in the Company’s consolidated balance sheets as of December 31, 2023 and 2022, are summarized as follows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23"/>
        </w:trPr>
        <w:tc>
          <w:tcPr>
            <w:tcW w:w="6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accounts receivable,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9"/>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Component of accrued expenses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9,046</w:t>
            </w:r>
          </w:p>
        </w:tc>
      </w:tr>
      <w:tr>
        <w:trPr>
          <w:trHeight w:val="210"/>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revenue-related reserves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Capitalized inventory consists of the following as of December 31, 2023 and 2022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4"/>
        </w:trPr>
        <w:tc>
          <w:tcPr>
            <w:tcW w:w="6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28,427</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Balance sheet classification</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4"/>
        </w:trPr>
        <w:tc>
          <w:tcPr>
            <w:tcW w:w="67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obsolescence, unmarketability or other reasons are charged to cost of sales. For the years ended December 31, 2023 and 2022, the Company recognized write-downs of $0.7 million and $2.1 million, respectively. Long-term inventory, which primarily consists of work in process and raw materials, is included in other assets in the consolidated balance sheets.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Restricted Cash</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 xml:space="preserve">At December 31, 2023 and 2022, $10.2 million and $5.2 million, respectively, of the Company’s cash is restricted by a financial institution primarily related to funds held to satisfy the requirements of certain government agreements and the security deposits for the lease agreements for the Company’s office and laboratory spaces. For additional information, see Note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p>
      <w:pPr>
        <w:spacing w:after="0" w:line="22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and related accumulated depreciation as of December 31, 2023 and 2022 are as follows (in thousands):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1"/>
        </w:trPr>
        <w:tc>
          <w:tcPr>
            <w:tcW w:w="6000" w:type="dxa"/>
            <w:vAlign w:val="bottom"/>
          </w:tcPr>
          <w:p>
            <w:pPr>
              <w:spacing w:after="0"/>
              <w:rPr>
                <w:sz w:val="19"/>
                <w:szCs w:val="19"/>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09"/>
        </w:trPr>
        <w:tc>
          <w:tcPr>
            <w:tcW w:w="60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8"/>
                <w:szCs w:val="18"/>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Term of lease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41,046</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16"/>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64,626</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(38,494)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(31,282)</w:t>
            </w:r>
          </w:p>
        </w:tc>
      </w:tr>
      <w:tr>
        <w:trPr>
          <w:trHeight w:val="209"/>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33,344</w:t>
            </w:r>
          </w:p>
        </w:tc>
      </w:tr>
      <w:tr>
        <w:trPr>
          <w:trHeight w:val="20"/>
        </w:trPr>
        <w:tc>
          <w:tcPr>
            <w:tcW w:w="6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recorded at historical cost, net of accumulated depreciation. Depreciation expense for the years ended December 31, 2023, 2022 and 2021 was $7.7 million, $6.5 million and $6.5 million,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as of December 31, 2023 and 2022 consist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4"/>
        </w:trPr>
        <w:tc>
          <w:tcPr>
            <w:tcW w:w="6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development and commercial contract costs</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66,041</w:t>
            </w: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30,744</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17,588</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Revenue-related reserves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131,123</w:t>
            </w: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Collaboration and License Agreements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IDRx</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August 2022, the Company entered into a license agreement with IDRx, Inc. (IDRx), pursuant to which the Company granted IDRx an exclusive, worldwide, royalty-bearing license to exploit the Company’s internally discovered KIT exon 13 inhibitor IDRX-73 (IDRx License Agreement). IDRx is a clinical-stage biopharmaceutical company and among IDRx’s founders are Alexis Borisy, George Demetri, M.D., and Nicholas Lydon, Ph.D., who were each members of the Company’s board of directors at the time. Due to these relationships, the transaction with IDRx is a related party transaction.</w:t>
      </w:r>
    </w:p>
    <w:p>
      <w:pPr>
        <w:spacing w:after="0" w:line="18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IDRx License Agreement, the Company also entered into a stock purchase agreement with IDRx (IDRx Stock Purchase Agreement), pursuant to which the Company received 4,509,105 shares of IDRx’s Series A preferred stock with the right to receive additional shares of IDRx’s Series A preferred stock through an anti-dilution provision subject to a defined financing cap. In July 2023, the Company received 192,282 additional shares under the anti-dilution provision.</w:t>
      </w:r>
    </w:p>
    <w:p>
      <w:pPr>
        <w:spacing w:after="0" w:line="18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is also eligible to receive up to $217.5 million in contingent cash payments, including specified development, regulatory and sales-based milestone payments. In addition, IDRx is obligated to pay to the Company royalties on aggregate annual worldwide net sales of licensed products at tiered percentage rates up to low-teens, subject to adjustments in specified circumstances under the IDRx License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first commercial sale of such licensed product in such country. Following the end of the term for any such licensed product and in such region by expiration, the license granted to IDRx will become exclusive, perpetual, irrevocable, fully paid-up and royalty-free. IDRx may terminate the IDRx License Agreement for convenience at any time upon at least twelve months’ prior written notice to the Company. Either party may also terminate the IDRx License Agreement for material breach of the other party or for insolvency, and the Company may terminate the IDRx License Agreement for IDRx’s breach of the anti-dilution provision in the IDRx Stock Purchase Agreement. Upon termination of the license agreement in its entirety, all rights and obligations under the license agreement will terminate and revert back to the Company, and the Company has a license under certain intellectual property of IDRx to continue to exploit the compound and terminated product, subject to a royalty that will be negotiated at the time of termination.</w:t>
      </w:r>
    </w:p>
    <w:p>
      <w:pPr>
        <w:spacing w:after="0" w:line="19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considered the ASC 606 criteria for combining contracts and determined the IDRx License Agreement and the IDRx Stock Purchase Agreement should be combined into a single contract because they were negotiated and entered into in contemplation of one another. Therefore, the Company determined that the 4,509,105 shares of IDRx’s Series A preferred stock and the anti-dilution right to receive additional shares should be attributed to the transaction price of the IDRx License Agreement.</w:t>
      </w:r>
    </w:p>
    <w:p>
      <w:pPr>
        <w:spacing w:after="0" w:line="187"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IDRx License Agreement under ASC 606. The Company identified the following material promises under the agreement: (1) the exclusive license and (2) the initial know-how transfer.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transfer, should be combined into one distinct performance obligation. The Company concluded that the license is a functional intellectual property license. The Company determined that IDRx benefited from the license along with the initial know-how transfer at the time of grant, and therefore the related performance obligation is satisfied at a point in time.</w:t>
      </w:r>
    </w:p>
    <w:p>
      <w:pPr>
        <w:spacing w:after="0" w:line="192"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For the purposes of ASC 606, the transaction price of the IDRx License Agreement at the contract inception was determined to be $27.5 million and recorded as license revenue-related party on the consolidated statements of operations and comprehensive loss during the year ended December 31, 2022. The fair value was derived from IDRx’s most recent financing transaction with unrelated investors. All potential milestone payments that the Company is eligible to receive under the IDRx License Agreement have been excluded from the transaction price. The Company reevaluates the transaction price for inclusion of milestone payments and royalties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Additionally, the Company is entitled to sales milestones and royalties from the sales of the licensed products, and revenue are recognized when the related sales occur.</w:t>
      </w:r>
    </w:p>
    <w:p>
      <w:pPr>
        <w:spacing w:after="0" w:line="18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Company concluded the preferred stock investment should be accounted for as an equity investment as it is not mandatorily redeemable nor does the Company have the unilateral right to redeem the preferred stock, and the Company, along with its related parties, do not have a controlling financial interest in IDRx nor have the ability to influence the financial and operating policies through the ownership of preferred stock. IDRx’s preferred stock is not exchange-traded and does not have a readily determinable fair value. Therefore, the Company accounts for the preferred stock investment under the measurement alternative for equity investments that do not have a readily determinable fair value, which is at cost of $27.8 million, including transaction costs of $0.3 million. As of December 31, 2023, the cost of the investment in IDRx’s preferred stock was $27.8 million and was recorded as equity investment on the consolidated balance sheets. As of December 31, 2023, no adjustments have been recognized related to the preferred stock investment as a result of the application of the measurement alternative. The Company did not recognize revenue under the IDRx License Agreement during the year ended December 31, 2023.</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VantAI</w:t>
      </w:r>
    </w:p>
    <w:p>
      <w:pPr>
        <w:spacing w:after="0" w:line="229"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In February 2022, the Company entered into an exclusive collaboration agreement with Oncopia Therapeutics, Inc. d/b/a Proteovant Therapeutics, Inc. (“Proteovant”) (the 2022 Agreement) to jointly research and advance certain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protein degrader therapies into development candidates, with VantAI, Inc. (“VantAI”) performing computational chemistry services on behalf of Proteovant under the agreement. In December 2023, the Company entered into an Amended and Restated Collaboration and License Agreement (the “A&amp;R Agreement”) with VantAI and Proteovant, which amended and restated and replaced in its entirety the 2022 Agreement. Under the A&amp;R Agreement, Proteovant ceased its role under the 2022 Agreement and VantAI will provide expanded computational support directly to the Company, including computational biology and expanded computational chemistry to advance three novel protein degrader programs, and the Company has the option, at its sole discretion, to expand the collaboration to include a fourth target program.</w:t>
      </w:r>
    </w:p>
    <w:p>
      <w:pPr>
        <w:spacing w:after="0" w:line="158"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Under the A&amp;R Agreement, VantAI will be eligible to receive up to $1.67 billion in contingent payments including specified research, development, regulatory and commercialization milestones for all the target programs. The Company will be obligated to pay VantAI tiered percentage royalties on a licensed product-by-licensed product basis ranging from the mid-single digits on annual net sales of each licensed product in the applicable territory, subject to adjustment in specified circumstances.</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Under the 2022 Agreement, the Company paid Proteovant an upfront payment of $20.0 million in connection with the execution of the 2022 Agreement. This upfront payment was recorded as a prepaid asset on the Company’s consolidated balance sheet and was amortized as research and development expense over the expected research period because Company concluded that Proteovant was providing the Company with research services throughout such period. During the years ended December 31, 2023 and 2022, the Company recorded research and development expense of $4.0 million and $4.4 million, respectively, under the 2022 Agreement. The Company will continue to amortize the remaining prepaid asset balance as research and development expense over the expected research period of the A&amp;R Agreement.</w:t>
      </w:r>
    </w:p>
    <w:p>
      <w:pPr>
        <w:spacing w:after="0" w:line="187"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reevaluates the expected research period at the end of each reporting period and prospectively adjusts the amortization of the asset for changes in the expected research period. Each research and development milestone payment is accrued and expensed when probable.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Zai Lab</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November 2021, the Company entered into a collaboration (the Zai Lab agreement) with Zai Lab (Shanghai) Co., Ltd., (Zai Lab) to develop and commercialize certain licensed products for the treatment of EGFR-driven non-small cell lung cancer in Greater China, including Mainland China, Hong Kong, Macau and Taiwan (collectively, the Zai Lab Territory). The collaboration aims to accelerate and expand global development of the licensed products, which currently include BLU-945 and BLU-525. In January 2024, the Company determined to discontinue further investment in the early clinical-stage therapies for EGFR-mutant NSCLC globally, which includes BLU-945 and BLU-525. Zai Lab retains its rights to BLU-945 and BLU-525 under the agreement. The Company retains exclusive rights to the licensed products outside the Zai Lab Territory. The decision to deprioritize the licensed products does not have an impact on the Company’s current accounting treatment related to the Zai Lab agreement.</w:t>
      </w:r>
    </w:p>
    <w:p>
      <w:pPr>
        <w:spacing w:after="0" w:line="19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Under the Zai Lab agreement, the Company received an upfront cash payment of $25.0 million and,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 Lab is responsible for costs related to clinical trials in the Zai Lab Territory, other than the specified shared services costs as defined in the Zai Lab agreement which are shared by the Company and Zai Lab.</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Pursuant to the terms of the Zai Lab agreement, Zai Lab is responsible for conducting all development and commercialization activities in the Zai Lab Territory related to the licensed drug candidates. In addition, under the Zai Lab agreement, each party has granted the other party specified intellectual property licenses to enable the other party to perform its obligations and exercise its rights under the Zai Lab agreement, including license grants to enable each party to conduct research, development and commercialization activities pursuant to the terms of the Zai Lab agreement.</w:t>
      </w:r>
    </w:p>
    <w:p>
      <w:pPr>
        <w:spacing w:after="0" w:line="18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Zai Lab agreement will continue on a licensed product-by-product and region-by-region basis until the later of (i) the 12th anniversary of the date of the first commercial sale of a licensed product in the Zai Lab Territory, (ii) the date of expiration of the last valid patent claim related to the Company’s patent rights of the product in the Zai Lab Territory, and (iii) the expiration of the last regulatory exclusivity for that product in a region in the Zai Lab Territory.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Zai Lab may terminate the agreement for convenience by giving a written notice after the second anniversary of the effective date (a) at least 12 months after the date of notice, in the event such notice is given after the first commercial sale of a licensed product in the Zai Lab Territory or (b) 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licenses and all other rights granted by the Company to Zai Lab will terminate. Each party will retain its joint ownership interests in any joint collaboration technology.</w:t>
      </w:r>
    </w:p>
    <w:p>
      <w:pPr>
        <w:spacing w:after="0" w:line="175"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The Company evaluated the Zai Lab agreement to determine whether it is a collaborative arrangement in the scope of ASC 808. The Company concluded that the Zai Lab agreement is a collaborative agreement under ASC 808 as both parties are active participants in the clinical trials and are exposed to significant risks and rewards of those activities under the Zai Lab agreement. The Company determined that the Zai Lab agreement contained two material components: (i) licenses granted to Zai Lab to exploit and develop each licensed product in the Zai Lab Territory and related activities in the Zai Lab Territory, including manufacturing, and (ii) the parties’ participation in the global development of the licensed products. The Company used the criteria specified in ASC 606 to determine which of the components of the Zai Lab agreement are performance obligations with a customer and concluded that Zai Lab is the Company’s customer for the licenses and related activities in the Zai Lab Territory under ASC 606. The global development activities under the agreement does not present a transaction with a customer and the payments received by the Company for global development activities, including manufacturing, are accounted for as a reduction of related expenses. During the years ended December 31, 2023, 2022 and 2021, the Company did not record significant net reduction of expenses under the Zai Lab agreement.</w:t>
      </w:r>
    </w:p>
    <w:p>
      <w:pPr>
        <w:spacing w:after="0" w:line="196" w:lineRule="exact"/>
        <w:rPr>
          <w:sz w:val="20"/>
          <w:szCs w:val="20"/>
          <w:color w:val="auto"/>
        </w:rPr>
      </w:pPr>
    </w:p>
    <w:p>
      <w:pPr>
        <w:ind w:left="60" w:right="99" w:firstLine="648"/>
        <w:spacing w:after="0" w:line="249" w:lineRule="auto"/>
        <w:rPr>
          <w:sz w:val="20"/>
          <w:szCs w:val="20"/>
          <w:color w:val="auto"/>
        </w:rPr>
      </w:pPr>
      <w:r>
        <w:rPr>
          <w:rFonts w:ascii="Times New Roman" w:cs="Times New Roman" w:eastAsia="Times New Roman" w:hAnsi="Times New Roman"/>
          <w:sz w:val="18"/>
          <w:szCs w:val="18"/>
          <w:color w:val="auto"/>
        </w:rPr>
        <w:t>The Company evaluated the Zai Lab Territory specific licenses and related activities under ASC 606 as these transactions are considered transactions with a customer and identified three material promises at the outset of the Zai Lab agreement, which consists of the following for each licensed product: (1) the exclusive license, (2) the initial know-how transfer and (3) manufacturing activities related to development and commercial supply of the licensed product in the Zai Lab Territory.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should be combined into one distinct performance obligation. The Company further evaluated the material promise associated with manufacturing activities related to development and commercial supply of the licensed products in the Zai Lab Territory, given Zai Lab is not obligated to purchase any minimum amount or quantities of the development and commercial supply from the Company, the Company concluded that, for the purpose of ASC 606, the provision of manufacturing activities related to development and commercial supply of the licensed product in Zai Lab Territory was an option but not a performance obligation of the Company at the inception of the Zai Lab collaboration agreement and will be accounted for if and when exercised. The Company also concluded that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w:t>
      </w:r>
    </w:p>
    <w:p>
      <w:pPr>
        <w:spacing w:after="0" w:line="19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license under ASC 606 and concluded that the license is a functional intellectual property license. The Company determined that Zai Lab benefited from the license along with the initial know-how transfer at the time of grant, and therefore the related performance obligation is satisfied at a point in time. Additionally, the Company is entitled to sales milestones and royalties from Zai Lab upon future sales of the licensed products in the Zai Lab Territory, and revenue will be recognized when the related sales occur. Costs that are incurred associated with Zai Lab Territory specific activities are reimbursable from Zai Lab and are recognized as revenue. During the year ended December 31, 2023, the Company did not record significant revenue under the Zai Lab Agreement. During the year ended December 31, 2022, the Company recorded $0.9 million in revenue related to Zai Lab Territory specific activities in the consolidated financial statements. During the year ended December 31, 2021, the Company did not record any revenue from reimbursements of Zai Lab Territory specific activities.</w:t>
      </w:r>
    </w:p>
    <w:p>
      <w:pPr>
        <w:spacing w:after="0" w:line="18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For the purposes of ASC 606, the transaction price of the Zai Lab agreement at the outset of the arrangement was determined to be $25.0 million, which consisted of the upfront cash payment. The other potential milestone payments that the Company is eligible to receive were excluded from the transaction price, as all milestone amounts were fully constrained based on the probability of achievement. The Company satisfied the performance obligation upon delivery of the licenses and initial know-how transfer, and recognized the upfront payment of $25.0 million as revenue in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Pralsetinib Collaboration</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July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w:t>
      </w:r>
    </w:p>
    <w:p>
      <w:pPr>
        <w:spacing w:after="0" w:line="187"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Under the Roche pralsetinib collaboration agreement, the Company received an upfront cash payment of $675.0 million, and through December 31, 2023, the Company received an aggregate of $105.0 million in specified regulatory and commercialization milestones. In February 2023, the Company received written notice from Roche of their election to terminate for convenience the Roche pralsetinib collaboration agreement. The termination will become effective in February 2024, at which time the Company will regain commercialization and development rights to GAVRETO from Roche worldwide excluding the CStone Territory. In January 2024, the Company decided to discontinue global development and marketing of GAVRETO in territories excluding the U.S. and the CStone Territory following the termination of the Roche pralsetinib collaboration effective in February 2024. Until the termination of the collaboration agreement is effective, the parties continue to perform their respective obligations under the collaboration agreement, including with respect to the development and commercialization of GAVRETO. The Company will not be entitled to receive payment for milestones, if any, achieved during the period between the receipt of the notice of termination and the effective date of termination. The termination of the collaboration agreement does not have an impact on the Company’s current accounting treatment related to the Roche pralsetinib collaboration.</w:t>
      </w:r>
    </w:p>
    <w:p>
      <w:pPr>
        <w:spacing w:after="0" w:line="194"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In the U.S., the Company and Roche agreed to work together to co-commercialize pralsetinib and equally share responsibilities, profits and losses. In addition, the Company is eligible to receive tiered royalties ranging from high-teens to mid-twenties on annual net sales of pralsetinib outside the U.S., excluding Greater China (the Roche Territory). The Company and Roche also agreed to co-develop pralsetinib globally in RET-altered solid tumors, including non-small cell lung cancer, medullary thyroid carcinoma and other thyroid cancers, as well as other solid tumors. The Company and Roche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spacing w:after="0" w:line="190"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Roche pralsetinib collaboration agreement, on July 13, 2020, the Company also entered into a stock purchase agreement with Roche Holdings, Inc. (Roche Holdings) pursuant to which the Company issued and sold an aggregate of 1,035,519 shares of common stock to Roche Holdings at a purchase price of $96.57 per share and received an aggregate of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Company determined that the Roche pralsetinib collaboration agreement contained four material components:</w:t>
      </w:r>
    </w:p>
    <w:p>
      <w:pPr>
        <w:spacing w:after="0" w:line="39" w:lineRule="exact"/>
        <w:rPr>
          <w:sz w:val="20"/>
          <w:szCs w:val="20"/>
          <w:color w:val="auto"/>
        </w:rPr>
      </w:pPr>
    </w:p>
    <w:p>
      <w:pPr>
        <w:ind w:left="60" w:right="759" w:hanging="10"/>
        <w:spacing w:after="0" w:line="290" w:lineRule="auto"/>
        <w:tabs>
          <w:tab w:leader="none" w:pos="27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licenses granted to Roche to develop and commercialize pralsetinib worldwide, excluding the CStone Territory (pralsetinib license); (ii) the Roche Territory-specific commercialization activities for pralsetinib, including</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77" w:lineRule="auto"/>
        <w:rPr>
          <w:sz w:val="20"/>
          <w:szCs w:val="20"/>
          <w:color w:val="auto"/>
        </w:rPr>
      </w:pPr>
      <w:r>
        <w:rPr>
          <w:rFonts w:ascii="Times New Roman" w:cs="Times New Roman" w:eastAsia="Times New Roman" w:hAnsi="Times New Roman"/>
          <w:sz w:val="17"/>
          <w:szCs w:val="17"/>
          <w:color w:val="auto"/>
        </w:rPr>
        <w:t>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Roche is the Company’s customer in those transactions.</w:t>
      </w:r>
    </w:p>
    <w:p>
      <w:pPr>
        <w:spacing w:after="0" w:line="16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evaluated the Roche pralsetinib license under ASC 606 and concluded that the pralsetinib license is a functional intellectual property license and is a distinct performance obligation. The Company determined that Roche benefited from the pralsetinib license at the time of grant, and therefore the related performance obligation is satisfied at a point in time.</w:t>
      </w:r>
    </w:p>
    <w:p>
      <w:pPr>
        <w:spacing w:after="0" w:line="187" w:lineRule="exact"/>
        <w:rPr>
          <w:sz w:val="20"/>
          <w:szCs w:val="20"/>
          <w:color w:val="auto"/>
        </w:rPr>
      </w:pPr>
    </w:p>
    <w:p>
      <w:pPr>
        <w:ind w:left="60" w:right="119" w:firstLine="648"/>
        <w:spacing w:after="0" w:line="251" w:lineRule="auto"/>
        <w:rPr>
          <w:sz w:val="20"/>
          <w:szCs w:val="20"/>
          <w:color w:val="auto"/>
        </w:rPr>
      </w:pPr>
      <w:r>
        <w:rPr>
          <w:rFonts w:ascii="Times New Roman" w:cs="Times New Roman" w:eastAsia="Times New Roman" w:hAnsi="Times New Roman"/>
          <w:sz w:val="18"/>
          <w:szCs w:val="18"/>
          <w:color w:val="auto"/>
        </w:rPr>
        <w:t>The Company evaluated the Roche Territory activities under ASC 606 and identified one material promise associated with manufacturing activities related to development and commercial supply of pralsetinib in the Roche Territory for up to 24 months. Given that Roche is not obligated to purchase any minimum amount or quantities of the development and commercial supply from the Company, the Company concluded that, for the purpose of ASC 606, the provision of manufacturing activities related to development and commercial supply of pralsetinib in Roche Territory was an option but not a performance obligation of the Company at the inception of the Roche collaboration agreement and is accounted for if and when exercised. The Company also concluded that there is no separate material right in connection with the development and commercial supply of pralsetinib, as the expected pricing was not issued at a significant and incremental discount. Therefore, the manufacturing activities were excluded as performance obligations at the outset of the arrangement. Additionally, the Company is entitled to sales milestones and royalties from Roche upon future sales of pralsetinib in the Roche Territory, and the revenue is recognized when the related sales occur. Costs that are incurred associated with the Roche Territory activities are reimbursable from Roche and are recognized as revenue.</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purposes of ASC 606, the transaction price of the Roche pralsetinib collaboration agreement at the outset</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the arrangement was determined to be $695.7 million, which consisted of the upfront cash payment of $675.0 million</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the $20.7 million premium on the sale of common stock to Roche Holdings, which was allocated to the performance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obligation related to the pralsetinib licenses. Through December 31, 2023, the Company has achieved an aggregate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$105.0 million in specified regulatory and commercialization milestones and which were added to the estimated transaction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price of the Roche pralsetinib collaboration agreement.</w:t>
      </w:r>
    </w:p>
    <w:p>
      <w:pPr>
        <w:spacing w:after="0" w:line="207"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recognized under the Roche pralsetinib collaboration during the years ended December 31, 2023, 2022 and 2021 (in thousands):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r>
      <w:tr>
        <w:trPr>
          <w:trHeight w:val="208"/>
        </w:trPr>
        <w:tc>
          <w:tcPr>
            <w:tcW w:w="52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52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Manufacturing and research and development services related to</w:t>
            </w: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3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ex-US territory-specific activities</w:t>
            </w:r>
          </w:p>
        </w:tc>
        <w:tc>
          <w:tcPr>
            <w:tcW w:w="8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milestone revenue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Roche pralsetinib collaboration revenue</w:t>
            </w:r>
          </w:p>
        </w:tc>
        <w:tc>
          <w:tcPr>
            <w:tcW w:w="6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56,022</w:t>
            </w:r>
          </w:p>
        </w:tc>
      </w:tr>
      <w:tr>
        <w:trPr>
          <w:trHeight w:val="20"/>
        </w:trPr>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are accounted for as an increase to or reduction of research and development expenses.</w:t>
      </w:r>
    </w:p>
    <w:p>
      <w:pPr>
        <w:spacing w:after="0" w:line="189"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In September 2020, the FDA granted accelerated approval of GAVRETO for the treatment of adult patients with metastatic RET fusion-positive non-small cell lung cancer (NSCLC) as detected by an FDA approved test. In December 2020, the FDA granted a subsequent accelerated approval for GAVRETO, expanding the labeled indications to include adult and pediatric patients 12 years of age and older with advanced or metastatic RET-mutant medullary thyroid cancer (MTC) who require systemic therapy (which indication was subsequently voluntarily withdrawn by Roche in June 2023, followed by the official FDA withdrawal on July 20, 2023), or with advanced or metastatic RET</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fusion-positive thyroid cancer who require systemic therapy and who are radioactive iodine-refractory (if radioactive iodine is appropriate). In August 2023, the FDA converted the accelerated approval of GAVRETO to full regular approval for the treatment of adult patients with metastatic RET fusion-positive NSCLC.</w:t>
      </w:r>
    </w:p>
    <w:p>
      <w:pPr>
        <w:spacing w:after="0" w:line="176" w:lineRule="exact"/>
        <w:rPr>
          <w:sz w:val="20"/>
          <w:szCs w:val="20"/>
          <w:color w:val="auto"/>
        </w:rPr>
      </w:pPr>
    </w:p>
    <w:p>
      <w:pPr>
        <w:ind w:left="60" w:right="319" w:firstLine="648"/>
        <w:spacing w:after="0" w:line="253" w:lineRule="auto"/>
        <w:rPr>
          <w:sz w:val="20"/>
          <w:szCs w:val="20"/>
          <w:color w:val="auto"/>
        </w:rPr>
      </w:pPr>
      <w:r>
        <w:rPr>
          <w:rFonts w:ascii="Times New Roman" w:cs="Times New Roman" w:eastAsia="Times New Roman" w:hAnsi="Times New Roman"/>
          <w:sz w:val="18"/>
          <w:szCs w:val="18"/>
          <w:color w:val="auto"/>
        </w:rPr>
        <w:t>Prior to July 1, 2021, the Company was the principal for product sales to customers in the U.S. and recognized revenues on sales to third parties in product revenue, net in its consolidated statements of operations and comprehensive loss. On July 1, 2021, Roche took over certain responsibilities associated with product sales to customers, pricing and distribution matters for GAVRETO in the U.S. and became the principal for recording product sales to customers in the U.S., and the Company recognized its portion of the commercial losses sharing as collaboration loss sharing in its consolidated statements of operations and comprehensive loss.</w:t>
      </w:r>
    </w:p>
    <w:p>
      <w:pPr>
        <w:spacing w:after="0" w:line="18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recognized from loss sharing from product sales of GAVRETO to customers in the U.S. during the years ended December 31, 2023, 2022, and 2021 (in thousands):</w:t>
      </w:r>
    </w:p>
    <w:p>
      <w:pPr>
        <w:spacing w:after="0" w:line="20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24765</wp:posOffset>
            </wp:positionV>
            <wp:extent cx="19030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Company's share of loss in the U.S. for GAVRETO</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r>
    </w:tbl>
    <w:p>
      <w:pPr>
        <w:spacing w:after="0" w:line="211"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amounts recognized as reductions to selling, general and administrative expenses related to the commercialization of GAVRETO in the U.S., and reductions to (increases in) research and development expenses related to global development activities for pralsetinib under the Roche pralsetinib collaboration during the years ended December 31, 2023, 2022 and 2021 (in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r>
      <w:tr>
        <w:trPr>
          <w:trHeight w:val="208"/>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to selling, general and 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18,753</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to (increases in) research and development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(24,915)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(19,297)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w:t>
            </w:r>
          </w:p>
        </w:tc>
      </w:tr>
    </w:tbl>
    <w:p>
      <w:pPr>
        <w:spacing w:after="0" w:line="198" w:lineRule="exact"/>
        <w:rPr>
          <w:sz w:val="20"/>
          <w:szCs w:val="20"/>
          <w:color w:val="auto"/>
        </w:rPr>
      </w:pPr>
    </w:p>
    <w:p>
      <w:pPr>
        <w:ind w:left="60" w:right="10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contract assets and liability associated with the Roche pralsetinib collaboration as of December 31, 2023 and 2022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1"/>
        </w:trPr>
        <w:tc>
          <w:tcPr>
            <w:tcW w:w="67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20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w:t>
            </w:r>
          </w:p>
        </w:tc>
      </w:tr>
    </w:tbl>
    <w:p>
      <w:pPr>
        <w:spacing w:after="0" w:line="220"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 xml:space="preserve">Although the Company sold its right to receive royalty payments from Roche’s sales of GAVRETO in Roche Territory to Royalty Pharma in June 2022, given the Company’s significant continuing involvement in the generation of future royalties, the Company continues to account for any royalties earned related to the Roche Territory activities under the Roche pralsetinib collaboration agreement as collaboration revenue on its consolidated statements of operations and comprehensive loss. 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Clementia</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1F2328"/>
        </w:rPr>
        <w:t>In October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spacing w:after="0" w:line="17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1F2328"/>
        </w:rPr>
        <w:t xml:space="preserve">Under the Clementia agreement, the Company received an upfront cash payment of $25.0 million and through December 31, 2023, the Company has received an aggregate of $50.0 million in cash milestone payments. Subject to the terms of the Clementia agreement, in addition to the upfront and milestone payments </w:t>
      </w:r>
      <w:r>
        <w:rPr>
          <w:rFonts w:ascii="Times New Roman" w:cs="Times New Roman" w:eastAsia="Times New Roman" w:hAnsi="Times New Roman"/>
          <w:sz w:val="18"/>
          <w:szCs w:val="18"/>
          <w:color w:val="000000"/>
        </w:rPr>
        <w:t>received through December 31, 2023</w:t>
      </w:r>
      <w:r>
        <w:rPr>
          <w:rFonts w:ascii="Times New Roman" w:cs="Times New Roman" w:eastAsia="Times New Roman" w:hAnsi="Times New Roman"/>
          <w:sz w:val="18"/>
          <w:szCs w:val="18"/>
          <w:color w:val="1F2328"/>
        </w:rPr>
        <w:t>, the Company is eligible to receive up to $460.0 million in contingent payments, including specified development,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1F2328"/>
        </w:rPr>
        <w:t>regulatory and sales-based milestones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Clementia purchased specified manufacturing inventory from the Company for a total of $1.5 million.</w:t>
      </w:r>
    </w:p>
    <w:p>
      <w:pPr>
        <w:spacing w:after="0" w:line="180" w:lineRule="exact"/>
        <w:rPr>
          <w:sz w:val="20"/>
          <w:szCs w:val="20"/>
          <w:color w:val="auto"/>
        </w:rPr>
      </w:pPr>
    </w:p>
    <w:p>
      <w:pPr>
        <w:jc w:val="both"/>
        <w:ind w:left="60" w:right="119" w:firstLine="648"/>
        <w:spacing w:after="0" w:line="267" w:lineRule="auto"/>
        <w:rPr>
          <w:sz w:val="20"/>
          <w:szCs w:val="20"/>
          <w:color w:val="auto"/>
        </w:rPr>
      </w:pPr>
      <w:r>
        <w:rPr>
          <w:rFonts w:ascii="Times New Roman" w:cs="Times New Roman" w:eastAsia="Times New Roman" w:hAnsi="Times New Roman"/>
          <w:sz w:val="17"/>
          <w:szCs w:val="17"/>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the Company.</w:t>
      </w:r>
    </w:p>
    <w:p>
      <w:pPr>
        <w:spacing w:after="0" w:line="2"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191"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determined that the transaction price at the outset of the arrangement was $46.5 million, which was allocated to the three performance obligations on a relative stand-alone selling price basis, and was recognized as revenue during 2019 and 2020.</w:t>
      </w:r>
    </w:p>
    <w:p>
      <w:pPr>
        <w:spacing w:after="0" w:line="16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did not recognize revenue under the Clementia agreement during the year ended December 31, 2023. During the year ended December 31, 2022, cash consideration associated with an achieved development milestone of $30.0 million was added to the estimated transaction price for the Clementia agreement and recognized as revenue. During the year ended December 31, 2021, no material revenue was recognized from the Clementia collaboration. The other potential milestone payments that the Company is eligible to receive were excluded from the transaction price, as the amounts were fully constrained based on the probability of achievement.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200" w:lineRule="exact"/>
        <w:rPr>
          <w:sz w:val="20"/>
          <w:szCs w:val="20"/>
          <w:color w:val="auto"/>
        </w:rPr>
      </w:pPr>
    </w:p>
    <w:p>
      <w:pPr>
        <w:spacing w:after="0" w:line="206" w:lineRule="exact"/>
        <w:rPr>
          <w:sz w:val="20"/>
          <w:szCs w:val="20"/>
          <w:color w:val="auto"/>
        </w:rPr>
      </w:pPr>
    </w:p>
    <w:p>
      <w:pPr>
        <w:ind w:left="60" w:right="1159" w:firstLine="648"/>
        <w:spacing w:after="0" w:line="282" w:lineRule="auto"/>
        <w:rPr>
          <w:sz w:val="20"/>
          <w:szCs w:val="20"/>
          <w:color w:val="auto"/>
        </w:rPr>
      </w:pPr>
      <w:r>
        <w:rPr>
          <w:rFonts w:ascii="Times New Roman" w:cs="Times New Roman" w:eastAsia="Times New Roman" w:hAnsi="Times New Roman"/>
          <w:sz w:val="18"/>
          <w:szCs w:val="18"/>
          <w:color w:val="auto"/>
        </w:rPr>
        <w:t>There was no revenue deferred as a contract liability associated with the Clementia agreement as of December 31, 2023 and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CStone Pharmaceuticals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June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and other forms thereof, in Mainland China, Hong Kong, Macau and Taiwan (each, a CStone region and collectively, the CStone Territory), either as a monotherapy or as part of a combination therapy.</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an upfront cash payment of $40.0 million, and through December 31, 2023, the Company has achieved an aggregate of $38.5 million in milestones under this collaboration. Subject to the terms of the CStone agreement, in addition to the upfront payments received and milestones achieved through December 31, 2023, the Company will be eligible to receive up to $307.5 million in contingent payments, including specified development, regulatory and sales-based milestones for licensed products. In addition, CStone is obligated to pay the Company tiered percentage royalties on a licensed product-by-licensed product basis ranging from the mid-teens to low twenties on annual net sales of each licensed product in the CStone Territory, subject to adjustment in specified circumstances. CStone is responsible for costs related to the development of the licensed products in the CStone Territory, other than</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specified costs related to the development of fisogatinib as a combination therapy in the CStone Territory that are shared by the Company and CStone.</w:t>
      </w:r>
    </w:p>
    <w:p>
      <w:pPr>
        <w:spacing w:after="0" w:line="16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19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Company evaluated the CStone agreement to determine whether it is a collaborative arrangement for</w:t>
      </w:r>
    </w:p>
    <w:p>
      <w:pPr>
        <w:spacing w:after="0" w:line="27" w:lineRule="exact"/>
        <w:rPr>
          <w:sz w:val="20"/>
          <w:szCs w:val="20"/>
          <w:color w:val="auto"/>
        </w:rPr>
      </w:pPr>
    </w:p>
    <w:p>
      <w:pPr>
        <w:ind w:left="60" w:right="119"/>
        <w:spacing w:after="0" w:line="248" w:lineRule="auto"/>
        <w:rPr>
          <w:sz w:val="20"/>
          <w:szCs w:val="20"/>
          <w:color w:val="auto"/>
        </w:rPr>
      </w:pPr>
      <w:r>
        <w:rPr>
          <w:rFonts w:ascii="Times New Roman" w:cs="Times New Roman" w:eastAsia="Times New Roman" w:hAnsi="Times New Roman"/>
          <w:sz w:val="18"/>
          <w:szCs w:val="18"/>
          <w:color w:val="auto"/>
        </w:rPr>
        <w:t>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net payments received by the Company for global development activities under the CStone agreement, including manufacturing, are accounted for as a reduction of related expenses.</w:t>
      </w:r>
    </w:p>
    <w:p>
      <w:pPr>
        <w:spacing w:after="0" w:line="196" w:lineRule="exact"/>
        <w:rPr>
          <w:sz w:val="20"/>
          <w:szCs w:val="20"/>
          <w:color w:val="auto"/>
        </w:rPr>
      </w:pPr>
    </w:p>
    <w:p>
      <w:pPr>
        <w:ind w:left="60" w:right="139" w:firstLine="648"/>
        <w:spacing w:after="0" w:line="275" w:lineRule="auto"/>
        <w:rPr>
          <w:sz w:val="20"/>
          <w:szCs w:val="20"/>
          <w:color w:val="auto"/>
        </w:rPr>
      </w:pPr>
      <w:r>
        <w:rPr>
          <w:rFonts w:ascii="Times New Roman" w:cs="Times New Roman" w:eastAsia="Times New Roman" w:hAnsi="Times New Roman"/>
          <w:sz w:val="17"/>
          <w:szCs w:val="17"/>
          <w:color w:val="auto"/>
        </w:rPr>
        <w:t>The Company did not have significant manufacturing and research and development services related to the global development activities during the year ended December 31, 2023. During the years ended December 31, 2022 and 2021, the Company recorded $1.7 million and $2.4 million, respectively, in reduction of related expenses from manufacturing and research and development services related to global development activities, net of expenses payable to CStone.</w:t>
      </w:r>
    </w:p>
    <w:p>
      <w:pPr>
        <w:spacing w:after="0" w:line="17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7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83" w:lineRule="exact"/>
        <w:rPr>
          <w:sz w:val="20"/>
          <w:szCs w:val="20"/>
          <w:color w:val="auto"/>
        </w:rPr>
      </w:pPr>
    </w:p>
    <w:p>
      <w:pPr>
        <w:jc w:val="both"/>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83"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Under the CStone agreement, in order to evaluate the transaction price for purposes of ASC 606, the Company determined that the upfront amount of $40.0 million constituted the entirety of the consideration to be included in the transaction price at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in 2018.</w:t>
      </w:r>
    </w:p>
    <w:p>
      <w:pPr>
        <w:spacing w:after="0" w:line="17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2023, 2022, and 2021, cash consideration associated with achieved development and sales-based milestones of $9.0 million, $6.5 million and $9.0 million, respectively, were added to the estimated transaction price for the CStone agreement and recognized as revenue in such periods.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175"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Subsequent to the CStone agreement, the Company entered into various commercial supply and manufacturing technology transfer agreements for avapritinib and pralsetinib related to supply of drug substance and commercialization activities conducted specifically for the CStone Territory. The manufacturing activities in these agreements were considered as distinct performance obligations from the CStone collaboration agreement and collaboration revenue is recognized upon delivery of the drug substance and drug product to CStone.</w:t>
      </w:r>
    </w:p>
    <w:p>
      <w:pPr>
        <w:spacing w:after="0" w:line="183"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A summary of revenue recognized under the CStone agreement during the years ended December 31, 2023, 2022 and 2021 is as follows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4"/>
        </w:trPr>
        <w:tc>
          <w:tcPr>
            <w:tcW w:w="63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milestone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Manufacturing services and royalty revenue related to CStone Territory-specific</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CStone collaboration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4280"/>
              <w:spacing w:after="0"/>
              <w:rPr>
                <w:sz w:val="20"/>
                <w:szCs w:val="20"/>
                <w:color w:val="auto"/>
              </w:rPr>
            </w:pPr>
            <w:r>
              <w:rPr>
                <w:rFonts w:ascii="Times New Roman" w:cs="Times New Roman" w:eastAsia="Times New Roman" w:hAnsi="Times New Roman"/>
                <w:sz w:val="18"/>
                <w:szCs w:val="18"/>
                <w:color w:val="auto"/>
              </w:rPr>
              <w:t>F-35</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contract assets and contract liability associated with the CStone collaboration as of December 31, 2023 and 2022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10"/>
        </w:trPr>
        <w:tc>
          <w:tcPr>
            <w:tcW w:w="7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liability</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0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both"/>
        <w:ind w:left="60" w:right="299" w:firstLine="648"/>
        <w:spacing w:after="0" w:line="296" w:lineRule="auto"/>
        <w:rPr>
          <w:sz w:val="20"/>
          <w:szCs w:val="20"/>
          <w:color w:val="auto"/>
        </w:rPr>
      </w:pPr>
      <w:r>
        <w:rPr>
          <w:rFonts w:ascii="Times New Roman" w:cs="Times New Roman" w:eastAsia="Times New Roman" w:hAnsi="Times New Roman"/>
          <w:sz w:val="17"/>
          <w:szCs w:val="17"/>
          <w:color w:val="auto"/>
        </w:rPr>
        <w:t>The Company’s liabilities associated with the CStone collaboration as of December 31, 2023 and 2022 resulted primarily from the Company’s obligations in connection with commercial supply of pralsetinib for the CStone Territory.</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Immunotherapy Collaboration</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as single products or possibly in combination with other therapeutics.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Under the Roche immunotherapy agreement, Roche was originally granted up to five option rights to obtain an exclusive license to exploit products derived from the collaboration programs in the field of cancer immunotherapy. Four of the five development programs were ended in prior reporting periods and on April 30, 2023, the Company and Roche entered into a mutual termination agreement to terminate the Roche immunotherapy agreement. Certain licenses granted by Roche to the Company survived and became exclusive, worldwide, perpetual, royalty-free and irrevocable. The Company retained ownership of the collaboration compounds directed to MAP4K1 and all of the other previously terminated kinase targets developed under the collaboration.</w:t>
      </w:r>
    </w:p>
    <w:p>
      <w:pPr>
        <w:spacing w:after="0" w:line="187"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The Roche immunotherapy agreement represented a vendor-customer relationship under ASC 606 as the Company performed its one performance obligation at the outset of the Roche immunotherapy agreement, which consists of: (1) the non-exclusive license; (2) the research and development activities through Phase 1; and (3) regulatory responsibilities under Phase 1 clinical trials.</w:t>
      </w:r>
    </w:p>
    <w:p>
      <w:pPr>
        <w:spacing w:after="0" w:line="18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aggregate net transaction price of the Roche immunotherapy agreement was $64.7 million, which comprised of an upfront payment of $45.0 million, an aggregate of $25.0 million in research milestones achieved under the collaboration, and a reduction of $5.3 million as a result of the Company’s payment to Roche for certain clinical development costs. This payment resulted from a cost sharing under the clinical development plan for IND-enabling activities for BLU-852, which the Company and Roche endorsed in 2022 prior to the termination of the agreement.</w:t>
      </w:r>
    </w:p>
    <w:p>
      <w:pPr>
        <w:spacing w:after="0" w:line="17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recognized revenue associated with the performance obligation as the research and development services were provided using an input method, according to the costs incurred as related to the research and development activities on each program and the costs expected to be incurred in the future to satisfy the performance obligation for each respective period. The amounts received that had not yet been recognized as revenue were deferred as a contract liability on the Company’s consolidated balance sheet and recognized over the remaining research and development period until the performance obligation was satisfied. The performance obligation was completely satisfied as of June 30, 2023.</w:t>
      </w:r>
    </w:p>
    <w:p>
      <w:pPr>
        <w:spacing w:after="0" w:line="187"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revenue recognized under the Roche immunotherapy agreement during the years ended December 31, 2023, 2022 and 2021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r>
      <w:tr>
        <w:trPr>
          <w:trHeight w:val="174"/>
        </w:trPr>
        <w:tc>
          <w:tcPr>
            <w:tcW w:w="5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 collaboration research and development services 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Because of the termination of the Roche immunotherapy agreement effective in April 2023, both the estimated lifetime cost to satisfy the Company’s performance obligation under the Roche immunotherapy collaboration and the estimated cost to be shared with Roche for the IND-enabling activities for BLU-852 were reduced. Consequently, the transaction price and the percentage of completion revenue to be recognized under the collaboration agreement was increased during the year ended December 31, 2023.</w:t>
      </w:r>
    </w:p>
    <w:p>
      <w:pPr>
        <w:spacing w:after="0" w:line="210"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recognized revenue due to the following changes in the contract liability balances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174"/>
        </w:trPr>
        <w:tc>
          <w:tcPr>
            <w:tcW w:w="56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the contract liability at the beginning of the period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r>
    </w:tbl>
    <w:p>
      <w:pPr>
        <w:spacing w:after="0" w:line="200" w:lineRule="exact"/>
        <w:rPr>
          <w:sz w:val="20"/>
          <w:szCs w:val="20"/>
          <w:color w:val="auto"/>
        </w:rPr>
      </w:pPr>
    </w:p>
    <w:p>
      <w:pPr>
        <w:spacing w:after="0" w:line="214"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liabilities related to the Roche immunotherapy agreement as of December 31, 2023 and 2022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4740" w:type="dxa"/>
            <w:vAlign w:val="bottom"/>
          </w:tcPr>
          <w:p>
            <w:pPr>
              <w:spacing w:after="0"/>
              <w:rPr>
                <w:sz w:val="18"/>
                <w:szCs w:val="18"/>
                <w:color w:val="auto"/>
              </w:rPr>
            </w:pPr>
          </w:p>
        </w:tc>
        <w:tc>
          <w:tcPr>
            <w:tcW w:w="13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Current Noncurrent</w:t>
            </w:r>
          </w:p>
        </w:tc>
        <w:tc>
          <w:tcPr>
            <w:tcW w:w="10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40" w:type="dxa"/>
            <w:vAlign w:val="bottom"/>
          </w:tcPr>
          <w:p>
            <w:pPr>
              <w:spacing w:after="0"/>
              <w:rPr>
                <w:sz w:val="18"/>
                <w:szCs w:val="18"/>
                <w:color w:val="auto"/>
              </w:rPr>
            </w:pPr>
          </w:p>
        </w:tc>
        <w:tc>
          <w:tcPr>
            <w:tcW w:w="5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w:t>
            </w: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w:t>
            </w:r>
          </w:p>
        </w:tc>
      </w:tr>
    </w:tbl>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Acquisition</w:t>
      </w:r>
    </w:p>
    <w:p>
      <w:pPr>
        <w:spacing w:after="0" w:line="216"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December 2021, the Company closed the acquisition of all the outstanding shares of Lengo Therapeutics Inc. (“Lengo”), a biopharmaceutical company committed to developing novel, best-in-class precision medicines targeting driver mutations in oncology to improve the lives of patients with cancer.</w:t>
      </w:r>
    </w:p>
    <w:p>
      <w:pPr>
        <w:spacing w:after="0" w:line="183"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acquisition, the Company agreed to pay Lengo shareholders an upfront consideration of $250.0 million, subject to customary net indebtedness, transaction expenses, and other adjustments, as set forth in the acquisition agreement, and future contingent cash milestone payments of up to $215.0 million, upon achievement of specified regulatory approval and sales milestones. The milestone payments were determined to be contingent consideration which will be recognized when the contingency is resolved, and the consideration is paid or becomes payable. In January 2024, the Company determined to discontinue further investment in the early clinical-stage therapies for EGFR-mutant NSCLC globally including BLU-451.</w:t>
      </w:r>
    </w:p>
    <w:p>
      <w:pPr>
        <w:spacing w:after="0" w:line="187"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total net purchase price was $258.4 million upon closing of the transaction, which consists of the $250.0 million upfront payment, and $8.4 million of adjustments associated with net indebtedness, transaction expenses, and other adjustments per the terms of the agreement.</w:t>
      </w:r>
    </w:p>
    <w:p>
      <w:pPr>
        <w:spacing w:after="0" w:line="1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acquisition was accounted for as acquisition of assets that did not meet the definition of a business. The asset acquisition did not constitute a business as substantially all of the fair value of the gross assets acquired was concentrated in Lengo’s lead compound LNG-451, now known as BLU-451. The acquired assets and liabilities were recorded at their relative fair values and the Company immediately expensed the acquired intellectual property in the consolidated statement of operations and comprehensive loss in the amount of $260.0 million as the acquired assets represent in-process research and development with no alternative future use.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the net purchase price and the allocation of the consideration is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net of cash acquired</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258,377</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assets and liabilities acquired: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current liabilities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30"/>
        </w:trPr>
        <w:tc>
          <w:tcPr>
            <w:tcW w:w="7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259,957</w:t>
            </w:r>
          </w:p>
        </w:tc>
      </w:tr>
      <w:tr>
        <w:trPr>
          <w:trHeight w:val="209"/>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258,377</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Stock Option and Incentive Plan</w:t>
      </w:r>
    </w:p>
    <w:p>
      <w:pPr>
        <w:spacing w:after="0" w:line="22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performance-based restricted stock units, unrestricted stock, performance-based awards and cash 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years beginning January 1, 2023 and 2024, the number of shares reserved for issuance under the 2015 Plan was increased by 2,398,356 and 2,445,889 shares, respectively. In addition, the total number of shares reserved for issuance is subject to adjustment in the event of a stock split, stock dividend or other change in the Company’s capitalization. As of December 31, 2023, there were 4,829,516 shares available for future grant under the 2015 Plan.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2020 Inducement Plan</w:t>
      </w:r>
    </w:p>
    <w:p>
      <w:pPr>
        <w:spacing w:after="0" w:line="229" w:lineRule="exact"/>
        <w:rPr>
          <w:sz w:val="20"/>
          <w:szCs w:val="20"/>
          <w:color w:val="auto"/>
        </w:rPr>
      </w:pPr>
    </w:p>
    <w:p>
      <w:pPr>
        <w:ind w:left="60" w:right="239" w:firstLine="648"/>
        <w:spacing w:after="0" w:line="252" w:lineRule="auto"/>
        <w:rPr>
          <w:sz w:val="20"/>
          <w:szCs w:val="20"/>
          <w:color w:val="auto"/>
        </w:rPr>
      </w:pPr>
      <w:r>
        <w:rPr>
          <w:rFonts w:ascii="Times New Roman" w:cs="Times New Roman" w:eastAsia="Times New Roman" w:hAnsi="Times New Roman"/>
          <w:sz w:val="18"/>
          <w:szCs w:val="18"/>
          <w:color w:val="auto"/>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In June 2022, the Company’s board of directors approved the reservation of an additional 1,500,000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or a committee thereof to use the stock-based awards available under the Inducement Plan to attract key employees for the growth of the Company. As of December 31, 2023, there were 1,376,416 shares available for future grant under the Inducement Plan.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recognized stock-based compensation expense totaling $92.7 million, $99.0 million and $91.6 million for the years ended December 31, 2023, 2022 and 2021, respectively. Stock-based compensation expense by award type included within the consolidated statements of operations and comprehensive loss is as follows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99,634</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costs</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(584)</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(663)</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Stock-based compensation expense included in total cost and operating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92,672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98,971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91,630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4280"/>
              <w:spacing w:after="0"/>
              <w:rPr>
                <w:sz w:val="20"/>
                <w:szCs w:val="20"/>
                <w:color w:val="auto"/>
              </w:rPr>
            </w:pPr>
            <w:r>
              <w:rPr>
                <w:rFonts w:ascii="Times New Roman" w:cs="Times New Roman" w:eastAsia="Times New Roman" w:hAnsi="Times New Roman"/>
                <w:sz w:val="18"/>
                <w:szCs w:val="18"/>
                <w:color w:val="auto"/>
              </w:rPr>
              <w:t>F-38</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679"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 presents stock-based compensation expense that is included in operating expenses by classification within the consolidated statements of operations and comprehensive loss is as follows (in thousands):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4"/>
        </w:trPr>
        <w:tc>
          <w:tcPr>
            <w:tcW w:w="61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41,534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39,670</w:t>
            </w:r>
          </w:p>
        </w:tc>
        <w:tc>
          <w:tcPr>
            <w:tcW w:w="40" w:type="dxa"/>
            <w:vAlign w:val="bottom"/>
            <w:shd w:val="clear" w:color="auto" w:fill="CCEEFF"/>
          </w:tcPr>
          <w:p>
            <w:pPr>
              <w:spacing w:after="0"/>
              <w:rPr>
                <w:sz w:val="18"/>
                <w:szCs w:val="18"/>
                <w:color w:val="auto"/>
              </w:rPr>
            </w:pPr>
          </w:p>
        </w:tc>
      </w:tr>
      <w:tr>
        <w:trPr>
          <w:trHeight w:val="216"/>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51,138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51,960</w:t>
            </w:r>
          </w:p>
        </w:tc>
        <w:tc>
          <w:tcPr>
            <w:tcW w:w="40" w:type="dxa"/>
            <w:vAlign w:val="bottom"/>
            <w:tcBorders>
              <w:bottom w:val="single" w:sz="8" w:color="CCEEFF"/>
            </w:tcBorders>
          </w:tcPr>
          <w:p>
            <w:pPr>
              <w:spacing w:after="0"/>
              <w:rPr>
                <w:sz w:val="18"/>
                <w:szCs w:val="18"/>
                <w:color w:val="auto"/>
              </w:rPr>
            </w:pPr>
          </w:p>
        </w:tc>
      </w:tr>
      <w:tr>
        <w:trPr>
          <w:trHeight w:val="209"/>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included in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92,672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91,630</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At December 31, 2023, there was $152.7 million of total unrecognized compensation cost related to non-vested stock awards, which is expected to be recognized over a weighted-average period of 2.4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Stock options granted by the Company generally vest ratably over four years, with a one-year cliff for new employee awards and are exercisable from the date of grant for a period of ten years. The fair value of each option issued to employees was estimated at the date of grant using the Black-Scholes option pricing model with the following weighted-average assumptions: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224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174"/>
        </w:trPr>
        <w:tc>
          <w:tcPr>
            <w:tcW w:w="59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0.96 %</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58.03 %</w:t>
            </w: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year ended December 31, 2023:</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Value(1)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4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6,233,451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1,207,132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(349,031)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6,658,444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178,581</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111,911</w:t>
            </w:r>
          </w:p>
        </w:tc>
        <w:tc>
          <w:tcPr>
            <w:tcW w:w="0" w:type="dxa"/>
            <w:vAlign w:val="bottom"/>
          </w:tcPr>
          <w:p>
            <w:pPr>
              <w:spacing w:after="0" w:line="20" w:lineRule="exact"/>
              <w:rPr>
                <w:sz w:val="1"/>
                <w:szCs w:val="1"/>
                <w:color w:val="auto"/>
              </w:rPr>
            </w:pPr>
          </w:p>
        </w:tc>
      </w:tr>
      <w:tr>
        <w:trPr>
          <w:trHeight w:val="197"/>
        </w:trPr>
        <w:tc>
          <w:tcPr>
            <w:tcW w:w="5320" w:type="dxa"/>
            <w:vAlign w:val="bottom"/>
            <w:gridSpan w:val="3"/>
            <w:vMerge w:val="continue"/>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4,699,536</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69.45</w:t>
            </w:r>
          </w:p>
        </w:tc>
        <w:tc>
          <w:tcPr>
            <w:tcW w:w="9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0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700" w:right="99" w:hanging="650"/>
        <w:spacing w:after="0" w:line="280" w:lineRule="auto"/>
        <w:tabs>
          <w:tab w:leader="none" w:pos="7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Intrinsic value represents the amount by which the fair market value as of December 31, 2023 of the underlying common stock exceeds the exercise price of the option.</w:t>
      </w:r>
    </w:p>
    <w:p>
      <w:pPr>
        <w:spacing w:after="0" w:line="174"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in the years ended December 31, 2023, 2022 and 2021 was $25.81, $32.30 and $52.93, respectively. The total intrinsic value of options exercised in the years ended December 31, 2023, 2022, and 2021 was $11.6 million, $11.8 million, and $52.3 million, respectively.</w:t>
      </w:r>
    </w:p>
    <w:p>
      <w:pPr>
        <w:spacing w:after="0" w:line="17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At December 31, 2023, the total unrecognized compensation expense related to unvested stock option awards was $59.4 million, which is expected to be recognized over a weighted-average period of approximately 2.4 years.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364"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Restricted stock units granted by the Company generally vest ratably over four years. The following table summarizes the restricted stock units activity for the year ended December 31, 2023:</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75"/>
        </w:trPr>
        <w:tc>
          <w:tcPr>
            <w:tcW w:w="6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4"/>
        </w:trPr>
        <w:tc>
          <w:tcPr>
            <w:tcW w:w="6280" w:type="dxa"/>
            <w:vAlign w:val="bottom"/>
          </w:tcPr>
          <w:p>
            <w:pPr>
              <w:spacing w:after="0"/>
              <w:rPr>
                <w:sz w:val="16"/>
                <w:szCs w:val="16"/>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16"/>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at December 31,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1,893,994</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1,027,488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(658,919)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(155,537)</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00" w:type="dxa"/>
            <w:vAlign w:val="bottom"/>
            <w:tcBorders>
              <w:bottom w:val="single" w:sz="8" w:color="CCEEFF"/>
            </w:tcBorders>
          </w:tcPr>
          <w:p>
            <w:pPr>
              <w:spacing w:after="0"/>
              <w:rPr>
                <w:sz w:val="18"/>
                <w:szCs w:val="18"/>
                <w:color w:val="auto"/>
              </w:rPr>
            </w:pPr>
          </w:p>
        </w:tc>
      </w:tr>
      <w:tr>
        <w:trPr>
          <w:trHeight w:val="209"/>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at December 31, 2023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2,107,026</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total fair value of restricted stock units vested during the years ended December 31, 2023, 2022 and 2021 was $31.6 million, $29.4 million and $31.6 million, respectively. As of December 31, 2023, the total unrecognized compensation expense related to unvested restricted stock units was $91.1 million, which is expected to be recognized over a weighted-average period of approximately 2.4 years.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8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During the first quarter of 2023, the Company began granting performance-based restricted stock units (PSUs) that will settle in stock. PSUs awarded to employees have a three-year performance period and vest on the third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 Participants may ultimately earn between zero and 200.0% of the target number of PSUs granted based on the degree of achievement of the performance metric based on a three-year cumulative relative total shareholder return metric. Accordingly, additional PSUs may be issued or currently issued PSUs may be cancelled upon final determination of the number of units earned.</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PSU activity for year ended December 31,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216"/>
        </w:trPr>
        <w:tc>
          <w:tcPr>
            <w:tcW w:w="6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21"/>
        </w:trPr>
        <w:tc>
          <w:tcPr>
            <w:tcW w:w="682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9"/>
                <w:szCs w:val="19"/>
                <w:color w:val="auto"/>
              </w:rPr>
            </w:pPr>
          </w:p>
        </w:tc>
        <w:tc>
          <w:tcPr>
            <w:tcW w:w="10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4"/>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2022</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2023</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w:t>
            </w:r>
          </w:p>
        </w:tc>
      </w:tr>
      <w:tr>
        <w:trPr>
          <w:trHeight w:val="20"/>
        </w:trPr>
        <w:tc>
          <w:tcPr>
            <w:tcW w:w="6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total unrecognized compensation expense related to unvested PSUs was $2.2 million, which is expected to be recognized over a weighted-average period of approximately 2.2 years.</w:t>
      </w:r>
    </w:p>
    <w:p>
      <w:pPr>
        <w:spacing w:after="0" w:line="121"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values PSUs on the grant date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Employee Stock Purchase Plan</w:t>
      </w:r>
    </w:p>
    <w:p>
      <w:pPr>
        <w:spacing w:after="0" w:line="229" w:lineRule="exact"/>
        <w:rPr>
          <w:sz w:val="20"/>
          <w:szCs w:val="20"/>
          <w:color w:val="auto"/>
        </w:rPr>
      </w:pPr>
    </w:p>
    <w:p>
      <w:pPr>
        <w:ind w:left="60" w:right="319" w:firstLine="648"/>
        <w:spacing w:after="0" w:line="312" w:lineRule="auto"/>
        <w:rPr>
          <w:sz w:val="20"/>
          <w:szCs w:val="20"/>
          <w:color w:val="auto"/>
        </w:rPr>
      </w:pPr>
      <w:r>
        <w:rPr>
          <w:rFonts w:ascii="Times New Roman" w:cs="Times New Roman" w:eastAsia="Times New Roman" w:hAnsi="Times New Roman"/>
          <w:sz w:val="17"/>
          <w:szCs w:val="17"/>
          <w:color w:val="auto"/>
        </w:rPr>
        <w:t>In 2015, the Company’s board of directors and stockholders approved the 2015 ESPP. The Company initially reserved a total of 243,347 shares of common stock for issuance under the 2015 ESPP. The 2015 ESPP provides that the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years beginning January 1, 2023 and 2024, the number of shares reserved for issuance under the 2015 ESPP was increased by 599,589 and 611,472 shares, respectively. As of December 31, 2023, there were 3,651,042 shares available for issuance under the 2015 ESPP. The Company issued 96,290, 80,717, and 43,167 shares under the ESPP during the years ended December 31, 2023, 2022, and 2021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 average shares of common stock outstanding during the period, without consideration for common stock equivalents. Diluted net loss per share is calculated by adjusting weighted average shares outstanding for the dilutive effect of common stock equivalents outstanding for the period. For purposes of the diluted net loss per share calculation, stock options, unvested restricted stock units, PSUs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w:t>
      </w:r>
    </w:p>
    <w:p>
      <w:pPr>
        <w:spacing w:after="0" w:line="187"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years ended December 31, 2023, 2022 and 2021 because including them would have had an anti-dilutive effect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26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4"/>
        </w:trPr>
        <w:tc>
          <w:tcPr>
            <w:tcW w:w="638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8"/>
                <w:szCs w:val="18"/>
                <w:color w:val="auto"/>
              </w:rPr>
            </w:pPr>
          </w:p>
        </w:tc>
      </w:tr>
      <w:tr>
        <w:trPr>
          <w:trHeight w:val="21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16"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U.S. statutory income tax rate to the Company’s effective tax rate is as follows for the years ended December 31, 2023, 2022 and 2021:</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320" w:type="dxa"/>
            <w:vAlign w:val="bottom"/>
            <w:tcBorders>
              <w:bottom w:val="single" w:sz="8" w:color="auto"/>
            </w:tcBorders>
            <w:gridSpan w:val="5"/>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28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(benefit) at statutory rate</w:t>
            </w:r>
          </w:p>
        </w:tc>
        <w:tc>
          <w:tcPr>
            <w:tcW w:w="2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Tax on foreign earnings</w:t>
            </w:r>
          </w:p>
        </w:tc>
        <w:tc>
          <w:tcPr>
            <w:tcW w:w="2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660" w:type="dxa"/>
            <w:vAlign w:val="bottom"/>
          </w:tcPr>
          <w:p>
            <w:pPr>
              <w:spacing w:after="0"/>
              <w:rPr>
                <w:sz w:val="18"/>
                <w:szCs w:val="18"/>
                <w:color w:val="auto"/>
              </w:rPr>
            </w:pP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Federal orphan drug credits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rate change</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Foreign tax credit</w:t>
            </w:r>
          </w:p>
        </w:tc>
        <w:tc>
          <w:tcPr>
            <w:tcW w:w="2660" w:type="dxa"/>
            <w:vAlign w:val="bottom"/>
          </w:tcPr>
          <w:p>
            <w:pPr>
              <w:spacing w:after="0"/>
              <w:rPr>
                <w:sz w:val="18"/>
                <w:szCs w:val="18"/>
                <w:color w:val="auto"/>
              </w:rPr>
            </w:pP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10"/>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20" w:type="dxa"/>
            <w:vAlign w:val="bottom"/>
            <w:gridSpan w:val="3"/>
          </w:tcPr>
          <w:p>
            <w:pPr>
              <w:jc w:val="right"/>
              <w:ind w:right="2570"/>
              <w:spacing w:after="0"/>
              <w:rPr>
                <w:sz w:val="20"/>
                <w:szCs w:val="20"/>
                <w:color w:val="auto"/>
              </w:rPr>
            </w:pPr>
            <w:r>
              <w:rPr>
                <w:rFonts w:ascii="Times New Roman" w:cs="Times New Roman" w:eastAsia="Times New Roman" w:hAnsi="Times New Roman"/>
                <w:sz w:val="18"/>
                <w:szCs w:val="18"/>
                <w:color w:val="auto"/>
              </w:rPr>
              <w:t>F-41</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Company’s deferred tax assets and liabilities consist of the following (in thousands) as of December 31, 2023 and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09"/>
        </w:trPr>
        <w:tc>
          <w:tcPr>
            <w:tcW w:w="5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7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232,624</w:t>
            </w:r>
          </w:p>
        </w:tc>
        <w:tc>
          <w:tcPr>
            <w:tcW w:w="140" w:type="dxa"/>
            <w:vAlign w:val="bottom"/>
          </w:tcPr>
          <w:p>
            <w:pPr>
              <w:spacing w:after="0"/>
              <w:rPr>
                <w:sz w:val="18"/>
                <w:szCs w:val="18"/>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193,115</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36,874</w:t>
            </w: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Orphan drug credit carryforwards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148,572</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48,896</w:t>
            </w: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Royalty Pharma milestones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w:t>
            </w: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R&amp;D capitalization</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84,077</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Financing arrangements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100,155</w:t>
            </w: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rent</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23,507</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Jublient license</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UNICAP</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asset</w:t>
            </w:r>
          </w:p>
        </w:tc>
        <w:tc>
          <w:tcPr>
            <w:tcW w:w="1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800,364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652,411</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Right of use assets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w:t>
            </w: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issuance</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UNICAP</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1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(625,095)</w:t>
            </w: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5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80" w:firstLine="648"/>
        <w:spacing w:after="0" w:line="269" w:lineRule="auto"/>
        <w:rPr>
          <w:sz w:val="20"/>
          <w:szCs w:val="20"/>
          <w:color w:val="auto"/>
        </w:rPr>
      </w:pPr>
      <w:r>
        <w:rPr>
          <w:rFonts w:ascii="Times New Roman" w:cs="Times New Roman" w:eastAsia="Times New Roman" w:hAnsi="Times New Roman"/>
          <w:sz w:val="17"/>
          <w:szCs w:val="17"/>
          <w:color w:val="auto"/>
        </w:rPr>
        <w:t>Management has evaluated the positive and negative evidence bearing upon the realizability of its deferred tax assets and has determined that it is more likely than not that the Company will not recognize the benefits of its net federal, foreign and state deferred tax assets, and as a result, a valuation allowance of $774.8 million and $625.1 million has been established at December 31, 2023 and 2022, respectively. The change in the valuation allowance was $149.7 million and $148.9 million for the years ended December 31, 2023 and 2022, respectively. The increase of deferred tax asset between December 31, 2023 and 2022 is primarily driven by the generation of federal and state net operating losses and the generation of research and development and orphan drug credits, as well as the Tax Cuts and Jobs Act effective January 1, 2022 requiring capitalization and amortization of all Sec. 174 costs associated with research and development costs.</w:t>
      </w:r>
    </w:p>
    <w:p>
      <w:pPr>
        <w:spacing w:after="0" w:line="178" w:lineRule="exact"/>
        <w:rPr>
          <w:sz w:val="20"/>
          <w:szCs w:val="20"/>
          <w:color w:val="auto"/>
        </w:rPr>
      </w:pPr>
    </w:p>
    <w:p>
      <w:pPr>
        <w:ind w:left="60" w:right="80" w:firstLine="648"/>
        <w:spacing w:after="0" w:line="252" w:lineRule="auto"/>
        <w:rPr>
          <w:sz w:val="20"/>
          <w:szCs w:val="20"/>
          <w:color w:val="auto"/>
        </w:rPr>
      </w:pPr>
      <w:r>
        <w:rPr>
          <w:rFonts w:ascii="Times New Roman" w:cs="Times New Roman" w:eastAsia="Times New Roman" w:hAnsi="Times New Roman"/>
          <w:sz w:val="18"/>
          <w:szCs w:val="18"/>
          <w:color w:val="auto"/>
        </w:rPr>
        <w:t>The Company has incurred net operating losses (NOL) since inception with the exception of years 2020 and 2022. As of December 31, 2023, the Company had federal and state NOL carryforwards of $809.5 million and $1,038.2 million, respectively, which begin to expire in 2030, and of which $793.6 million of the Company’s federal NOL is post 2017 NOL that will be carried forward indefinitely. As of December 31, 2023, the Company had federal and state research and development tax credit carryforwards of $30.5 million and $25.1 million, respectively, which begin to expire in 2039 and 2028 respectively. As of December 31, 2023, the Company had federal orphan drug credits of $156.8 million, which begin to expire in 2035 and state investment tax credits of $0.6 million, which have begun to expire in 2023. As of December 31, 2023, the Company has foreign tax credits of $2.5 million which will expire in 2031.</w:t>
      </w:r>
    </w:p>
    <w:p>
      <w:pPr>
        <w:spacing w:after="0" w:line="192" w:lineRule="exact"/>
        <w:rPr>
          <w:sz w:val="20"/>
          <w:szCs w:val="20"/>
          <w:color w:val="auto"/>
        </w:rPr>
      </w:pPr>
    </w:p>
    <w:p>
      <w:pPr>
        <w:ind w:left="60" w:right="160" w:firstLine="648"/>
        <w:spacing w:after="0" w:line="253" w:lineRule="auto"/>
        <w:rPr>
          <w:sz w:val="20"/>
          <w:szCs w:val="20"/>
          <w:color w:val="auto"/>
        </w:rPr>
      </w:pPr>
      <w:r>
        <w:rPr>
          <w:rFonts w:ascii="Times New Roman" w:cs="Times New Roman" w:eastAsia="Times New Roman" w:hAnsi="Times New Roman"/>
          <w:sz w:val="18"/>
          <w:szCs w:val="18"/>
          <w:color w:val="auto"/>
        </w:rPr>
        <w:t>The Company has analyzed and validated its research and development tax credits as well as its orphan drug credits for 2011-2022. The Company generated research credits in 2023 but has not conducted a formal study to document its qualified activities. This study may result in an adjustment to the Company’s research and development credit carryforwards. No amounts are being presented as an uncertain tax position as of December 31, 2023 until such study is completed and the adjustment is known. A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ectPr>
          <w:pgSz w:w="11900" w:h="16838" w:orient="portrait"/>
          <w:cols w:equalWidth="0" w:num="1">
            <w:col w:w="9020"/>
          </w:cols>
          <w:pgMar w:left="1440" w:top="513" w:right="14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type w:val="continuous"/>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Internal Revenue Code of 1986, as amended (the Code), provides for a limitation of the annual use of NOL and other tax attributes (such as research and development tax credit carryforwards) following certain ownership changes (as defined by the Code) that could limit the Company’s ability to utilize these carryforwards. The Company may have experienced such ownership changes in the past, and may experience ownership changes in the future as a result of shifts in its stock ownership, some of which are outside the Company’s control. Approximately $2.0 million of the Company’s NOL carryforwards may not be available for utilization within their applicable carryforward periods based on the Section 382 study in 2021. In addition, U.S. tax laws limit the time during which these carryforwards may be applied against future taxes. Therefore, the Company may not be able to take full advantage of these carryforwards for federal or state income tax purposes.</w:t>
      </w:r>
    </w:p>
    <w:p>
      <w:pPr>
        <w:spacing w:after="0" w:line="19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With respect to the net operating losses and research and development tax credit carryforwards acquired from the acquisition of Lengo on December 30, 2021, the Company has completed a study to assess whether an ownership change under Section 382 of the Code has occurred, or whether there have been multiple ownership changes since Lengo’s formation. Based on the study, all of the NOL and research and development credits acquired will be available for utilization within their applicable carryforward periods. An analysis of Lengo Therapeutics, Inc. was not required as it was merged into the Company effective June 24, 2022.</w:t>
      </w:r>
    </w:p>
    <w:p>
      <w:pPr>
        <w:spacing w:after="0" w:line="18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Interest and penalty charges, if any, related to unrecognized tax benefits would be classified as income tax expense in the accompanying statements of operations and comprehensive income (loss). As of December 31, 2023, the Company had $0.2 million of gross unrecognized tax benefit, excluding interest and penalties. As of December 31, 2023, the Company was open to examination in the U.S. federal and certain state jurisdictions for all of the Company’s tax years since the net operating losses may potentially be utilized in future years to reduce taxable income. Since the Company is in a loss carryforward position, it is generally subject to examination by the U.S. federal, state, and local income tax authorities for all tax years in which a loss carryforward is available.</w:t>
      </w:r>
    </w:p>
    <w:p>
      <w:pPr>
        <w:spacing w:after="0" w:line="175"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Effective January 1, 2022, a provision of the Tax Cuts and Jobs Act (TCJA) has taken effect creating a significant change to the treatment of research and experimental (R&amp;E) expenditures under Section 174 of the Code (Sec. 174 expenses). Historically, businesses have had the option of deducting Sec. 174 expenses in the year incurred or capitalizing and amortizing the costs over five years. The new TCJA provision, however, eliminates this option and will require Sec. 174 expenses associated with research conducted in the U.S to be capitalized and amortized over a five-year period. For expenses associated with research outside of the United States, Sec. 174 expenses will be capitalized and amortized over a 15-year period. The Company has included the tax impact of capitalizing and amortizing these costs over the required periods for the calendar year ended December 31, 2023.</w:t>
      </w:r>
    </w:p>
    <w:p>
      <w:pPr>
        <w:spacing w:after="0" w:line="19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On June 30, 2022, the Company entered into a Royalty Purchase Agreement with Royalty Pharma and a Future Revenue Purchase Agreement with Sixth Street Partners. Pursuant to the agreements, the Company received gross proceeds of $175.0 million from Royalty Pharma in June 2022 and $250.0 million from Sixth Street Partners in July 2022 upon the transactions closing. The total cash consideration of $425.0 million, in its entirety, was considered taxable income for calendar year ended December 31, 2022. Therefore, the $425.0 million was included in the estimated taxable income for the year ended December 31, 2022.</w:t>
      </w:r>
    </w:p>
    <w:p>
      <w:pPr>
        <w:spacing w:after="0" w:line="17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On August 1, 2022, the Company entered into the IDRx License Agreement and IDRx Stock Purchase Agreement. Pursuant to these agreements, the Company licensed its internally discovered KIT exon 13 inhibitor to IDRx in exchange for a 4,509,105 shares of IDRx’s Series A preferred stock and the eligibility to receive future milestones and tiered royalty payments. For book and tax purposes, the value of the equity totaling $27.5 million was included in the taxable income for the year ended December 31, 2022.</w:t>
      </w:r>
    </w:p>
    <w:p>
      <w:pPr>
        <w:spacing w:after="0" w:line="183"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(IRA) of 2022 (H.R. 5376) into law. It includes income tax incentives designed to encourage investment in renewable and alternative energy sources, adoption of electric vehicles, and improvement in the energy efficiency of buildings and communities. To finance these incentives, the law imposes a 15% corporate alternative minimum tax (CAMT) on adjusted financial statement income of corporations that, for three taxable years, have an average annual adjusted financial statement income over $1 billion. It also introduces a new excise tax on corporate stock buybacks of public US companies. The CAMT is effective for tax years beginning after December 31, 2022 while the excise tax on corporate stock buybacks is effective for repurchases of stock after December 31, 2022. The Company does not anticipate the IRA having a significant impact on the Company’s effective tax rate or income tax payable and deferred income tax positions.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an income tax provision of $1.0 million for the year ended December 31, 2023 due to the impact of recording unfavorable discrete items in the period, and taxable income from the jurisdictions in which the Company is subject to tax.</w:t>
      </w:r>
    </w:p>
    <w:p>
      <w:pPr>
        <w:spacing w:after="0" w:line="176"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gross unrecognized tax benefit, excluding interest and penalties of approximately $0.2 million. The following table provides the reconciliation of the total amounts of the Company’s unrecognized tax benefits for the year ended December 31, 2023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4"/>
        </w:trPr>
        <w:tc>
          <w:tcPr>
            <w:tcW w:w="7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Increases - tax positions in prior periods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Lapse of statutes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did not have any gross unrecognized tax benefit. The Company recognizes interest and penalties related to unrecognized tax benefits in the provision for income taxes. As of December 31, 2023, the Company recorded an insignificant amount of interest and penalties related to uncertain tax positions.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9" w:lineRule="exact"/>
        <w:rPr>
          <w:sz w:val="20"/>
          <w:szCs w:val="20"/>
          <w:color w:val="auto"/>
        </w:rPr>
      </w:pPr>
    </w:p>
    <w:p>
      <w:pPr>
        <w:ind w:left="60" w:right="359" w:firstLine="648"/>
        <w:spacing w:after="0" w:line="255" w:lineRule="auto"/>
        <w:rPr>
          <w:sz w:val="20"/>
          <w:szCs w:val="20"/>
          <w:color w:val="auto"/>
        </w:rPr>
      </w:pPr>
      <w:r>
        <w:rPr>
          <w:rFonts w:ascii="Times New Roman" w:cs="Times New Roman" w:eastAsia="Times New Roman" w:hAnsi="Times New Roman"/>
          <w:sz w:val="18"/>
          <w:szCs w:val="18"/>
          <w:color w:val="auto"/>
        </w:rPr>
        <w:t>The Company’s building leases are comprised of office and laboratory spaces under non-cancelable operating leases. The lease agreements contain various clauses for renewal at the Company’s option and only certain exercised renewal options were included in the calculation of the operating lease assets and the operating lease liabilities, as other renewal options were not reasonably certain of being exercised as of December 31,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38 Sidney Street</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February 2015, the Company entered into a lease for approximately 39,000 rentable square feet of office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laboratory space at 38 Sidney Street in Cambridge, Massachusetts, which was extended in December 2021. The extended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 term will expire on November 30, 2029. The Company agreed to pay an initial annual base rent of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$4.5 million, which rises annually until it reaches approximately $5.5 million. The lease extension provided the Company</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an allowance for leasehold improvements of $0.8 million improvements to be made to the premises. A security</w:t>
      </w:r>
    </w:p>
    <w:p>
      <w:pPr>
        <w:ind w:left="60"/>
        <w:spacing w:after="0"/>
        <w:rPr>
          <w:sz w:val="20"/>
          <w:szCs w:val="20"/>
          <w:color w:val="auto"/>
        </w:rPr>
      </w:pPr>
      <w:r>
        <w:rPr>
          <w:rFonts w:ascii="Times New Roman" w:cs="Times New Roman" w:eastAsia="Times New Roman" w:hAnsi="Times New Roman"/>
          <w:sz w:val="18"/>
          <w:szCs w:val="18"/>
          <w:color w:val="auto"/>
        </w:rPr>
        <w:t>deposit of $0.9 million was recorded as restricted cash on the Company’s consolidated balance sheet as of</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The Company’s sublease agreements for the 38 Sidney Street property expired in 2022.</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45 Sidney Street</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April 2017, the Company entered into a lease agreement for approximately 99,833 rentable square feet of office and laboratory space located at 45 Sidney Street in Cambridge, Massachusetts. In September 2018, the Company entered into an amendment to the lease agreement to expand the rentable square footage to approximately 139,216 square feet. The initial term of the lease agreement will expire on November 30, 2029, unless terminated sooner. The lease agreement also provides the Company with an option to extend the lease agreement for two consecutive five-year periods at the then fair market annual rent, as defined in the lease agreement.</w:t>
      </w:r>
    </w:p>
    <w:p>
      <w:pPr>
        <w:spacing w:after="0" w:line="18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has agreed to pay for the 99,833 rentable square feet an initial annual base rent of approximately $7.7 million, which increases annually until it reaches approximately $10.6 million in the last year of the initial term. The Company has also agreed to pay an initial annual base rent of approximately $3.2 million for the expansion premises, which increases annually until it reaches approximately $4.2 million in the last year of the initial term for the expansion premises. The amended lease provided the Company with a total tenant improvement allowance of approximately $17.4 million for improvements to be made to the premises. A security deposit of $3.3 million was recorded as restricted cash on the Company’s consolidated balance sheet as of December 31,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The lease agreements do not contain residual value guarantees and the components of lease cost for the years ended December 31, 2023, 2022 and 2021 were as follows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21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18,299</w:t>
            </w: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(2,132)</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09"/>
        </w:trPr>
        <w:tc>
          <w:tcPr>
            <w:tcW w:w="60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lease cost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16,125</w:t>
            </w: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has not entered into any material short-term leases or financing leases as of December 31, 2023.</w:t>
      </w:r>
    </w:p>
    <w:p>
      <w:pPr>
        <w:spacing w:after="0" w:line="22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2023, 2022 and 2021 was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6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8"/>
                <w:szCs w:val="18"/>
                <w:color w:val="auto"/>
              </w:rPr>
            </w:pPr>
          </w:p>
        </w:tc>
      </w:tr>
      <w:tr>
        <w:trPr>
          <w:trHeight w:val="214"/>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14,896</w:t>
            </w:r>
          </w:p>
        </w:tc>
        <w:tc>
          <w:tcPr>
            <w:tcW w:w="4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28,929</w:t>
            </w:r>
          </w:p>
        </w:tc>
        <w:tc>
          <w:tcPr>
            <w:tcW w:w="40" w:type="dxa"/>
            <w:vAlign w:val="bottom"/>
            <w:shd w:val="clear" w:color="auto" w:fill="CCEEFF"/>
          </w:tcPr>
          <w:p>
            <w:pPr>
              <w:spacing w:after="0"/>
              <w:rPr>
                <w:sz w:val="18"/>
                <w:szCs w:val="18"/>
                <w:color w:val="auto"/>
              </w:rPr>
            </w:pPr>
          </w:p>
        </w:tc>
      </w:tr>
      <w:tr>
        <w:trPr>
          <w:trHeight w:val="562"/>
        </w:trPr>
        <w:tc>
          <w:tcPr>
            <w:tcW w:w="40" w:type="dxa"/>
            <w:vAlign w:val="bottom"/>
          </w:tcPr>
          <w:p>
            <w:pPr>
              <w:spacing w:after="0"/>
              <w:rPr>
                <w:sz w:val="24"/>
                <w:szCs w:val="24"/>
                <w:color w:val="auto"/>
              </w:rPr>
            </w:pPr>
          </w:p>
        </w:tc>
        <w:tc>
          <w:tcPr>
            <w:tcW w:w="8940" w:type="dxa"/>
            <w:vAlign w:val="bottom"/>
            <w:gridSpan w:val="11"/>
          </w:tcPr>
          <w:p>
            <w:pPr>
              <w:ind w:left="660"/>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of the operating leases are as</w:t>
            </w:r>
          </w:p>
        </w:tc>
      </w:tr>
      <w:tr>
        <w:trPr>
          <w:trHeight w:val="234"/>
        </w:trPr>
        <w:tc>
          <w:tcPr>
            <w:tcW w:w="4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follows: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5"/>
        </w:trPr>
        <w:tc>
          <w:tcPr>
            <w:tcW w:w="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r>
      <w:tr>
        <w:trPr>
          <w:trHeight w:val="210"/>
        </w:trPr>
        <w:tc>
          <w:tcPr>
            <w:tcW w:w="4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20"/>
                <w:szCs w:val="20"/>
                <w:color w:val="auto"/>
              </w:rPr>
            </w:pPr>
          </w:p>
        </w:tc>
      </w:tr>
    </w:tbl>
    <w:p>
      <w:pPr>
        <w:spacing w:after="0" w:line="179" w:lineRule="exact"/>
        <w:rPr>
          <w:sz w:val="20"/>
          <w:szCs w:val="20"/>
          <w:color w:val="auto"/>
        </w:rPr>
      </w:pPr>
    </w:p>
    <w:p>
      <w:pPr>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2023 were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8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18,182</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18,775</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19,809</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20,385</w:t>
            </w: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19,215</w:t>
            </w: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115,617</w:t>
            </w: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w:t>
            </w:r>
          </w:p>
        </w:tc>
      </w:tr>
      <w:tr>
        <w:trPr>
          <w:trHeight w:val="209"/>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93,684</w:t>
            </w:r>
          </w:p>
        </w:tc>
      </w:tr>
      <w:tr>
        <w:trPr>
          <w:trHeight w:val="20"/>
        </w:trPr>
        <w:tc>
          <w:tcPr>
            <w:tcW w:w="5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Employee Benefit Plans</w:t>
      </w:r>
    </w:p>
    <w:p>
      <w:pPr>
        <w:spacing w:after="0" w:line="229"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The Company sponsors various retirement and pension plans. The estimates of liabilities and expenses for these plans incorporate a number of assumptions, including expected rates of return on plan assets and interest rates used to discount future benefits.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401(k) Savings Plan</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 401(k) plan for employees (the 401(k) Plan). The 401(k) Plan is intended to qualify under Section 401(k) of the Code, so that contributions to the 401(k) Plan by the Company, and the investment earnings on contributions, are not taxable to the employees until withdrawn from the 401(k) Plan, and so that contributions by the Company, if any, will be deductible by the Company when made. Under the 401(k) Plan, employees may elect to reduce their current compensation by up to the statutorily prescribed annual limit and to have the amount of such reduction</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contributed to the 401(k) Plan. The 401(k) Plan permits the Company to make contributions up to the limits allowed by law on behalf of all eligible employees. The expense related to the 401(k) Plan primarily consists of the Company’s matching contributions. The expenses related to the 401(k) Plan for the years ended December 31, 2023, 2022 and 2021 were $4.6 million, $3.7 million and $3.0 million, respectively.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Switzerland Defined Benefit Plan</w:t>
      </w:r>
    </w:p>
    <w:p>
      <w:pPr>
        <w:spacing w:after="0" w:line="189"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Company maintains a pension plan covering employees of its Swiss subsidiary, Blueprint Medicines (Switzerland) GmbH (the “Swiss Plan”). The Swiss Plan is a government-mandated retirement fund that provides employees with a minimum benefit. Employer and employee contributions are made to the Swiss Plan based on various percentages of salary and wages that vary according to employee age and other factors. As is customary with Swiss pension plans, the assets of the Swiss Plan are invested in a collective fund with multiple employers. The Company has no investment authority over the assets of the Swiss Plan, which are held and invested by a Swiss insurance company. The investment strategy of the Swiss Plan is managed by an independent asset manager with the objective of achieving a consistent long-term return which will provide sufficient funding for future pension obligations while limiting risk.</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plan balances as of December 31, 2023 and 2022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1"/>
        </w:trPr>
        <w:tc>
          <w:tcPr>
            <w:tcW w:w="6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(14,632)</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0" w:type="dxa"/>
            <w:vAlign w:val="bottom"/>
          </w:tcPr>
          <w:p>
            <w:pPr>
              <w:spacing w:after="0"/>
              <w:rPr>
                <w:sz w:val="1"/>
                <w:szCs w:val="1"/>
                <w:color w:val="auto"/>
              </w:rPr>
            </w:pPr>
          </w:p>
        </w:tc>
      </w:tr>
      <w:tr>
        <w:trPr>
          <w:trHeight w:val="209"/>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status recorded as other long-term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10,984</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6,575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net periodic benefit cost for the years ended December 31, 2023, 2022 and 2021 was $1.0 million, $1.2 million and $2.0 million, respectively. The contributions to the Swiss Plan for the years ended December 31, 2023, 2022 and 2021 were $1.0 million, $0.8 million, and $0.6 million.</w:t>
      </w:r>
    </w:p>
    <w:p>
      <w:pPr>
        <w:spacing w:after="0" w:line="135"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benefits expected to be paid by the Company in each of the next five years and in aggregate for the five years thereafter as of December 31, 2023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48"/>
        </w:trPr>
        <w:tc>
          <w:tcPr>
            <w:tcW w:w="77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to 2033</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r>
    </w:tbl>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Associated with Clinical and Commercial Supply Agreements</w:t>
      </w:r>
    </w:p>
    <w:p>
      <w:pPr>
        <w:spacing w:after="0" w:line="18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commercialization of AYVAKIT/AYVAKYT, the Company has negotiated manufacturing agreements with certain vendors that require the Company to meet minimum purchase obligations on an annual basis. We also have unconditional purchase obligations related to certain clinical manufacturing agreements. The aggregate amount of future unconditional purchase obligations under these manufacturing agreements over the period of next five years is approximately $7.0 million as of December 31, 2023.</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0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of the Company. The maximum potential amount of future payments the Company could be required to make under these indemnification agreements is, in many cases, unlimited. To date, the Company has not incurred any material costs as a result of such indemnifications. The Company is not aware of any material claims under indemnification arrangements, and it has not accrued any liabilities related to such obligations in its consolidated financial statements as of December 31, 2023 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88265</wp:posOffset>
            </wp:positionV>
            <wp:extent cx="15773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COMPANY POLICY ON INSIDER TRADING AND DISCLOSURE</w:t>
      </w:r>
    </w:p>
    <w:p>
      <w:pPr>
        <w:spacing w:after="0" w:line="252"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Blueprint Medicines Corporation (together with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designed this Insider Trading Policy (the “</w:t>
      </w:r>
      <w:r>
        <w:rPr>
          <w:rFonts w:ascii="Times New Roman" w:cs="Times New Roman" w:eastAsia="Times New Roman" w:hAnsi="Times New Roman"/>
          <w:sz w:val="18"/>
          <w:szCs w:val="18"/>
          <w:u w:val="single" w:color="auto"/>
          <w:color w:val="auto"/>
        </w:rPr>
        <w:t>Insider Trading Policy</w:t>
      </w:r>
      <w:r>
        <w:rPr>
          <w:rFonts w:ascii="Times New Roman" w:cs="Times New Roman" w:eastAsia="Times New Roman" w:hAnsi="Times New Roman"/>
          <w:sz w:val="18"/>
          <w:szCs w:val="18"/>
          <w:color w:val="auto"/>
        </w:rPr>
        <w:t>”) to prevent the misuse of material nonpublic information and promote compliance by all Company directors, officers and employees with federal, state, and foreign securities laws that prohibit insider trading (as defined below). There are severe consequences associated with violations of insider trading laws. It is your obligation to review, understand and comply with this Insider Trading Policy.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Effective as of the effective date hereof, this Insider Trading Policy supersedes and replaces in its entirety any previous Statement of Company Policy on Insider Trading and Disclosure.</w:t>
      </w:r>
    </w:p>
    <w:p>
      <w:pPr>
        <w:spacing w:after="0" w:line="158"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generally prohibited for any director, officer or employee of the Company to trade in the securities of the Company while in the possession of material nonpublic information about the Company. It is also generally prohibited for any director, officer or employee of the Company to disclose material nonpublic information about the Company to others who may trade on the basis of that information. These prohibited activities are commonly referred to as “insider trading.” Insider trading can result in criminal prosecution, jail time, significant fines and public embarrassment for you and the Company.</w:t>
      </w:r>
    </w:p>
    <w:p>
      <w:pPr>
        <w:spacing w:after="0" w:line="179"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Scope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Insider Trading Policy is applicable globally regardless of location or nationality, and applies to the Company’s directors, officers and employees, and continues to apply following the termination of any such individual’s service to or employment with the Company until any material nonpublic information possessed by such individual has become public or is no longer material.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members of the Board of Directors and certain designated officers and employees also must comply with the Company’s Special Trading Procedures for Insiders (the “</w:t>
      </w:r>
      <w:r>
        <w:rPr>
          <w:rFonts w:ascii="Times New Roman" w:cs="Times New Roman" w:eastAsia="Times New Roman" w:hAnsi="Times New Roman"/>
          <w:sz w:val="18"/>
          <w:szCs w:val="18"/>
          <w:u w:val="single" w:color="auto"/>
          <w:color w:val="auto"/>
        </w:rPr>
        <w:t>Trading Procedures</w:t>
      </w:r>
      <w:r>
        <w:rPr>
          <w:rFonts w:ascii="Times New Roman" w:cs="Times New Roman" w:eastAsia="Times New Roman" w:hAnsi="Times New Roman"/>
          <w:sz w:val="18"/>
          <w:szCs w:val="18"/>
          <w:color w:val="auto"/>
        </w:rPr>
        <w:t xml:space="preserve">”), which supplement and shall be deemed a part of this Insider Trading Policy. Generally, the Trading Procedures establish trading windows outside of which the persons covered by the Trading Procedures will be restricted from trading in the Company’s securities and require the pre-clearance of all transactions in the Company’s securities by such persons. You will be notified if you are required to comply with the Company’s Trading Procedures, which can be found attached hereto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same restrictions under this Insider Trading Policy that apply to you also apply to the following persons (collectively, these persons and entities are referred to as “</w:t>
      </w:r>
      <w:r>
        <w:rPr>
          <w:rFonts w:ascii="Times New Roman" w:cs="Times New Roman" w:eastAsia="Times New Roman" w:hAnsi="Times New Roman"/>
          <w:sz w:val="18"/>
          <w:szCs w:val="18"/>
          <w:u w:val="single" w:color="auto"/>
          <w:color w:val="auto"/>
        </w:rPr>
        <w:t>Affiliated Persons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180" w:hanging="524"/>
        <w:spacing w:after="0" w:line="256"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spouse, child, parent, significant other or other family member, in each case, living in the same household; your children or your spouse’s children who do not reside in the same household as you but who are financially dependent on you; any of your other family members who do not reside in your household but whose transactions are directed by you; and any other individual over whose account you control and to whose financial support you materially contribute (materially contributing to financial support would include, for example, paying an individual’s rent but not just a phone 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1" w:name="page182"/>
    <w:bookmarkEnd w:id="181"/>
    <w:p>
      <w:pPr>
        <w:ind w:left="1180" w:right="20" w:hanging="524"/>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trusts, family partnerships and other types of entities formed for the benefit of the Insider or the Insider’s family members over which the Insider has the ability to influence or direct investment decisions concerning securities;</w:t>
      </w:r>
    </w:p>
    <w:p>
      <w:pPr>
        <w:spacing w:after="0" w:line="161"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who execute trades on behalf of the Insider; and</w:t>
      </w:r>
    </w:p>
    <w:p>
      <w:pPr>
        <w:spacing w:after="0" w:line="225" w:lineRule="exact"/>
        <w:rPr>
          <w:rFonts w:ascii="Times New Roman" w:cs="Times New Roman" w:eastAsia="Times New Roman" w:hAnsi="Times New Roman"/>
          <w:sz w:val="18"/>
          <w:szCs w:val="18"/>
          <w:color w:val="auto"/>
        </w:rPr>
      </w:pPr>
    </w:p>
    <w:p>
      <w:pPr>
        <w:jc w:val="both"/>
        <w:ind w:left="1180" w:hanging="524"/>
        <w:spacing w:after="0" w:line="253"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 funds, trusts, retirement plans, partnerships, corporations and other entity over which you have the ability to influence or direct investment decisions concerning securities provided, however, that the restrictions under this Insider Trading Policy do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w:t>
      </w:r>
    </w:p>
    <w:p>
      <w:pPr>
        <w:spacing w:after="0" w:line="5" w:lineRule="exact"/>
        <w:rPr>
          <w:rFonts w:ascii="Times New Roman" w:cs="Times New Roman" w:eastAsia="Times New Roman" w:hAnsi="Times New Roman"/>
          <w:sz w:val="18"/>
          <w:szCs w:val="18"/>
          <w:color w:val="auto"/>
        </w:rPr>
      </w:pPr>
    </w:p>
    <w:p>
      <w:pPr>
        <w:jc w:val="both"/>
        <w:ind w:left="11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responsible for ensuring compliance with this Insider Trading Policy by all such Affiliated Persons. This Insider Trading Policy does not, however, apply to personal securities transactions of family members where the purchase or sale decision is made by a third party not controlled by, influenced by, or related to you or your family member.</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Company Assistance. </w:t>
      </w:r>
      <w:r>
        <w:rPr>
          <w:rFonts w:ascii="Times New Roman" w:cs="Times New Roman" w:eastAsia="Times New Roman" w:hAnsi="Times New Roman"/>
          <w:sz w:val="18"/>
          <w:szCs w:val="18"/>
          <w:color w:val="auto"/>
        </w:rPr>
        <w:t>If you have any concerns about whether you are in possession of material nonpublic information or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are in a sensitive position within the Company, you should contact the Company’s Chief Legal Officer or his or her designee (the “</w:t>
      </w:r>
      <w:r>
        <w:rPr>
          <w:rFonts w:ascii="Times New Roman" w:cs="Times New Roman" w:eastAsia="Times New Roman" w:hAnsi="Times New Roman"/>
          <w:sz w:val="18"/>
          <w:szCs w:val="18"/>
          <w:u w:val="single" w:color="auto"/>
          <w:color w:val="auto"/>
        </w:rPr>
        <w:t>Policy Administrator</w:t>
      </w:r>
      <w:r>
        <w:rPr>
          <w:rFonts w:ascii="Times New Roman" w:cs="Times New Roman" w:eastAsia="Times New Roman" w:hAnsi="Times New Roman"/>
          <w:sz w:val="18"/>
          <w:szCs w:val="18"/>
          <w:color w:val="auto"/>
        </w:rPr>
        <w:t>”) or another designated member of the Legal team at preclearance@blueprintmedicines.com before you buy or sell Company securities. This will help ensure that even employees unaware of a particular piece of information do not give the appearance of improperly trading Company stock. Any person who has a question about this Insider Trading Policy or its application to any proposed transaction may obtain additional guidance from the Company’s Policy Administrator or another designated member of the Legal team.</w:t>
      </w:r>
    </w:p>
    <w:p>
      <w:pPr>
        <w:spacing w:after="0" w:line="183"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Prohibited Activities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When you know or are in possession of material nonpublic information about the Company, you generally are prohibited from the following activities:</w:t>
      </w:r>
    </w:p>
    <w:p>
      <w:pPr>
        <w:spacing w:after="0" w:line="162" w:lineRule="exact"/>
        <w:rPr>
          <w:sz w:val="20"/>
          <w:szCs w:val="20"/>
          <w:color w:val="auto"/>
        </w:rPr>
      </w:pPr>
    </w:p>
    <w:p>
      <w:pPr>
        <w:jc w:val="both"/>
        <w:ind w:left="980" w:hanging="324"/>
        <w:spacing w:after="0" w:line="258"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Company’s securities, which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 except for trades made in compliance with a pre-approved Rule 10b5-1 Plan;</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others trade for you in the Company’s securities;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trading advice of any kind about the Company except that you should, when appropriate, advise others not to trade if doing so might violate the law or this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182" w:name="page183"/>
    <w:bookmarkEnd w:id="182"/>
    <w:p>
      <w:pPr>
        <w:jc w:val="both"/>
        <w:ind w:left="980" w:hanging="324"/>
        <w:spacing w:after="0" w:line="261"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any material nonpublic information about the Company to anyone else who might then trade or recommending to anyone that they purchase or sell the Company’s securities when you are aware of material nonpublic information (these practices are known as “tipping”). This includes, but is not limited to, persons within the Company whose jobs do not require them to have that information; and</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anyone engaged in the above activities.</w:t>
      </w:r>
    </w:p>
    <w:p>
      <w:pPr>
        <w:spacing w:after="0" w:line="221" w:lineRule="exact"/>
        <w:rPr>
          <w:sz w:val="20"/>
          <w:szCs w:val="20"/>
          <w:color w:val="auto"/>
        </w:rPr>
      </w:pPr>
    </w:p>
    <w:p>
      <w:pPr>
        <w:ind w:left="1300" w:hanging="725"/>
        <w:spacing w:after="0"/>
        <w:tabs>
          <w:tab w:leader="none" w:pos="1300" w:val="left"/>
        </w:tabs>
        <w:numPr>
          <w:ilvl w:val="0"/>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Trading Windows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Insider Trading Policy, the Company may also establish trading windows or impose event-specific trading blackout periods (which could be Company-wide or only affect certain individuals) whereby you could be restricted from trading in the Company’s securities, which restrictions could also extend to Company-wide participation in any Company employee stock purchase plan. If the Company elects to establish trading windows or impose a trading blackout period that is applicable to you, you will be notified of such restrictions as well as the nature of such restrictions.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are no unconditional “safe harbors” for trades made at particular times, and all persons subject to this Insider Trading Policy should exercise good judgment at all times. Even when the Company trading window is open, or if you have not been explicitly designated as a person who is prohibited from trading due to an event-specific blackout period, you may still be prohibited from engaging in transactions involving the Company’s securities if you possess Insider Information, are subject to a special trading restriction, or are otherwise restricted under this Insider Trading Policy.</w:t>
      </w:r>
    </w:p>
    <w:p>
      <w:pPr>
        <w:spacing w:after="0" w:line="179"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Prohibition on Trading in Securities of Other Companies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Insider Trading Policy’s prohibitions against insider trading and tipping also apply to trading in securities of other companies, including the Company’s distributors, vendors, customers, collaborators, partners, suppliers and other enterprises with which we are working (such as when negotiating an acquisition, investment or other transaction that could be material to the other company).</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Whenever, during the course of your service to or employment by the Company, you become aware of material nonpublic information about another company, including any confidential information that is reasonably likely to affect the market price of that company’s securities (for example, discussions of licensing a product or acquiring that other company), neither you nor your Affiliated Persons may trade in any securities of that company, give trading advice about that company, tip or disclose that information, pass it on to others or engage in any other action to take advantage of that information.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your work regularly involves handling or discussing confidential information of one of our distributors, vendors, customers, collaborators, partners or suppliers you should consult with the Policy Administrator before trading in any of that company’s securities.</w:t>
      </w:r>
    </w:p>
    <w:p>
      <w:pPr>
        <w:spacing w:after="0" w:line="158"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EXCEPTIONS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of Stock Options for Cash. </w:t>
      </w:r>
      <w:r>
        <w:rPr>
          <w:rFonts w:ascii="Times New Roman" w:cs="Times New Roman" w:eastAsia="Times New Roman" w:hAnsi="Times New Roman"/>
          <w:sz w:val="18"/>
          <w:szCs w:val="18"/>
          <w:color w:val="auto"/>
        </w:rPr>
        <w:t>The trading prohibitions and restrictions set forth in this Insider Trading Policy do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apply to an exercise of an employee stock option when payment of the exercise price is made in cash. They do apply, however, to the securities acquired upon the exercise of an option to purchase Company securities are subject to all of the requirements of this Insider Trading Policy, including the Trading Procedures. Moreover, the trading prohibitions and restrictions set forth in this Insider Trading Policy, including the Trading Procedures contained herein, apply to the use of outstanding Company securities to constitute part or all of the exercise price of an option, any sale of stock as part of a broker-assisted cashless exercise of an option, or any other market sale for the purpose of generating the cash needed to pay the exercise price of an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83" w:name="page184"/>
    <w:bookmarkEnd w:id="18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Tax Withholding on Restricted Stock/Units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trading prohibitions and restrictions set forth in the Trading Procedures do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apply to the withholding by the Company of shares of stock issued upon vesting of restricted stock or upon settlement of restricted stock units to satisfy tax withholding obligations if (a) withholding is required by the applicable stock plan or award agreement or (b) the election to exercise the tax withholding right was made by the Insider in compliance with the Trading Procedures.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Stock Purchase Plan. </w:t>
      </w:r>
      <w:r>
        <w:rPr>
          <w:rFonts w:ascii="Times New Roman" w:cs="Times New Roman" w:eastAsia="Times New Roman" w:hAnsi="Times New Roman"/>
          <w:sz w:val="18"/>
          <w:szCs w:val="18"/>
          <w:color w:val="auto"/>
        </w:rPr>
        <w:t>In addition, the trading prohibitions and restrictions set forth in this Insider Trading Policy do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apply to periodic wage withholding contributions by the Company or an employee of the Company, in either case, which are used to purchase the Company’s securities pursuant to the employee’s advance instructions (not entered into or modified while the employee is in possession of material nonpublic information) under any employee stock purchase plan. However, elections to participate in (or modifications to elections) as well as any cash contributions to such plan (other than through periodic wage withholding) and any sale of securities acquired under such plan are subject to the prohibitions and restrictions set forth in this Insider Trading Policy. In addition, the Company has the right to impose a Company-wide trading blackout period that could restrict all participation in any employee stock purchase plan.</w:t>
      </w:r>
    </w:p>
    <w:p>
      <w:pPr>
        <w:spacing w:after="0" w:line="18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Not Involving a Purchase or Sale. </w:t>
      </w:r>
      <w:r>
        <w:rPr>
          <w:rFonts w:ascii="Times New Roman" w:cs="Times New Roman" w:eastAsia="Times New Roman" w:hAnsi="Times New Roman"/>
          <w:sz w:val="18"/>
          <w:szCs w:val="18"/>
          <w:color w:val="auto"/>
        </w:rPr>
        <w:t>Transactions that involve merely a change in the form in which you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securities are permitted during a period when you are aware of material nonpublic information or during a trading blackout period. For example, you may transfer shares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trust of which you are the sole beneficiary during your lifetime.</w:t>
      </w:r>
    </w:p>
    <w:p>
      <w:pPr>
        <w:spacing w:after="0" w:line="171"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PENALTIES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Both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the national securities exchanges, through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investigate and are very effective at detecting insider trading. The SEC, together with the U.S. Attorneys, pursue insider trading violations vigorously. The SEC’s authority to initiate insider trading investigations includes the ability to obtain the Company’s employee records, to access individual’s bank accounts and phone records, to obtain broker’s records, etc. An SEC investigation can be triggered through a variety of actions, including by an individual’s unusual trading activity, trading volume, the timing of trades that coincide with important company changes, or simply an anonymous tip to the SEC. For example, insider trading cases have been successfully prosecuted against trading by employees in foreign accounts, trading by family members and friends, and trading involving only a small number of shares.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penalties for violating insider trading or tipping rules can be severe and include:</w:t>
      </w:r>
    </w:p>
    <w:p>
      <w:pPr>
        <w:spacing w:after="0" w:line="225"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forfeiting any profit gained or loss avoided by the trading;</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loss suffered by the persons who, contemporaneously with the purchase or sale of securities that are subject of such violation, have purchased or sold, as applicable, securities of the same class;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criminal penalties of up to $5,000,000;</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civil penalties of up to three times the profit made or loss avoided;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imprisonment for up to 20 years.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and/or the supervisors of the person engaged in insider trading may also be required to pay civil penalties or fines of $2,000,000 or more, up to three times the profit made or loss avoided, as well as criminal penalties of up to $25,000,000, and could under certain circumstances be subject to private lawsuits.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Violation of this Insider Trading Policy or any federal or state insider trading laws may subject the person violating such policy or laws to disciplinary action by the Company up to and including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84" w:name="page185"/>
    <w:bookmarkEnd w:id="184"/>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pacing w:after="0" w:line="176"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MEANING OF MATERIAL NONPUBLIC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Insider Trading Policy prohibits you from trading in the Company’s securities if you are in possession of information about the Company that is both “material” and “nonpublic.”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What is “Material”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Information about the Company is “material” if it could reasonably be expected to affect the investment or voting decisions of a stockholder or potential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187" w:lineRule="exact"/>
        <w:rPr>
          <w:sz w:val="20"/>
          <w:szCs w:val="20"/>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related to decisions by regulatory authorities regarding the Company’s product candidates;</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collaborations, licenses or matters related to the status of clinical trials (e.g. enrollment), including the timing of such announcements;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or revenue that are inconsistent with the consensus expectations of the investment community;</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restatements of the Company’s financial statements, changes in auditors or auditor notification that the Company may no longer rely on an auditor’s audit report;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proposed mergers, acquisitions, tender offers, joint ventures or dispositions of significant assets;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 or the Board of Directors;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litigation or governmental investigations or major developments in such matters;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regarding product candidates, customers, suppliers, orders, contracts or financing sources (e.g., the acquisition or loss of a contract);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policy, declarations of stock splits, or public or private sales of additional securities;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defaults under the Company’s credit agreements or indentures, or the existence of material liquidity deficiencies;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 or receiverships.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SEC has stated that there is no fixed quantitative threshold amount for determining materiality, and that even very small quantitative changes can be qualitatively material if they would result in a movement in the price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5" w:name="page186"/>
    <w:bookmarkEnd w:id="18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What is “Nonpublic”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also must be adequate time for the market as a whole to absorb the information that has been disclosed. For the purposes of this Insider Trading Policy, information will be considered public after the close of trading on the second full trading day following the Company’s public release of the information.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example, if the Company announces material information of which you are aware before trading begins on a Tuesday, the first time you can buy or sell Company securities is the opening of the market on Thursday. However, if the Company announces this material information after trading begins on that Tuesday, the first time that you can buy or sell Company securities is the opening of the market on Friday.</w:t>
      </w:r>
    </w:p>
    <w:p>
      <w:pPr>
        <w:spacing w:after="0" w:line="176"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VIOLATIONS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violate this Insider Trading Policy or any federal, state or foreign securities laws governing insider trading, or know of any such violation by any director, officer or employee of the Company, you must report the violation immediately to the Policy Administrator. However, if the conduct in question involves the Policy Administrator, if you have reported such conduct to such person and do not believe that he or she has dealt with it properly, or if you do not feel that you can discuss the matter with the Policy Administrator, you may raise the matter with the Company’s Chief Executive Officer.</w:t>
      </w:r>
    </w:p>
    <w:p>
      <w:pPr>
        <w:spacing w:after="0" w:line="20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Violations. </w:t>
      </w:r>
      <w:r>
        <w:rPr>
          <w:rFonts w:ascii="Times New Roman" w:cs="Times New Roman" w:eastAsia="Times New Roman" w:hAnsi="Times New Roman"/>
          <w:sz w:val="18"/>
          <w:szCs w:val="18"/>
          <w:color w:val="auto"/>
        </w:rPr>
        <w:t>If you suspect any violations of this Insider Trading Policy, you can also contact the BlueCares hotline.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BlueCares hotline, which is operated by EthicsPoints – a third-party provider, allows all employees to anonymously ask a question or report a concern. The BlueCares hotline is safe, secure and confidential – however, it should be noted that while a reporter’s identity cannot be determined by submitting a report, we cannot guarantee confidentiality or anonymity as the nature of the report details may reveal the identities of those involved.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How to contact the BlueCares hotline:</w:t>
      </w:r>
    </w:p>
    <w:p>
      <w:pPr>
        <w:spacing w:after="0" w:line="254" w:lineRule="exact"/>
        <w:rPr>
          <w:sz w:val="20"/>
          <w:szCs w:val="20"/>
          <w:color w:val="auto"/>
        </w:rPr>
      </w:pPr>
    </w:p>
    <w:p>
      <w:pPr>
        <w:ind w:left="980" w:hanging="324"/>
        <w:spacing w:after="0"/>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Call 1-844-857-5642 </w:t>
      </w:r>
      <w:r>
        <w:rPr>
          <w:rFonts w:ascii="Times New Roman" w:cs="Times New Roman" w:eastAsia="Times New Roman" w:hAnsi="Times New Roman"/>
          <w:sz w:val="18"/>
          <w:szCs w:val="18"/>
          <w:i w:val="1"/>
          <w:iCs w:val="1"/>
          <w:color w:val="auto"/>
        </w:rPr>
        <w:t>or</w:t>
      </w:r>
    </w:p>
    <w:p>
      <w:pPr>
        <w:spacing w:after="0" w:line="2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Visit Blueprintmedicines.ethicspoint.com</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 POLICIES</w:t>
      </w:r>
    </w:p>
    <w:p>
      <w:pPr>
        <w:spacing w:after="0" w:line="229"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also has strict policies relating to safeguarding the confidentiality of its internal, proprietary information. These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policies include procedures regarding identifying, marking and safeguarding confidential information and employee confidentiality agreements, including the Company’s Code of Business Conduct and Ethics and Communications Policy, which are both available on Blink. You should comply with these policies at all times.</w:t>
      </w:r>
    </w:p>
    <w:p>
      <w:pPr>
        <w:spacing w:after="0" w:line="182"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MODIFICATIONS TO THIS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at any time change this Insider Trading Policy or adopt such other policies or procedures which it considers appropriate to carry out the purposes of its policies regarding insider trading and the disclosure of Company information. Notice of any such change will be posted on Blink and delivered to you by electronic mail (or other delivery option used by the Company) by the Company. You will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86" w:name="page187"/>
    <w:bookmarkEnd w:id="186"/>
    <w:p>
      <w:pPr>
        <w:jc w:val="both"/>
        <w:spacing w:after="0" w:line="266" w:lineRule="auto"/>
        <w:rPr>
          <w:sz w:val="20"/>
          <w:szCs w:val="20"/>
          <w:color w:val="auto"/>
        </w:rPr>
      </w:pPr>
      <w:r>
        <w:rPr>
          <w:rFonts w:ascii="Times New Roman" w:cs="Times New Roman" w:eastAsia="Times New Roman" w:hAnsi="Times New Roman"/>
          <w:sz w:val="18"/>
          <w:szCs w:val="18"/>
          <w:color w:val="auto"/>
        </w:rPr>
        <w:t>to have received, be bound by and agree to revisions of this Insider Trading Policy when such revisions have been delivered to you, unless you object to any revision in a written statement received by the Policy Administrator within two (2) business days of such delivery.</w:t>
      </w:r>
    </w:p>
    <w:p>
      <w:pPr>
        <w:spacing w:after="0" w:line="171" w:lineRule="exact"/>
        <w:rPr>
          <w:sz w:val="20"/>
          <w:szCs w:val="20"/>
          <w:color w:val="auto"/>
        </w:rPr>
      </w:pPr>
    </w:p>
    <w:p>
      <w:pPr>
        <w:jc w:val="center"/>
        <w:ind w:right="180"/>
        <w:spacing w:after="0"/>
        <w:tabs>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Your failure to observe this Insider Trading Policy could lead to significant legal problems, including fines and/or imprisonment, and could have other serious consequences, including the termination of your employment or service relationship with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ADOPTED:</w:t>
            </w:r>
          </w:p>
        </w:tc>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5, 2015</w:t>
            </w:r>
          </w:p>
        </w:tc>
      </w:tr>
      <w:tr>
        <w:trPr>
          <w:trHeight w:val="216"/>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AMENDED &amp; RESTATED:</w:t>
            </w:r>
          </w:p>
        </w:tc>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November 30, 2022 and February 13, 2024</w:t>
            </w:r>
          </w:p>
        </w:tc>
      </w:tr>
      <w:tr>
        <w:trPr>
          <w:trHeight w:val="238"/>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w:t>
            </w:r>
          </w:p>
        </w:tc>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February 13, 2024</w:t>
            </w:r>
          </w:p>
        </w:tc>
      </w:tr>
      <w:tr>
        <w:trPr>
          <w:trHeight w:val="864"/>
        </w:trPr>
        <w:tc>
          <w:tcPr>
            <w:tcW w:w="2540" w:type="dxa"/>
            <w:vAlign w:val="bottom"/>
          </w:tcPr>
          <w:p>
            <w:pPr>
              <w:spacing w:after="0"/>
              <w:rPr>
                <w:sz w:val="24"/>
                <w:szCs w:val="24"/>
                <w:color w:val="auto"/>
              </w:rPr>
            </w:pPr>
          </w:p>
        </w:tc>
        <w:tc>
          <w:tcPr>
            <w:tcW w:w="73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7</w:t>
            </w:r>
          </w:p>
        </w:tc>
      </w:tr>
      <w:tr>
        <w:trPr>
          <w:trHeight w:val="560"/>
        </w:trPr>
        <w:tc>
          <w:tcPr>
            <w:tcW w:w="254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242570</wp:posOffset>
            </wp:positionV>
            <wp:extent cx="15773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TRADING PROCEDURES FOR INSIDERS</w:t>
      </w:r>
    </w:p>
    <w:p>
      <w:pPr>
        <w:spacing w:after="0" w:line="27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comply with federal and state securities laws governing insider trading, Blueprint Medicines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these Special Trading Procedures for Insiders (“</w:t>
      </w:r>
      <w:r>
        <w:rPr>
          <w:rFonts w:ascii="Times New Roman" w:cs="Times New Roman" w:eastAsia="Times New Roman" w:hAnsi="Times New Roman"/>
          <w:sz w:val="18"/>
          <w:szCs w:val="18"/>
          <w:u w:val="single" w:color="auto"/>
          <w:color w:val="auto"/>
        </w:rPr>
        <w:t>Trading Procedures</w:t>
      </w:r>
      <w:r>
        <w:rPr>
          <w:rFonts w:ascii="Times New Roman" w:cs="Times New Roman" w:eastAsia="Times New Roman" w:hAnsi="Times New Roman"/>
          <w:sz w:val="18"/>
          <w:szCs w:val="18"/>
          <w:color w:val="auto"/>
        </w:rPr>
        <w:t>”) as an addendum to the Company’s Statement of Company Policy on Insider Trading and Disclosure (the “</w:t>
      </w:r>
      <w:r>
        <w:rPr>
          <w:rFonts w:ascii="Times New Roman" w:cs="Times New Roman" w:eastAsia="Times New Roman" w:hAnsi="Times New Roman"/>
          <w:sz w:val="18"/>
          <w:szCs w:val="18"/>
          <w:u w:val="single" w:color="auto"/>
          <w:color w:val="auto"/>
        </w:rPr>
        <w:t>Insider Trading Policy</w:t>
      </w:r>
      <w:r>
        <w:rPr>
          <w:rFonts w:ascii="Times New Roman" w:cs="Times New Roman" w:eastAsia="Times New Roman" w:hAnsi="Times New Roman"/>
          <w:sz w:val="18"/>
          <w:szCs w:val="18"/>
          <w:color w:val="auto"/>
        </w:rPr>
        <w:t>”). These Trading Procedures are in addition to and supplement the Company’s Insider Trading Policy, which is distributed to all directors, officers and employees of the Company.</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Effective as of the effective date hereof, these Trading Procedures supersede and replace in their entirety any previous Special Trading Procedures for Insiders.</w:t>
      </w:r>
    </w:p>
    <w:p>
      <w:pPr>
        <w:spacing w:after="0" w:line="198"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SCOPE</w:t>
      </w:r>
    </w:p>
    <w:p>
      <w:pPr>
        <w:spacing w:after="0" w:line="25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These Trading Procedures regulate securities trades by all directors and executive officers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of the Company and certain designated employees of the Company who in the ordinary course of the performance of their duties have access to material nonpublic information regarding the Company (collectively, these persons are referred to as “</w:t>
      </w: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 These Trading Procedures also apply to the following persons (collectively, these persons and entities are referred to as “</w:t>
      </w:r>
      <w:r>
        <w:rPr>
          <w:rFonts w:ascii="Times New Roman" w:cs="Times New Roman" w:eastAsia="Times New Roman" w:hAnsi="Times New Roman"/>
          <w:sz w:val="18"/>
          <w:szCs w:val="18"/>
          <w:u w:val="single" w:color="auto"/>
          <w:color w:val="auto"/>
        </w:rPr>
        <w:t>Affiliated Persons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left="1300" w:hanging="644"/>
        <w:spacing w:after="0" w:line="256"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Insider’s spouse, child, parent, significant other or other family member, in each case, living in the same household; an Insider’s children or spouse’s children who do not reside in the same household as the Insider but are financially dependent on the Insider; any of the Insider’s other family members who do not reside in the Insider’s household but whose transactions are directed by the Insider; and any other individual over whose account the Insider has control and to whose financial support the Insider materially contributes (materially contributing to financial support would include, for example, paying an individual’s rent but not just a phone bill);</w:t>
      </w:r>
    </w:p>
    <w:p>
      <w:pPr>
        <w:spacing w:after="0" w:line="22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trusts, family partnerships and other types of entities formed for the benefit of the Insider or the Insider’s family members over which the Insider has the ability to influence or direct investment decisions concerning securities;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who execute trades on behalf of the Insider;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investment funds, trusts, retirement plans, partnerships, corporations and other types of entities over which the Insider has the ability to influence or direct investment decisions concerning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these Trading Procedures shall not apply to any such entity that engages in the investment of securities in the ordinary course of its business (e.g., an mutual fund, investment fund or partnership) if such entity has established its own insider trading controls and procedures in compliance with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368300</wp:posOffset>
            </wp:positionV>
            <wp:extent cx="15684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term “executive officers” refers to those officers subject to Section 16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0" w:right="999" w:bottom="1440" w:gutter="0" w:footer="0" w:header="0"/>
        </w:sectPr>
      </w:pPr>
    </w:p>
    <w:bookmarkStart w:id="188" w:name="page189"/>
    <w:bookmarkEnd w:id="188"/>
    <w:p>
      <w:pPr>
        <w:ind w:left="1300"/>
        <w:spacing w:after="0"/>
        <w:rPr>
          <w:sz w:val="20"/>
          <w:szCs w:val="20"/>
          <w:color w:val="auto"/>
        </w:rPr>
      </w:pPr>
      <w:r>
        <w:rPr>
          <w:rFonts w:ascii="Times New Roman" w:cs="Times New Roman" w:eastAsia="Times New Roman" w:hAnsi="Times New Roman"/>
          <w:sz w:val="18"/>
          <w:szCs w:val="18"/>
          <w:color w:val="auto"/>
        </w:rPr>
        <w:t>securities laws and the Insider has included such entity on the Insider’s signed acknowledgment in the attached form.</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Insiders are responsible for ensuring compliance with these Trading Procedures and the Insider Trading Policy by all of their Affiliated Persons. Unless the context otherwise requires, references to “Insiders” in these Trading Procedures refer collectively to Insiders and their Affiliated Persons.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Trading Procedures apply to any and all transactions in the Company’s securities, including its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special trading restrictions set forth in these Trading Procedures continue to apply to Insiders following the termination of any such Insider’s service to or employment with the Company until any material nonpublic information possessed by such Insider has become public or is no longer material. In addition, if the Company’s trading window is closed or you are subject to a special trading restriction under the Insider Trading Policy or these Trading Procedures at the time you cease to be affiliated with the Company you are expected to abide by the applicable trading restrictions until at least the end of the applicable trading restriction.</w:t>
      </w:r>
    </w:p>
    <w:p>
      <w:pPr>
        <w:spacing w:after="0" w:line="206"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SPECIAL TRADING RESTRICTIONS APPLICABLE TO INSIDERS</w:t>
      </w:r>
    </w:p>
    <w:p>
      <w:pPr>
        <w:spacing w:after="0" w:line="27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Please see the Insider Trading Policy for a description of prohibited activities applicable to all directors, executive officers, and employees of the Company, including Insiders. </w:t>
      </w:r>
      <w:r>
        <w:rPr>
          <w:rFonts w:ascii="Times New Roman" w:cs="Times New Roman" w:eastAsia="Times New Roman" w:hAnsi="Times New Roman"/>
          <w:sz w:val="18"/>
          <w:szCs w:val="18"/>
          <w:b w:val="1"/>
          <w:bCs w:val="1"/>
          <w:i w:val="1"/>
          <w:iCs w:val="1"/>
          <w:color w:val="auto"/>
        </w:rPr>
        <w:t>In particular, no Insider may trade in any type of securities of the Company if such</w:t>
      </w: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Insider is in possession of material nonpublic information about the Company, unless the trade has been effected in compliance with a pre-approved Rule 10b5-1 Plan (as discussed below). This prohibition applies even if such Insider receives pre-clearance and the transaction would occur during a trading window in accordance with these Trading Procedures.</w:t>
      </w:r>
    </w:p>
    <w:p>
      <w:pPr>
        <w:spacing w:after="0" w:line="2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Please see the Insider Trading Policy for a discussion of what constitutes “insider trading” as well as “material” and “nonpublic” information. Any Insiders who are unsure whether the information that they possess is material or nonpublic should consult the Policy Administrator identified below for guidance.</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restrictions on trading in Company securities set forth in the Insider Trading Policy, Insiders are subject to the following special trading restrictions:</w:t>
      </w:r>
    </w:p>
    <w:p>
      <w:pPr>
        <w:spacing w:after="0" w:line="185"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All Trades Must be Pre-Cleared by the Policy Administrator</w:t>
      </w:r>
    </w:p>
    <w:p>
      <w:pPr>
        <w:spacing w:after="0" w:line="2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Insider may trade in Company securities unless the trade has been approved in advance by the Chief Legal Officer or his or her designee (the “</w:t>
      </w:r>
      <w:r>
        <w:rPr>
          <w:rFonts w:ascii="Times New Roman" w:cs="Times New Roman" w:eastAsia="Times New Roman" w:hAnsi="Times New Roman"/>
          <w:sz w:val="18"/>
          <w:szCs w:val="18"/>
          <w:u w:val="single" w:color="auto"/>
          <w:color w:val="auto"/>
        </w:rPr>
        <w:t>Policy Administrator</w:t>
      </w:r>
      <w:r>
        <w:rPr>
          <w:rFonts w:ascii="Times New Roman" w:cs="Times New Roman" w:eastAsia="Times New Roman" w:hAnsi="Times New Roman"/>
          <w:sz w:val="18"/>
          <w:szCs w:val="18"/>
          <w:color w:val="auto"/>
        </w:rPr>
        <w:t xml:space="preserve">”) or another designated member of the Legal team at preclearance@blueprintmedicines.com. The Policy Administrator will review and either approve or prohibit all proposed trades by Insiders in accordance with the procedures set forth in </w:t>
      </w:r>
      <w:r>
        <w:rPr>
          <w:rFonts w:ascii="Times New Roman" w:cs="Times New Roman" w:eastAsia="Times New Roman" w:hAnsi="Times New Roman"/>
          <w:sz w:val="18"/>
          <w:szCs w:val="18"/>
          <w:u w:val="single" w:color="auto"/>
          <w:color w:val="auto"/>
        </w:rPr>
        <w:t>Section C</w:t>
      </w:r>
      <w:r>
        <w:rPr>
          <w:rFonts w:ascii="Times New Roman" w:cs="Times New Roman" w:eastAsia="Times New Roman" w:hAnsi="Times New Roman"/>
          <w:sz w:val="18"/>
          <w:szCs w:val="18"/>
          <w:color w:val="auto"/>
        </w:rPr>
        <w:t xml:space="preserve"> below. The Policy Administrator may not approve his or her own trades; the Policy Administrator may consult with the Company’s officers and/or outside legal counsel and will receive approval for their own trades from the Company’s Chief Legal Officer, Chief Financial Officer or Chief Executive Officer. If you are unable to contact the Policy Administrator, or if you do not feel you can discuss the matter with the Policy Administrator, you may contact the Company’s Chief Executive Officer, who shall be the alternate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72" w:right="999" w:bottom="1440" w:gutter="0" w:footer="0" w:header="0"/>
        </w:sectPr>
      </w:pPr>
    </w:p>
    <w:bookmarkStart w:id="189" w:name="page190"/>
    <w:bookmarkEnd w:id="189"/>
    <w:p>
      <w:pPr>
        <w:spacing w:after="0" w:line="282" w:lineRule="auto"/>
        <w:rPr>
          <w:sz w:val="20"/>
          <w:szCs w:val="20"/>
          <w:color w:val="auto"/>
        </w:rPr>
      </w:pPr>
      <w:r>
        <w:rPr>
          <w:rFonts w:ascii="Times New Roman" w:cs="Times New Roman" w:eastAsia="Times New Roman" w:hAnsi="Times New Roman"/>
          <w:sz w:val="18"/>
          <w:szCs w:val="18"/>
          <w:color w:val="auto"/>
        </w:rPr>
        <w:t>Policy Administrator (the Policy Administrator and the alternate Policy Administrator are collectively referred to herein as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Trading During Special Blackout Periods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are times when the Company or certain members of its board of directors or senior management, support staff or other specified employees may be aware of a material, nonpublic event or development involving the Company. Although an Insider may not know the specifics of such development, if an Insider engages in a trade before such event or development is disclosed to the public or resolved, such Insider and the Company might be exposed to a charge of insider trading that could be costly and difficult to refute. In addition, a trade by an Insider during such a period could result in adverse publicity for the Company.</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Therefore, Insiders may not trade in Company securities if they are notified by the Policy Administrator that the trading window is closed and an event-specific trading blackout period has been imposed because of the existence of a material, nonpublic event or development. Such trading blackout period could also extend to an Insider’s participation in any Company employee stock purchase plan. The Policy Administrator will subsequently notify the Insiders once the material, nonpublic event or development is disclosed to the public or resolved and that, as a result, the trading window is again open. While the Policy Administrator will undertake reasonable efforts to notify Insiders that material, nonpublic events or developments exist, or are soon likely to exist, it is each Insider’s individual duty to ensure that they do not make any trade in Company securities when material nonpublic information exists, regardless of whether such Insider is aware of such event or development.</w:t>
      </w:r>
    </w:p>
    <w:p>
      <w:pPr>
        <w:spacing w:after="0" w:line="215"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Short Sales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Insider may at any time sell any securities of the Company that are not owned by such Insider at the time of the sale (a “</w:t>
      </w:r>
      <w:r>
        <w:rPr>
          <w:rFonts w:ascii="Times New Roman" w:cs="Times New Roman" w:eastAsia="Times New Roman" w:hAnsi="Times New Roman"/>
          <w:sz w:val="18"/>
          <w:szCs w:val="18"/>
          <w:u w:val="single" w:color="auto"/>
          <w:color w:val="auto"/>
        </w:rPr>
        <w:t>short sale</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Purchases or Sales of Derivative Securities or Hedging Transactions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Insider may buy or sell puts, calls, other derivative securities of the Company or any derivative securities or engage in hedging transactions of any type involving Company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 Such hedging transactions may permit you to continue to own Company securities obtained through employee benefit plans or otherwise, but without the full risks and rewards of ownership. When that occurs, you may no longer have the same objectives as the Company’s other shareholders.</w:t>
      </w:r>
    </w:p>
    <w:p>
      <w:pPr>
        <w:spacing w:after="0" w:line="210"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Company Securities Subject to Margin Calls / No Pledges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Insider may hold Company securities in a margin account or otherwise pledge Company securities as collateral for a loan, because a margin sale or foreclosure sale may occur at a time you are aware of material nonpublic information or otherwise are not permitted to trade in Company securities. Securities held in a margin account as collateral for a margin loan might be sold by the broker without your consent if you fail to meet a margin call. Similarly, securities pledged (or hypothecated) as collateral for a loan might be sold in foreclosure if you default on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64" w:right="999" w:bottom="1440" w:gutter="0" w:footer="0" w:header="0"/>
        </w:sectPr>
      </w:pPr>
    </w:p>
    <w:bookmarkStart w:id="190" w:name="page191"/>
    <w:bookmarkEnd w:id="190"/>
    <w:p>
      <w:pPr>
        <w:ind w:left="1300" w:hanging="644"/>
        <w:spacing w:after="0"/>
        <w:tabs>
          <w:tab w:leader="none" w:pos="1300"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Gifts Subject to Same Restrictions as All Other Securities Trades</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 Insider may give or make any other transfer of Company securities without consideration (e.g., a gift) during a period when the Insider is not permitted to trade.</w:t>
      </w:r>
    </w:p>
    <w:p>
      <w:pPr>
        <w:spacing w:after="0" w:line="185"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Placing Orders with Brokers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 placing an open order with a broker you should inform the broker that you are subject to these Trading Procedures to assure that all open orders are cancelled prior to the closure of any trading window. Exercise caution when placing open orders, such as limit orders or particularly where the order is likely to remain outstanding for an extended period of time, except in accordance with an approved Rule 10b5-1 Plan (as discussed below). Open orders may result in the execution of a trade at a time when you are aware of material nonpublic information or otherwise are not permitted to trade in Adobe securities, which may result in inadvertent insider trading violations, Section 16 violations (for officers and directors), violations of the Insider Trading Policy and these Trading Procedures, and unfavorable publicity for you and the Company.</w:t>
      </w:r>
    </w:p>
    <w:p>
      <w:pPr>
        <w:spacing w:after="0" w:line="212"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PRE-CLEARANCE PROCEDURES</w:t>
      </w:r>
    </w:p>
    <w:p>
      <w:pPr>
        <w:spacing w:after="0" w:line="252"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1.Procedures</w:t>
      </w:r>
      <w:r>
        <w:rPr>
          <w:rFonts w:ascii="Times New Roman" w:cs="Times New Roman" w:eastAsia="Times New Roman" w:hAnsi="Times New Roman"/>
          <w:sz w:val="18"/>
          <w:szCs w:val="18"/>
          <w:color w:val="auto"/>
        </w:rPr>
        <w:t>. No Insider may trade in Company securities until:</w:t>
      </w:r>
    </w:p>
    <w:p>
      <w:pPr>
        <w:spacing w:after="0" w:line="270" w:lineRule="exact"/>
        <w:rPr>
          <w:sz w:val="20"/>
          <w:szCs w:val="20"/>
          <w:color w:val="auto"/>
        </w:rPr>
      </w:pPr>
    </w:p>
    <w:p>
      <w:pPr>
        <w:jc w:val="both"/>
        <w:ind w:left="1300" w:hanging="644"/>
        <w:spacing w:after="0" w:line="258"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Insider has notified the Policy Administrator of the amount and nature of the proposed trade(s) using the Stock Transaction Request form attached to these Trading Procedures as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In order to provide adequate time for the preparation of any required reports under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 Stock Transaction Request form should, if practicable, be received by the Policy Administrator at least two (2) business days prior to the intended trade date;</w:t>
      </w:r>
    </w:p>
    <w:p>
      <w:pPr>
        <w:spacing w:after="0" w:line="21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has certified to the Policy Administrator in writing prior to the proposed trade(s) that the Insider is not in possession of material nonpublic information concerning the Company;</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has informed the Policy Administrator whether, to the Insider’s best knowledge, (a) the Insider has (or is deemed to have) engaged in any opposite way transactions within the previous six (6) months that were not exempt from Section 16(b) of the Exchange Act and (b) if the transaction involves a sale by an “affiliate” of the Company or of “restricted securities” (as such terms are defined under Rule 144 under the Securities Act of 1933, as amended (“</w:t>
      </w:r>
      <w:r>
        <w:rPr>
          <w:rFonts w:ascii="Times New Roman" w:cs="Times New Roman" w:eastAsia="Times New Roman" w:hAnsi="Times New Roman"/>
          <w:sz w:val="18"/>
          <w:szCs w:val="18"/>
          <w:u w:val="single" w:color="auto"/>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144</w:t>
      </w:r>
      <w:r>
        <w:rPr>
          <w:rFonts w:ascii="Times New Roman" w:cs="Times New Roman" w:eastAsia="Times New Roman" w:hAnsi="Times New Roman"/>
          <w:sz w:val="18"/>
          <w:szCs w:val="18"/>
          <w:color w:val="auto"/>
        </w:rPr>
        <w:t>”)), whether the transaction meets all of the applicable conditions of Rule 144; and the Policy Administrator or his or her designee has approved the trade(s) and has certified such approval in writing. Such certification may be made via digitally- signed electronic mail; and</w:t>
      </w:r>
    </w:p>
    <w:p>
      <w:pPr>
        <w:spacing w:after="0" w:line="21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Policy Administrator has approved the trade(s) and has certified their approval in writing (which may be by email).</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Policy Administrator does not assume the responsibility for, and approval from the Policy Administrator does not protect the Insider from, the consequences of prohibited insider trading.</w:t>
      </w:r>
    </w:p>
    <w:p>
      <w:pPr>
        <w:spacing w:after="0" w:line="185" w:lineRule="exact"/>
        <w:rPr>
          <w:sz w:val="20"/>
          <w:szCs w:val="20"/>
          <w:color w:val="auto"/>
        </w:rPr>
      </w:pPr>
    </w:p>
    <w:p>
      <w:pPr>
        <w:ind w:firstLine="656"/>
        <w:spacing w:after="0" w:line="286" w:lineRule="auto"/>
        <w:tabs>
          <w:tab w:leader="none" w:pos="1296"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Additional Information</w:t>
      </w:r>
      <w:r>
        <w:rPr>
          <w:rFonts w:ascii="Times New Roman" w:cs="Times New Roman" w:eastAsia="Times New Roman" w:hAnsi="Times New Roman"/>
          <w:sz w:val="18"/>
          <w:szCs w:val="18"/>
          <w:color w:val="auto"/>
        </w:rPr>
        <w:t>. Insiders shall provide to the Policy Administrator any documentation reasonably requested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him or her in furtherance of the foregoing procedures. Any failure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0"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to provide such requested information will be grounds for denial of approval by the Policy Administrator.</w:t>
      </w:r>
    </w:p>
    <w:p>
      <w:pPr>
        <w:spacing w:after="0" w:line="248" w:lineRule="exact"/>
        <w:rPr>
          <w:sz w:val="20"/>
          <w:szCs w:val="20"/>
          <w:color w:val="auto"/>
        </w:rPr>
      </w:pPr>
    </w:p>
    <w:p>
      <w:pPr>
        <w:jc w:val="both"/>
        <w:ind w:firstLine="656"/>
        <w:spacing w:after="0" w:line="268" w:lineRule="auto"/>
        <w:tabs>
          <w:tab w:leader="none" w:pos="1296" w:val="left"/>
        </w:tabs>
        <w:numPr>
          <w:ilvl w:val="0"/>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Obligation to Approve Trades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existence of the foregoing approval procedures does not in any way obligate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Policy Administrator to approve any trade requested by an Insider. The Policy Administrator may reject any trading request at his or her sole discretion.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an event may occur that is material to the Company and is known by only a few directors or executives. So long as the event remains material and nonpublic, the Policy Administrator may determine not to approve any transactions in the Company’s securities. If an Insider requests clearance to trade in the Company’s securities during the pendency of such an event, the Policy Administrator may reject the trading request without disclosing the reason.</w:t>
      </w:r>
    </w:p>
    <w:p>
      <w:pPr>
        <w:spacing w:after="0" w:line="203" w:lineRule="exact"/>
        <w:rPr>
          <w:sz w:val="20"/>
          <w:szCs w:val="20"/>
          <w:color w:val="auto"/>
        </w:rPr>
      </w:pPr>
    </w:p>
    <w:p>
      <w:pPr>
        <w:ind w:right="20" w:firstLine="656"/>
        <w:spacing w:after="0" w:line="286" w:lineRule="auto"/>
        <w:tabs>
          <w:tab w:leader="none" w:pos="1296" w:val="left"/>
        </w:tabs>
        <w:numPr>
          <w:ilvl w:val="0"/>
          <w:numId w:val="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Completion of Trades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receiving written clearance to engage in a trade signed by the Policy Administrator,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Insider must complete the proposed trade within two (2) business days or make a new trading request.</w:t>
      </w:r>
    </w:p>
    <w:p>
      <w:pPr>
        <w:spacing w:after="0" w:line="181" w:lineRule="exact"/>
        <w:rPr>
          <w:rFonts w:ascii="Times New Roman" w:cs="Times New Roman" w:eastAsia="Times New Roman" w:hAnsi="Times New Roman"/>
          <w:sz w:val="18"/>
          <w:szCs w:val="18"/>
          <w:b w:val="1"/>
          <w:bCs w:val="1"/>
          <w:i w:val="1"/>
          <w:iCs w:val="1"/>
          <w:color w:val="auto"/>
        </w:rPr>
      </w:pPr>
    </w:p>
    <w:p>
      <w:pPr>
        <w:jc w:val="both"/>
        <w:ind w:firstLine="656"/>
        <w:spacing w:after="0" w:line="256" w:lineRule="auto"/>
        <w:tabs>
          <w:tab w:leader="none" w:pos="1296" w:val="left"/>
        </w:tabs>
        <w:numPr>
          <w:ilvl w:val="0"/>
          <w:numId w:val="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Post-Trade Reporting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transactions in the Company’s securities by an Insider (including transactions effected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a Rule 10b5-1 Plan (as defined below)) must be reported to the Policy Administrator by completing the “Confirmation of Transaction” section of the Stock Transaction Request form attached to these Trading Procedures on the same day in which such a transaction occurs.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report an Insider makes to the Policy Administrator should include the date of the transaction, quantity of shares, price and broker-dealer through which the transaction was effected. This reporting requirement may be satisfied by sending (or having such Insider’s broker send) duplicate confirmations of trades to the Policy Administrator if such information is received by the Policy Administrator on or before the required date. This requirement is in addition to any required notification that the Company receives from the broker who completes the trade.</w:t>
      </w:r>
    </w:p>
    <w:p>
      <w:pPr>
        <w:spacing w:after="0" w:line="179"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EXEMPTIONS</w:t>
      </w:r>
    </w:p>
    <w:p>
      <w:pPr>
        <w:spacing w:after="0" w:line="252" w:lineRule="exact"/>
        <w:rPr>
          <w:rFonts w:ascii="Times New Roman" w:cs="Times New Roman" w:eastAsia="Times New Roman" w:hAnsi="Times New Roman"/>
          <w:sz w:val="18"/>
          <w:szCs w:val="18"/>
          <w:b w:val="1"/>
          <w:bCs w:val="1"/>
          <w:i w:val="1"/>
          <w:iCs w:val="1"/>
          <w:color w:val="auto"/>
        </w:rPr>
      </w:pPr>
    </w:p>
    <w:p>
      <w:pPr>
        <w:jc w:val="both"/>
        <w:ind w:firstLine="656"/>
        <w:spacing w:after="0" w:line="256" w:lineRule="auto"/>
        <w:tabs>
          <w:tab w:leader="none" w:pos="1296" w:val="left"/>
        </w:tabs>
        <w:numPr>
          <w:ilvl w:val="1"/>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Pre-Approved Rule 10b5-1 Plan</w:t>
      </w:r>
      <w:r>
        <w:rPr>
          <w:rFonts w:ascii="Times New Roman" w:cs="Times New Roman" w:eastAsia="Times New Roman" w:hAnsi="Times New Roman"/>
          <w:sz w:val="18"/>
          <w:szCs w:val="18"/>
          <w:color w:val="auto"/>
        </w:rPr>
        <w:t>. Transactions effected pursuant to a pre-approved Rule 10b5-1 plan will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Company’s trading windows, blackout periods or pre-clearance procedures, and Insiders are not required to complete a Stock Transaction Request form for such transactions. Rule 10b5-1 of the Exchange Act provides an affirmative defense from insider trading liability under the federal securities laws for trading plans that meet certain requirements. A trading plan, arrangement or instruction that meets the requirements of Rule 10b5-1 (a “</w:t>
      </w:r>
      <w:r>
        <w:rPr>
          <w:rFonts w:ascii="Times New Roman" w:cs="Times New Roman" w:eastAsia="Times New Roman" w:hAnsi="Times New Roman"/>
          <w:sz w:val="18"/>
          <w:szCs w:val="18"/>
          <w:u w:val="single" w:color="auto"/>
          <w:color w:val="auto"/>
        </w:rPr>
        <w:t>Rule 10b5-1 Plan</w:t>
      </w:r>
      <w:r>
        <w:rPr>
          <w:rFonts w:ascii="Times New Roman" w:cs="Times New Roman" w:eastAsia="Times New Roman" w:hAnsi="Times New Roman"/>
          <w:sz w:val="18"/>
          <w:szCs w:val="18"/>
          <w:color w:val="auto"/>
        </w:rPr>
        <w:t>”) enables Insiders to establish arrangements to trade in Company securities outside of the Company’s trading windows, even when in possession of material nonpublic information. If an Insider intends to trade pursuant to a Rule 10b5-1 Plan, such plan must:</w:t>
      </w:r>
    </w:p>
    <w:p>
      <w:pPr>
        <w:spacing w:after="0" w:line="227" w:lineRule="exact"/>
        <w:rPr>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requirements of Rule 10b5-1;</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documented in writing;</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established during a trading window when such Insider does not possess material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64" w:right="999" w:bottom="1440" w:gutter="0" w:footer="0" w:header="0"/>
        </w:sectPr>
      </w:pPr>
    </w:p>
    <w:bookmarkStart w:id="192" w:name="page193"/>
    <w:bookmarkEnd w:id="192"/>
    <w:p>
      <w:pPr>
        <w:ind w:left="1300"/>
        <w:spacing w:after="0"/>
        <w:rPr>
          <w:sz w:val="20"/>
          <w:szCs w:val="20"/>
          <w:color w:val="auto"/>
        </w:rPr>
      </w:pPr>
      <w:r>
        <w:rPr>
          <w:rFonts w:ascii="Times New Roman" w:cs="Times New Roman" w:eastAsia="Times New Roman" w:hAnsi="Times New Roman"/>
          <w:sz w:val="18"/>
          <w:szCs w:val="18"/>
          <w:color w:val="auto"/>
        </w:rPr>
        <w:t>nonpublic information; and</w:t>
      </w:r>
    </w:p>
    <w:p>
      <w:pPr>
        <w:spacing w:after="0" w:line="252"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pre-approved by the Policy Administrator.</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deviation from, or alteration to, the specifications of an approved Rule 10b5-1 Plan (including, without limitation, the amount, price or timing of a purchase or sale) must be reported immediately to the Policy Administrator.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Policy Administrator may refuse to approve a Rule 10b5-1 Plan as he or she deems appropriate including, without limitation, if he or she determines that such plan does not satisfy the requirements of Rule 10b5-1. The Policy Administrator may consult with the Company’s legal counsel before approving a Rule 10b5-1 Plan. If the Policy Administrator does not approve an Insider’s Rule 10b5-1 Plan, such Insider must adhere to the pre-clearance procedures and trading windows set forth above until such time as a Rule 10b5-1 Plan is approved.</w:t>
      </w:r>
    </w:p>
    <w:p>
      <w:pPr>
        <w:spacing w:after="0" w:line="22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modification of an Insider’s prior Rule 10b5-1 Plan requires pre-approval by the Policy Administrator. A modification must occur during a trading window and while such Insider is not aware of material nonpublic information.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Policy Administrator may not approve his or her own Rule 10b5-1 Plan or any modification thereto; the Policy Administrator may consult with the Company’s officers and/or outside legal counsel and will receive approval for their own Rule 10b5-1 Plan or any modification thereto from the Company’s Chief Legal Officer, Chief Financial Officer or Chief Executive Officer.</w:t>
      </w:r>
    </w:p>
    <w:p>
      <w:pPr>
        <w:spacing w:after="0" w:line="199"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 Plans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Exercise of Stock Options</w:t>
      </w:r>
      <w:r>
        <w:rPr>
          <w:rFonts w:ascii="Times New Roman" w:cs="Times New Roman" w:eastAsia="Times New Roman" w:hAnsi="Times New Roman"/>
          <w:sz w:val="18"/>
          <w:szCs w:val="18"/>
          <w:color w:val="auto"/>
        </w:rPr>
        <w:t>. The trading prohibitions and restrictions set forth in these Trading Procedures do not apply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an option to purchase securities of the Company when payment of the exercise price is made in cash. However, the exercise of an option to purchase securities of the Company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these Trading Procedures and the Insider Trading Policy. Moreover, these Trading Procedures apply to the use of outstanding Company securities to constitute part or all of the exercise price of an option, any net option exercise, any exercise of a stock appreciation right, share withholding, any sale of stock as part of a broker-assisted cashless exercise of an option, or any other market sale for the purpose of generating the cash needed to pay the exercise price of an option.</w:t>
      </w:r>
    </w:p>
    <w:p>
      <w:pPr>
        <w:spacing w:after="0" w:line="21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Tax Withholding on Restricted Stock/Units</w:t>
      </w:r>
      <w:r>
        <w:rPr>
          <w:rFonts w:ascii="Times New Roman" w:cs="Times New Roman" w:eastAsia="Times New Roman" w:hAnsi="Times New Roman"/>
          <w:sz w:val="18"/>
          <w:szCs w:val="18"/>
          <w:color w:val="auto"/>
        </w:rPr>
        <w:t>. The trading prohibitions and restrictions set forth in these Trading Procedures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apply to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these Trading Procedures.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The trading prohibitions and restrictions set forth in these Trading Procedures do not apply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 wage withholding contributions by the Company or an Insider in any Company employee stock purchase plan, in either case, which are used to purchase the Company’s securities pursuant to the Insider’s advance instructions (not entered into or modified while the Insider is in possession of material nonpublic information) under any employee stock purchase plan. However, elections to participate in (or modifications to elections) as well as any cash contributions to such plan (other than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4" w:right="999" w:bottom="1440" w:gutter="0" w:footer="0" w:header="0"/>
        </w:sectPr>
      </w:pPr>
    </w:p>
    <w:bookmarkStart w:id="193" w:name="page194"/>
    <w:bookmarkEnd w:id="193"/>
    <w:p>
      <w:pPr>
        <w:jc w:val="both"/>
        <w:spacing w:after="0" w:line="266" w:lineRule="auto"/>
        <w:rPr>
          <w:sz w:val="20"/>
          <w:szCs w:val="20"/>
          <w:color w:val="auto"/>
        </w:rPr>
      </w:pPr>
      <w:r>
        <w:rPr>
          <w:rFonts w:ascii="Times New Roman" w:cs="Times New Roman" w:eastAsia="Times New Roman" w:hAnsi="Times New Roman"/>
          <w:sz w:val="18"/>
          <w:szCs w:val="18"/>
          <w:color w:val="auto"/>
        </w:rPr>
        <w:t>through periodic wage withholding) and any sale of securities acquired under such plan are subject to the prohibitions and restrictions of these Trading Procedures. In addition, the Company has the right to impose a Company-wide trading blackout period that could restrict all participation in any employee stock purchase plan.</w:t>
      </w:r>
    </w:p>
    <w:p>
      <w:pPr>
        <w:spacing w:after="0" w:line="19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Transactions Not Involving a Purchase or Sale. </w:t>
      </w:r>
      <w:r>
        <w:rPr>
          <w:rFonts w:ascii="Times New Roman" w:cs="Times New Roman" w:eastAsia="Times New Roman" w:hAnsi="Times New Roman"/>
          <w:sz w:val="18"/>
          <w:szCs w:val="18"/>
          <w:color w:val="auto"/>
        </w:rPr>
        <w:t>Transactions that involve merely a change in the form in which you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securities are permitted during a period when you are aware of material nonpublic information or during a trading blackout period. For example, you may transfer shares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trust of which you are the sole beneficiary during your lifetime.</w:t>
      </w:r>
    </w:p>
    <w:p>
      <w:pPr>
        <w:spacing w:after="0" w:line="198"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WAIVERS</w:t>
      </w:r>
    </w:p>
    <w:p>
      <w:pPr>
        <w:spacing w:after="0" w:line="27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waiver of any provision of these Trading Procedures in a specific instance may be authorized in writing by the Audit Committee, and any such waiver shall be reported to the Company’s Board of Directors. Provided, however, that the prohibition on the purchase or sale of derivative securities, hedging transactions and the pledging of Company securities as described in Sections B.4. and B.5. are strictly prohibited and not subject to waiver.</w:t>
      </w:r>
    </w:p>
    <w:p>
      <w:pPr>
        <w:spacing w:after="0" w:line="203"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ACKNOWLEDGMENT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Company’s Insider Trading Policy, these Trading Procedures will be delivered to all current Insiders and to all new Insiders at the start of their employment or relationship with the Company. Upon first receiving a copy of these Trading Procedures, each Insider must acknowledge that he or she has received a copy and agrees to comply with the terms of these Trading Procedures and the Insider Trading Policy. The attached acknowledgment must be completed and submitted to the Company within ten (10) days of receipt.</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acknowledgment will constitute consent for the Company to impose sanctions for violation of the Insider Trading Policy or these Trading Procedures, and to issue any necessary stop-transfer orders to the Company’s transfer agent to ensure compliance.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Insiders will be required upon the Company’s request to re-acknowledge and agree to comply with these Trading Procedures and the Insider Trading Policy (including any amendments or modifications). For such purpose, an Insider will be deemed to have received, acknowledged and agreed to comply with these Trading Procedures and the Insider Trading Policy when copies of such policies have been delivered to the Insider by regular or electronic mail (or other delivery option used by the Company) by the Policy Administrator or his or her designee, unless the Insider objects in a written statement received by the Policy Administrator within two (2) business days of such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216535</wp:posOffset>
            </wp:positionV>
            <wp:extent cx="15773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Failure to observe these Trading Procedures and the Insider Trading Policy could lead to significant legal problems, and could have other serious consequences, including termination of employment. Questions regarding these Trading Procedures or the Insider Trading Policy are encouraged and may be directed to the Policy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64" w:right="99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 hereby acknowledge that I have read, that I understand, and that I agree to comply with, the Statement of Company Policy on Insider Trading and Disclosure (the “</w:t>
      </w:r>
      <w:r>
        <w:rPr>
          <w:rFonts w:ascii="Times New Roman" w:cs="Times New Roman" w:eastAsia="Times New Roman" w:hAnsi="Times New Roman"/>
          <w:sz w:val="18"/>
          <w:szCs w:val="18"/>
          <w:u w:val="single" w:color="auto"/>
          <w:color w:val="auto"/>
        </w:rPr>
        <w:t>Insider Trading Policy</w:t>
      </w:r>
      <w:r>
        <w:rPr>
          <w:rFonts w:ascii="Times New Roman" w:cs="Times New Roman" w:eastAsia="Times New Roman" w:hAnsi="Times New Roman"/>
          <w:sz w:val="18"/>
          <w:szCs w:val="18"/>
          <w:color w:val="auto"/>
        </w:rPr>
        <w:t>”) and the Special Trading Procedures for Insiders (the “</w:t>
      </w:r>
      <w:r>
        <w:rPr>
          <w:rFonts w:ascii="Times New Roman" w:cs="Times New Roman" w:eastAsia="Times New Roman" w:hAnsi="Times New Roman"/>
          <w:sz w:val="18"/>
          <w:szCs w:val="18"/>
          <w:u w:val="single" w:color="auto"/>
          <w:color w:val="auto"/>
        </w:rPr>
        <w:t>Trading Procedures</w:t>
      </w:r>
      <w:r>
        <w:rPr>
          <w:rFonts w:ascii="Times New Roman" w:cs="Times New Roman" w:eastAsia="Times New Roman" w:hAnsi="Times New Roman"/>
          <w:sz w:val="18"/>
          <w:szCs w:val="18"/>
          <w:color w:val="auto"/>
        </w:rPr>
        <w:t>”) of Blueprint Medicines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 further acknowledge and agree that I am responsible for ensuring compliance with the Insider Trading Policy and the Trading Procedures by all of my “Affiliated Persons.” I also understand and agree that I will be subject to sanctions, including termination of employment, that may be imposed by the Company, in its sole discretion, for violation of the Insider Trading Policy or the Trading Procedures, and that the Company may give stop-transfer and other instructions to the Company’s transfer agent against the transfer of any Company securities in a transaction that the Company considers to be in contravention of the Insider Trading Policy or the Trading Procedures.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hereby designate the following investment funds and partnerships as entities for which the Trading Procedures shall not apply:</w:t>
      </w:r>
    </w:p>
    <w:p>
      <w:pPr>
        <w:spacing w:after="0" w:line="2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50342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0">
                      <a:extLst>
                        <a:ext uri="{28A0092B-C50C-407E-A947-70E740481C1C}"/>
                      </a:extLst>
                    </a:blip>
                    <a:srcRect/>
                    <a:stretch>
                      <a:fillRect/>
                    </a:stretch>
                  </pic:blipFill>
                  <pic:spPr bwMode="auto">
                    <a:xfrm>
                      <a:off x="0" y="0"/>
                      <a:ext cx="5034280" cy="825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8"/>
          <w:szCs w:val="18"/>
          <w:color w:val="auto"/>
        </w:rPr>
        <w:t>I hereby represent to the Company that such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214"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17145</wp:posOffset>
            </wp:positionV>
            <wp:extent cx="59232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1">
                      <a:extLst>
                        <a:ext uri="{28A0092B-C50C-407E-A947-70E740481C1C}"/>
                      </a:extLst>
                    </a:blip>
                    <a:srcRect/>
                    <a:stretch>
                      <a:fillRect/>
                    </a:stretch>
                  </pic:blipFill>
                  <pic:spPr bwMode="auto">
                    <a:xfrm>
                      <a:off x="0" y="0"/>
                      <a:ext cx="5923280" cy="8255"/>
                    </a:xfrm>
                    <a:prstGeom prst="rect">
                      <a:avLst/>
                    </a:prstGeom>
                    <a:noFill/>
                  </pic:spPr>
                </pic:pic>
              </a:graphicData>
            </a:graphic>
          </wp:anchor>
        </w:drawing>
      </w:r>
    </w:p>
    <w:p>
      <w:pPr>
        <w:spacing w:after="0" w:line="20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25203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25203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0" w:right="99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TRANSACTION REQUEST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Blueprint Medicines Corporation’s Special Trading Procedures for Insiders (the “Trading Procedures”), I hereby notify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Corporation (the “Company”) of my intent to trade the securities of the Company as indicated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REQUESTER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Insider’s Name:</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INTENT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11830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5">
                      <a:extLst>
                        <a:ext uri="{28A0092B-C50C-407E-A947-70E740481C1C}"/>
                      </a:extLst>
                    </a:blip>
                    <a:srcRect/>
                    <a:stretch>
                      <a:fillRect/>
                    </a:stretch>
                  </pic:blipFill>
                  <pic:spPr bwMode="auto">
                    <a:xfrm>
                      <a:off x="0" y="0"/>
                      <a:ext cx="6292215" cy="11830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shares: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Intended trade date:</w:t>
      </w:r>
    </w:p>
    <w:p>
      <w:pPr>
        <w:spacing w:after="0" w:line="9" w:lineRule="exact"/>
        <w:rPr>
          <w:sz w:val="20"/>
          <w:szCs w:val="20"/>
          <w:color w:val="auto"/>
        </w:rPr>
      </w:pPr>
    </w:p>
    <w:p>
      <w:pPr>
        <w:ind w:left="20"/>
        <w:spacing w:after="0" w:line="207" w:lineRule="exact"/>
        <w:tabs>
          <w:tab w:leader="none" w:pos="2560" w:val="left"/>
        </w:tabs>
        <w:rPr>
          <w:sz w:val="20"/>
          <w:szCs w:val="20"/>
          <w:color w:val="auto"/>
        </w:rPr>
      </w:pPr>
      <w:r>
        <w:rPr>
          <w:rFonts w:ascii="Times New Roman" w:cs="Times New Roman" w:eastAsia="Times New Roman" w:hAnsi="Times New Roman"/>
          <w:sz w:val="18"/>
          <w:szCs w:val="18"/>
          <w:color w:val="auto"/>
        </w:rPr>
        <w:t>Means of acquiring shares: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Acquisition through employee benefit plan (please specify):</w:t>
      </w:r>
    </w:p>
    <w:p>
      <w:pPr>
        <w:spacing w:after="0" w:line="234" w:lineRule="exact"/>
        <w:rPr>
          <w:sz w:val="20"/>
          <w:szCs w:val="20"/>
          <w:color w:val="auto"/>
        </w:rPr>
      </w:pPr>
    </w:p>
    <w:p>
      <w:pPr>
        <w:ind w:left="2840" w:hanging="260"/>
        <w:spacing w:after="0"/>
        <w:tabs>
          <w:tab w:leader="none" w:pos="2840" w:val="left"/>
        </w:tabs>
        <w:numPr>
          <w:ilvl w:val="0"/>
          <w:numId w:val="10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Purchase through a broker on the open market</w:t>
      </w:r>
    </w:p>
    <w:p>
      <w:pPr>
        <w:spacing w:after="0" w:line="204" w:lineRule="exact"/>
        <w:rPr>
          <w:rFonts w:ascii="MS PGothic" w:cs="MS PGothic" w:eastAsia="MS PGothic" w:hAnsi="MS PGothic"/>
          <w:sz w:val="18"/>
          <w:szCs w:val="18"/>
          <w:color w:val="auto"/>
        </w:rPr>
      </w:pPr>
    </w:p>
    <w:p>
      <w:pPr>
        <w:ind w:left="2840" w:hanging="260"/>
        <w:spacing w:after="0"/>
        <w:tabs>
          <w:tab w:leader="none" w:pos="2840" w:val="left"/>
        </w:tabs>
        <w:numPr>
          <w:ilvl w:val="0"/>
          <w:numId w:val="10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Other (please specify):  </w:t>
      </w:r>
      <w:r>
        <w:rPr>
          <w:rFonts w:ascii="MS PGothic" w:cs="MS PGothic" w:eastAsia="MS PGothic" w:hAnsi="MS PGothic"/>
          <w:sz w:val="1"/>
          <w:szCs w:val="1"/>
          <w:color w:val="auto"/>
        </w:rPr>
        <w:drawing>
          <wp:inline distT="0" distB="0" distL="0" distR="0">
            <wp:extent cx="3162935" cy="1371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6">
                      <a:extLst>
                        <a:ext uri="{28A0092B-C50C-407E-A947-70E740481C1C}"/>
                      </a:extLst>
                    </a:blip>
                    <a:srcRect/>
                    <a:stretch>
                      <a:fillRect/>
                    </a:stretch>
                  </pic:blipFill>
                  <pic:spPr bwMode="auto">
                    <a:xfrm>
                      <a:off x="0" y="0"/>
                      <a:ext cx="3162935" cy="137160"/>
                    </a:xfrm>
                    <a:prstGeom prst="rect">
                      <a:avLst/>
                    </a:prstGeom>
                    <a:noFill/>
                    <a:ln>
                      <a:noFill/>
                    </a:ln>
                  </pic:spPr>
                </pic:pic>
              </a:graphicData>
            </a:graphic>
          </wp:inline>
        </w:drawing>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INTENT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1183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7">
                      <a:extLst>
                        <a:ext uri="{28A0092B-C50C-407E-A947-70E740481C1C}"/>
                      </a:extLst>
                    </a:blip>
                    <a:srcRect/>
                    <a:stretch>
                      <a:fillRect/>
                    </a:stretch>
                  </pic:blipFill>
                  <pic:spPr bwMode="auto">
                    <a:xfrm>
                      <a:off x="0" y="0"/>
                      <a:ext cx="6292215" cy="11830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shares: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Intended trade date:</w:t>
      </w:r>
    </w:p>
    <w:p>
      <w:pPr>
        <w:spacing w:after="0" w:line="9" w:lineRule="exact"/>
        <w:rPr>
          <w:sz w:val="20"/>
          <w:szCs w:val="20"/>
          <w:color w:val="auto"/>
        </w:rPr>
      </w:pPr>
    </w:p>
    <w:p>
      <w:pPr>
        <w:ind w:left="20"/>
        <w:spacing w:after="0" w:line="207" w:lineRule="exact"/>
        <w:tabs>
          <w:tab w:leader="none" w:pos="2560" w:val="left"/>
        </w:tabs>
        <w:rPr>
          <w:sz w:val="20"/>
          <w:szCs w:val="20"/>
          <w:color w:val="auto"/>
        </w:rPr>
      </w:pPr>
      <w:r>
        <w:rPr>
          <w:rFonts w:ascii="Times New Roman" w:cs="Times New Roman" w:eastAsia="Times New Roman" w:hAnsi="Times New Roman"/>
          <w:sz w:val="18"/>
          <w:szCs w:val="18"/>
          <w:color w:val="auto"/>
        </w:rPr>
        <w:t>Means of selling shares: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Sale through employee benefit plan (please specify):</w:t>
      </w:r>
    </w:p>
    <w:p>
      <w:pPr>
        <w:spacing w:after="0" w:line="234" w:lineRule="exact"/>
        <w:rPr>
          <w:sz w:val="20"/>
          <w:szCs w:val="20"/>
          <w:color w:val="auto"/>
        </w:rPr>
      </w:pPr>
    </w:p>
    <w:p>
      <w:pPr>
        <w:ind w:left="2840" w:hanging="260"/>
        <w:spacing w:after="0"/>
        <w:tabs>
          <w:tab w:leader="none" w:pos="2840" w:val="left"/>
        </w:tabs>
        <w:numPr>
          <w:ilvl w:val="0"/>
          <w:numId w:val="10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Sale through a broker on the open market</w:t>
      </w:r>
    </w:p>
    <w:p>
      <w:pPr>
        <w:spacing w:after="0" w:line="204" w:lineRule="exact"/>
        <w:rPr>
          <w:rFonts w:ascii="MS PGothic" w:cs="MS PGothic" w:eastAsia="MS PGothic" w:hAnsi="MS PGothic"/>
          <w:sz w:val="18"/>
          <w:szCs w:val="18"/>
          <w:color w:val="auto"/>
        </w:rPr>
      </w:pPr>
    </w:p>
    <w:p>
      <w:pPr>
        <w:ind w:left="2840" w:hanging="260"/>
        <w:spacing w:after="0"/>
        <w:tabs>
          <w:tab w:leader="none" w:pos="2840" w:val="left"/>
        </w:tabs>
        <w:numPr>
          <w:ilvl w:val="0"/>
          <w:numId w:val="10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Other (please specify):  </w:t>
      </w:r>
      <w:r>
        <w:rPr>
          <w:rFonts w:ascii="MS PGothic" w:cs="MS PGothic" w:eastAsia="MS PGothic" w:hAnsi="MS PGothic"/>
          <w:sz w:val="1"/>
          <w:szCs w:val="1"/>
          <w:color w:val="auto"/>
        </w:rPr>
        <w:drawing>
          <wp:inline distT="0" distB="0" distL="0" distR="0">
            <wp:extent cx="3162935" cy="1371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8">
                      <a:extLst>
                        <a:ext uri="{28A0092B-C50C-407E-A947-70E740481C1C}"/>
                      </a:extLst>
                    </a:blip>
                    <a:srcRect/>
                    <a:stretch>
                      <a:fillRect/>
                    </a:stretch>
                  </pic:blipFill>
                  <pic:spPr bwMode="auto">
                    <a:xfrm>
                      <a:off x="0" y="0"/>
                      <a:ext cx="3162935" cy="137160"/>
                    </a:xfrm>
                    <a:prstGeom prst="rect">
                      <a:avLst/>
                    </a:prstGeom>
                    <a:noFill/>
                    <a:ln>
                      <a:noFill/>
                    </a:ln>
                  </pic:spPr>
                </pic:pic>
              </a:graphicData>
            </a:graphic>
          </wp:inline>
        </w:drawing>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14401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9">
                      <a:extLst>
                        <a:ext uri="{28A0092B-C50C-407E-A947-70E740481C1C}"/>
                      </a:extLst>
                    </a:blip>
                    <a:srcRect/>
                    <a:stretch>
                      <a:fillRect/>
                    </a:stretch>
                  </pic:blipFill>
                  <pic:spPr bwMode="auto">
                    <a:xfrm>
                      <a:off x="0" y="0"/>
                      <a:ext cx="6292215" cy="1440180"/>
                    </a:xfrm>
                    <a:prstGeom prst="rect">
                      <a:avLst/>
                    </a:prstGeom>
                    <a:noFill/>
                  </pic:spPr>
                </pic:pic>
              </a:graphicData>
            </a:graphic>
          </wp:anchor>
        </w:drawing>
      </w:r>
    </w:p>
    <w:p>
      <w:pPr>
        <w:spacing w:after="0" w:line="11" w:lineRule="exact"/>
        <w:rPr>
          <w:sz w:val="20"/>
          <w:szCs w:val="20"/>
          <w:color w:val="auto"/>
        </w:rPr>
      </w:pPr>
    </w:p>
    <w:p>
      <w:pPr>
        <w:ind w:left="20" w:right="20"/>
        <w:spacing w:after="0" w:line="252" w:lineRule="auto"/>
        <w:rPr>
          <w:sz w:val="20"/>
          <w:szCs w:val="20"/>
          <w:color w:val="auto"/>
        </w:rPr>
      </w:pPr>
      <w:r>
        <w:rPr>
          <w:rFonts w:ascii="Times New Roman" w:cs="Times New Roman" w:eastAsia="Times New Roman" w:hAnsi="Times New Roman"/>
          <w:sz w:val="18"/>
          <w:szCs w:val="18"/>
          <w:color w:val="auto"/>
        </w:rPr>
        <w:t>I hereby certify that (1) I am not in possession of any material nonpublic information concerning the Company, as defined in the Company’s Statement of Company Policy on Insider Trading and Disclosure, (2) to the best of my knowledge, the proposed trade(s) listed above does not violate the trading restrictions of Section 16 of the Securities Exchange Act of 1934, as amended, or Rule 144 under the Securities Act of 1933, as amended, and (3) I am not purchasing any securities of the Company on margin in contravention of the Company’s Trading Procedures. I understand that, if I trade while possessing such information or in violation of such trading restrictions, I may be subject to severe civil and/or criminal penalties, and may be subject to discipline by the Company including termination.</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360" w:type="dxa"/>
            <w:vAlign w:val="bottom"/>
            <w:tcBorders>
              <w:top w:val="single" w:sz="8" w:color="auto"/>
            </w:tcBorders>
            <w:shd w:val="clear" w:color="auto" w:fill="FFFF00"/>
          </w:tcPr>
          <w:p>
            <w:pPr>
              <w:spacing w:after="0"/>
              <w:rPr>
                <w:sz w:val="20"/>
                <w:szCs w:val="20"/>
                <w:color w:val="auto"/>
              </w:rPr>
            </w:pPr>
            <w:r>
              <w:rPr>
                <w:rFonts w:ascii="Times New Roman" w:cs="Times New Roman" w:eastAsia="Times New Roman" w:hAnsi="Times New Roman"/>
                <w:sz w:val="18"/>
                <w:szCs w:val="18"/>
                <w:color w:val="auto"/>
                <w:highlight w:val="yellow"/>
                <w:w w:val="98"/>
              </w:rPr>
              <w:t>Insider’s Signature</w:t>
            </w:r>
          </w:p>
        </w:tc>
        <w:tc>
          <w:tcPr>
            <w:tcW w:w="68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Borders>
              <w:top w:val="single" w:sz="8" w:color="auto"/>
            </w:tcBorders>
            <w:shd w:val="clear" w:color="auto" w:fill="FFFF00"/>
          </w:tcPr>
          <w:p>
            <w:pPr>
              <w:spacing w:after="0"/>
              <w:rPr>
                <w:sz w:val="20"/>
                <w:szCs w:val="20"/>
                <w:color w:val="auto"/>
              </w:rPr>
            </w:pPr>
            <w:r>
              <w:rPr>
                <w:rFonts w:ascii="Times New Roman" w:cs="Times New Roman" w:eastAsia="Times New Roman" w:hAnsi="Times New Roman"/>
                <w:sz w:val="18"/>
                <w:szCs w:val="18"/>
                <w:color w:val="auto"/>
                <w:highlight w:val="yellow"/>
              </w:rPr>
              <w:t>Date</w:t>
            </w:r>
          </w:p>
        </w:tc>
        <w:tc>
          <w:tcPr>
            <w:tcW w:w="3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60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00" w:type="dxa"/>
            <w:vAlign w:val="bottom"/>
            <w:tcBorders>
              <w:left w:val="single" w:sz="8" w:color="auto"/>
            </w:tcBorders>
            <w:gridSpan w:val="5"/>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AUTHORIZED APPROVAL</w:t>
            </w:r>
          </w:p>
        </w:tc>
        <w:tc>
          <w:tcPr>
            <w:tcW w:w="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920" w:type="dxa"/>
            <w:vAlign w:val="bottom"/>
            <w:vMerge w:val="restart"/>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280" w:type="dxa"/>
            <w:vAlign w:val="bottom"/>
            <w:tcBorders>
              <w:right w:val="single" w:sz="8" w:color="auto"/>
            </w:tcBorders>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40" w:type="dxa"/>
            <w:vAlign w:val="bottom"/>
            <w:tcBorders>
              <w:left w:val="single" w:sz="8" w:color="auto"/>
              <w:bottom w:val="single" w:sz="8" w:color="auto"/>
            </w:tcBorders>
          </w:tcPr>
          <w:p>
            <w:pPr>
              <w:spacing w:after="0"/>
              <w:rPr>
                <w:sz w:val="20"/>
                <w:szCs w:val="20"/>
                <w:color w:val="auto"/>
              </w:rPr>
            </w:pPr>
          </w:p>
        </w:tc>
        <w:tc>
          <w:tcPr>
            <w:tcW w:w="4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Signature of Policy Administrator (or designee)</w:t>
            </w:r>
          </w:p>
        </w:tc>
        <w:tc>
          <w:tcPr>
            <w:tcW w:w="920" w:type="dxa"/>
            <w:vAlign w:val="bottom"/>
            <w:tcBorders>
              <w:bottom w:val="single" w:sz="8" w:color="auto"/>
            </w:tcBorders>
            <w:vMerge w:val="continue"/>
          </w:tcPr>
          <w:p>
            <w:pPr>
              <w:spacing w:after="0"/>
              <w:rPr>
                <w:sz w:val="20"/>
                <w:szCs w:val="20"/>
                <w:color w:val="auto"/>
              </w:rPr>
            </w:pPr>
          </w:p>
        </w:tc>
        <w:tc>
          <w:tcPr>
            <w:tcW w:w="4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2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CONFIRMATION OF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1534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0">
                      <a:extLst>
                        <a:ext uri="{28A0092B-C50C-407E-A947-70E740481C1C}"/>
                      </a:extLst>
                    </a:blip>
                    <a:srcRect/>
                    <a:stretch>
                      <a:fillRect/>
                    </a:stretch>
                  </pic:blipFill>
                  <pic:spPr bwMode="auto">
                    <a:xfrm>
                      <a:off x="0" y="0"/>
                      <a:ext cx="6292215" cy="153416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hereby confirm that the transaction(s) requested above was (were) executed as follows:</w:t>
      </w:r>
    </w:p>
    <w:tbl>
      <w:tblPr>
        <w:tblLayout w:type="fixed"/>
        <w:tblInd w:w="20"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2040" w:type="dxa"/>
            <w:vAlign w:val="bottom"/>
            <w:gridSpan w:val="3"/>
          </w:tcPr>
          <w:p>
            <w:pPr>
              <w:jc w:val="center"/>
              <w:ind w:right="580"/>
              <w:spacing w:after="0" w:line="171" w:lineRule="exact"/>
              <w:rPr>
                <w:sz w:val="20"/>
                <w:szCs w:val="20"/>
                <w:color w:val="auto"/>
              </w:rPr>
            </w:pPr>
            <w:r>
              <w:rPr>
                <w:rFonts w:ascii="Times New Roman" w:cs="Times New Roman" w:eastAsia="Times New Roman" w:hAnsi="Times New Roman"/>
                <w:sz w:val="18"/>
                <w:szCs w:val="18"/>
                <w:color w:val="auto"/>
                <w:w w:val="99"/>
              </w:rPr>
              <w:t>Purchase of shares:</w:t>
            </w: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20" w:type="dxa"/>
            <w:vAlign w:val="bottom"/>
            <w:gridSpan w:val="3"/>
          </w:tcPr>
          <w:p>
            <w:pPr>
              <w:spacing w:after="0" w:line="171" w:lineRule="exact"/>
              <w:rPr>
                <w:sz w:val="20"/>
                <w:szCs w:val="20"/>
                <w:color w:val="auto"/>
              </w:rPr>
            </w:pPr>
            <w:r>
              <w:rPr>
                <w:rFonts w:ascii="Times New Roman" w:cs="Times New Roman" w:eastAsia="Times New Roman" w:hAnsi="Times New Roman"/>
                <w:sz w:val="18"/>
                <w:szCs w:val="18"/>
                <w:color w:val="auto"/>
              </w:rPr>
              <w:t>Date and approximate time of</w:t>
            </w:r>
          </w:p>
        </w:tc>
        <w:tc>
          <w:tcPr>
            <w:tcW w:w="0" w:type="dxa"/>
            <w:vAlign w:val="bottom"/>
          </w:tcPr>
          <w:p>
            <w:pPr>
              <w:spacing w:after="0"/>
              <w:rPr>
                <w:sz w:val="1"/>
                <w:szCs w:val="1"/>
                <w:color w:val="auto"/>
              </w:rPr>
            </w:pPr>
          </w:p>
        </w:tc>
      </w:tr>
      <w:tr>
        <w:trPr>
          <w:trHeight w:val="252"/>
        </w:trPr>
        <w:tc>
          <w:tcPr>
            <w:tcW w:w="2600" w:type="dxa"/>
            <w:vAlign w:val="bottom"/>
            <w:gridSpan w:val="4"/>
          </w:tcPr>
          <w:p>
            <w:pPr>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Average price per share:</w:t>
            </w: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jc w:val="center"/>
              <w:ind w:right="680"/>
              <w:spacing w:after="0" w:line="181" w:lineRule="exact"/>
              <w:rPr>
                <w:sz w:val="20"/>
                <w:szCs w:val="20"/>
                <w:color w:val="auto"/>
              </w:rPr>
            </w:pPr>
            <w:r>
              <w:rPr>
                <w:rFonts w:ascii="Times New Roman" w:cs="Times New Roman" w:eastAsia="Times New Roman" w:hAnsi="Times New Roman"/>
                <w:sz w:val="18"/>
                <w:szCs w:val="18"/>
                <w:color w:val="auto"/>
                <w:w w:val="99"/>
              </w:rPr>
              <w:t>Sale of shares:</w:t>
            </w: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Date and approximate time of sale:</w:t>
            </w:r>
          </w:p>
        </w:tc>
        <w:tc>
          <w:tcPr>
            <w:tcW w:w="0" w:type="dxa"/>
            <w:vAlign w:val="bottom"/>
          </w:tcPr>
          <w:p>
            <w:pPr>
              <w:spacing w:after="0"/>
              <w:rPr>
                <w:sz w:val="1"/>
                <w:szCs w:val="1"/>
                <w:color w:val="auto"/>
              </w:rPr>
            </w:pPr>
          </w:p>
        </w:tc>
      </w:tr>
      <w:tr>
        <w:trPr>
          <w:trHeight w:val="162"/>
        </w:trPr>
        <w:tc>
          <w:tcPr>
            <w:tcW w:w="2600" w:type="dxa"/>
            <w:vAlign w:val="bottom"/>
            <w:gridSpan w:val="4"/>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Average price per share:</w:t>
            </w:r>
          </w:p>
        </w:tc>
        <w:tc>
          <w:tcPr>
            <w:tcW w:w="4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600" w:type="dxa"/>
            <w:vAlign w:val="bottom"/>
            <w:gridSpan w:val="4"/>
            <w:vMerge w:val="continue"/>
          </w:tcPr>
          <w:p>
            <w:pPr>
              <w:spacing w:after="0"/>
              <w:rPr>
                <w:sz w:val="7"/>
                <w:szCs w:val="7"/>
                <w:color w:val="auto"/>
              </w:rPr>
            </w:pPr>
          </w:p>
        </w:tc>
        <w:tc>
          <w:tcPr>
            <w:tcW w:w="2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20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vMerge w:val="restart"/>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shd w:val="clear" w:color="auto" w:fill="FFFF00"/>
          </w:tcPr>
          <w:p>
            <w:pPr>
              <w:spacing w:after="0" w:line="196" w:lineRule="exact"/>
              <w:rPr>
                <w:sz w:val="20"/>
                <w:szCs w:val="20"/>
                <w:color w:val="auto"/>
              </w:rPr>
            </w:pPr>
            <w:r>
              <w:rPr>
                <w:rFonts w:ascii="Times New Roman" w:cs="Times New Roman" w:eastAsia="Times New Roman" w:hAnsi="Times New Roman"/>
                <w:sz w:val="18"/>
                <w:szCs w:val="18"/>
                <w:color w:val="auto"/>
                <w:highlight w:val="yellow"/>
                <w:w w:val="98"/>
              </w:rPr>
              <w:t>Insider’s Signature</w:t>
            </w:r>
          </w:p>
        </w:tc>
        <w:tc>
          <w:tcPr>
            <w:tcW w:w="6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shd w:val="clear" w:color="auto" w:fill="FFFF00"/>
          </w:tcPr>
          <w:p>
            <w:pPr>
              <w:spacing w:after="0" w:line="196" w:lineRule="exact"/>
              <w:rPr>
                <w:sz w:val="20"/>
                <w:szCs w:val="20"/>
                <w:color w:val="auto"/>
              </w:rPr>
            </w:pPr>
            <w:r>
              <w:rPr>
                <w:rFonts w:ascii="Times New Roman" w:cs="Times New Roman" w:eastAsia="Times New Roman" w:hAnsi="Times New Roman"/>
                <w:sz w:val="18"/>
                <w:szCs w:val="18"/>
                <w:color w:val="auto"/>
                <w:highlight w:val="yellow"/>
                <w:w w:val="94"/>
              </w:rPr>
              <w:t>Date</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Multiple lots must be listed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498475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20" w:type="dxa"/>
            <w:vAlign w:val="bottom"/>
            <w:gridSpan w:val="2"/>
          </w:tcPr>
          <w:p>
            <w:pPr>
              <w:ind w:left="438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4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Entity</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State/Jurisdiction of Incorporation or Organization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Blueprint Medicines Security Corporation</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53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Massachusetts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 (Switzerland) GmbH</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Blueprint Medicines (Netherlands) B.V.</w:t>
            </w: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 (UK) Ltd.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Blueprint Medicines (Germany) GmbH</w:t>
            </w: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 Spain, S.L.</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Blueprint Medicines (France) SAS</w:t>
            </w: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 (Italy) S.r.L.</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8"/>
        </w:trPr>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197" w:name="page198"/>
    <w:bookmarkEnd w:id="19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39" w:lineRule="exact"/>
        <w:rPr>
          <w:sz w:val="20"/>
          <w:szCs w:val="20"/>
          <w:color w:val="auto"/>
        </w:rPr>
      </w:pPr>
    </w:p>
    <w:p>
      <w:pPr>
        <w:ind w:left="860" w:hanging="327"/>
        <w:spacing w:after="0"/>
        <w:tabs>
          <w:tab w:leader="none" w:pos="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S-3ASR No. 333-236424) of Blueprint Medicines Corporation,</w:t>
      </w:r>
    </w:p>
    <w:p>
      <w:pPr>
        <w:spacing w:after="0" w:line="36" w:lineRule="exact"/>
        <w:rPr>
          <w:rFonts w:ascii="Times New Roman" w:cs="Times New Roman" w:eastAsia="Times New Roman" w:hAnsi="Times New Roman"/>
          <w:sz w:val="18"/>
          <w:szCs w:val="18"/>
          <w:color w:val="auto"/>
        </w:rPr>
      </w:pPr>
    </w:p>
    <w:p>
      <w:pPr>
        <w:jc w:val="both"/>
        <w:ind w:left="860" w:right="239" w:hanging="327"/>
        <w:spacing w:after="0" w:line="286" w:lineRule="auto"/>
        <w:tabs>
          <w:tab w:leader="none" w:pos="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333-203749) pertaining to the 2011 Stock Option and Grant Plan, 2015 Stock Option and Incentive Plan, and 2015 Employee Stock Purchase Plan of Blueprint Medicines Corporation,</w:t>
      </w:r>
    </w:p>
    <w:p>
      <w:pPr>
        <w:spacing w:after="0" w:line="2" w:lineRule="exact"/>
        <w:rPr>
          <w:rFonts w:ascii="Times New Roman" w:cs="Times New Roman" w:eastAsia="Times New Roman" w:hAnsi="Times New Roman"/>
          <w:sz w:val="18"/>
          <w:szCs w:val="18"/>
          <w:color w:val="auto"/>
        </w:rPr>
      </w:pPr>
    </w:p>
    <w:p>
      <w:pPr>
        <w:jc w:val="both"/>
        <w:ind w:left="860" w:right="219" w:hanging="327"/>
        <w:spacing w:after="0" w:line="286" w:lineRule="auto"/>
        <w:tabs>
          <w:tab w:leader="none" w:pos="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333-210125, 333-216575, 333-223131, 333-229885, 333-236421 and 333-253215) pertaining to the 2015 Stock Option and Incentive Plan and 2015 Employee Stock Purchase Plan of Blueprint Medicines Corporation, and</w:t>
      </w:r>
    </w:p>
    <w:p>
      <w:pPr>
        <w:spacing w:after="0" w:line="2" w:lineRule="exact"/>
        <w:rPr>
          <w:rFonts w:ascii="Times New Roman" w:cs="Times New Roman" w:eastAsia="Times New Roman" w:hAnsi="Times New Roman"/>
          <w:sz w:val="18"/>
          <w:szCs w:val="18"/>
          <w:color w:val="auto"/>
        </w:rPr>
      </w:pPr>
    </w:p>
    <w:p>
      <w:pPr>
        <w:ind w:left="860" w:right="239" w:hanging="327"/>
        <w:spacing w:after="0" w:line="313" w:lineRule="auto"/>
        <w:tabs>
          <w:tab w:leader="none" w:pos="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333-238039) pertaining to the 2020 Inducement Plan of Blueprint Medicines Corporation;</w:t>
      </w:r>
    </w:p>
    <w:p>
      <w:pPr>
        <w:spacing w:after="0" w:line="162"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18"/>
          <w:szCs w:val="18"/>
          <w:color w:val="auto"/>
        </w:rPr>
        <w:t>of our reports dated February 15, 2024, with respect to the consolidated financial statements of Blueprint Medicines Corporation and the effectiveness of internal control over financial reporting of Blueprint Medicines Corporation included in this Annual Report (Form 10-K) of Blueprint Medicines Corporation for the year ended December 31, 2023.</w:t>
      </w:r>
    </w:p>
    <w:p>
      <w:pPr>
        <w:spacing w:after="0" w:line="180"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8" w:name="page199"/>
    <w:bookmarkEnd w:id="19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Kathryn Haviland, certify that:</w:t>
      </w:r>
    </w:p>
    <w:p>
      <w:pPr>
        <w:spacing w:after="0" w:line="225" w:lineRule="exact"/>
        <w:rPr>
          <w:sz w:val="20"/>
          <w:szCs w:val="20"/>
          <w:color w:val="auto"/>
        </w:rPr>
      </w:pPr>
    </w:p>
    <w:p>
      <w:pPr>
        <w:ind w:left="1500" w:hanging="643"/>
        <w:spacing w:after="0"/>
        <w:tabs>
          <w:tab w:leader="none" w:pos="15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Blueprint Medicines Corporation;</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58" w:lineRule="auto"/>
        <w:tabs>
          <w:tab w:leader="none" w:pos="149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200" w:right="459" w:firstLine="657"/>
        <w:spacing w:after="0" w:line="266" w:lineRule="auto"/>
        <w:tabs>
          <w:tab w:leader="none" w:pos="149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459" w:firstLine="657"/>
        <w:spacing w:after="0" w:line="258" w:lineRule="auto"/>
        <w:tabs>
          <w:tab w:leader="none" w:pos="149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860" w:right="279" w:firstLine="645"/>
        <w:spacing w:after="0" w:line="261" w:lineRule="auto"/>
        <w:tabs>
          <w:tab w:leader="none" w:pos="215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60" w:right="259" w:firstLine="645"/>
        <w:spacing w:after="0" w:line="255" w:lineRule="auto"/>
        <w:tabs>
          <w:tab w:leader="none" w:pos="215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60" w:right="399" w:firstLine="645"/>
        <w:spacing w:after="0" w:line="266" w:lineRule="auto"/>
        <w:tabs>
          <w:tab w:leader="none" w:pos="215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60" w:right="379" w:firstLine="645"/>
        <w:spacing w:after="0" w:line="255" w:lineRule="auto"/>
        <w:tabs>
          <w:tab w:leader="none" w:pos="215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200" w:right="259" w:firstLine="657"/>
        <w:spacing w:after="0" w:line="266" w:lineRule="auto"/>
        <w:tabs>
          <w:tab w:leader="none" w:pos="149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60" w:right="439" w:firstLine="645"/>
        <w:spacing w:after="0" w:line="266" w:lineRule="auto"/>
        <w:tabs>
          <w:tab w:leader="none" w:pos="215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860" w:right="599" w:firstLine="645"/>
        <w:spacing w:after="0" w:line="282" w:lineRule="auto"/>
        <w:tabs>
          <w:tab w:leader="none" w:pos="215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15, 2024</w:t>
            </w:r>
          </w:p>
        </w:tc>
        <w:tc>
          <w:tcPr>
            <w:tcW w:w="55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By:/s/ Kathryn Haviland</w:t>
            </w:r>
          </w:p>
        </w:tc>
      </w:tr>
      <w:tr>
        <w:trPr>
          <w:trHeight w:val="191"/>
        </w:trPr>
        <w:tc>
          <w:tcPr>
            <w:tcW w:w="3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14"/>
        </w:trPr>
        <w:tc>
          <w:tcPr>
            <w:tcW w:w="3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63"/>
        </w:trPr>
        <w:tc>
          <w:tcPr>
            <w:tcW w:w="3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99" w:name="page200"/>
    <w:bookmarkEnd w:id="19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Michael Landsittel, certify that:</w:t>
      </w:r>
    </w:p>
    <w:p>
      <w:pPr>
        <w:spacing w:after="0" w:line="225" w:lineRule="exact"/>
        <w:rPr>
          <w:sz w:val="20"/>
          <w:szCs w:val="20"/>
          <w:color w:val="auto"/>
        </w:rPr>
      </w:pPr>
    </w:p>
    <w:p>
      <w:pPr>
        <w:ind w:left="1500" w:hanging="643"/>
        <w:spacing w:after="0"/>
        <w:tabs>
          <w:tab w:leader="none" w:pos="15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Blueprint Medicines Corporation;</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58" w:lineRule="auto"/>
        <w:tabs>
          <w:tab w:leader="none" w:pos="14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200" w:right="459" w:firstLine="657"/>
        <w:spacing w:after="0" w:line="266" w:lineRule="auto"/>
        <w:tabs>
          <w:tab w:leader="none" w:pos="14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459" w:firstLine="657"/>
        <w:spacing w:after="0" w:line="258" w:lineRule="auto"/>
        <w:tabs>
          <w:tab w:leader="none" w:pos="14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860" w:right="279" w:firstLine="645"/>
        <w:spacing w:after="0" w:line="261" w:lineRule="auto"/>
        <w:tabs>
          <w:tab w:leader="none" w:pos="215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60" w:right="259" w:firstLine="645"/>
        <w:spacing w:after="0" w:line="255" w:lineRule="auto"/>
        <w:tabs>
          <w:tab w:leader="none" w:pos="215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60" w:right="399" w:firstLine="645"/>
        <w:spacing w:after="0" w:line="266" w:lineRule="auto"/>
        <w:tabs>
          <w:tab w:leader="none" w:pos="215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60" w:right="379" w:firstLine="645"/>
        <w:spacing w:after="0" w:line="255" w:lineRule="auto"/>
        <w:tabs>
          <w:tab w:leader="none" w:pos="215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200" w:right="259" w:firstLine="657"/>
        <w:spacing w:after="0" w:line="266" w:lineRule="auto"/>
        <w:tabs>
          <w:tab w:leader="none" w:pos="14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60" w:right="439" w:firstLine="645"/>
        <w:spacing w:after="0" w:line="266" w:lineRule="auto"/>
        <w:tabs>
          <w:tab w:leader="none" w:pos="215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860" w:right="599" w:firstLine="645"/>
        <w:spacing w:after="0" w:line="282" w:lineRule="auto"/>
        <w:tabs>
          <w:tab w:leader="none" w:pos="215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15, 2024</w:t>
            </w:r>
          </w:p>
        </w:tc>
        <w:tc>
          <w:tcPr>
            <w:tcW w:w="55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By:/s/ Michael Landsittel</w:t>
            </w:r>
          </w:p>
        </w:tc>
      </w:tr>
      <w:tr>
        <w:trPr>
          <w:trHeight w:val="191"/>
        </w:trPr>
        <w:tc>
          <w:tcPr>
            <w:tcW w:w="3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Landsittel</w:t>
            </w:r>
          </w:p>
        </w:tc>
      </w:tr>
      <w:tr>
        <w:trPr>
          <w:trHeight w:val="214"/>
        </w:trPr>
        <w:tc>
          <w:tcPr>
            <w:tcW w:w="3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979"/>
        </w:trPr>
        <w:tc>
          <w:tcPr>
            <w:tcW w:w="3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00" w:name="page201"/>
    <w:bookmarkEnd w:id="20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200" w:right="21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75" w:lineRule="exact"/>
        <w:rPr>
          <w:sz w:val="20"/>
          <w:szCs w:val="20"/>
          <w:color w:val="auto"/>
        </w:rPr>
      </w:pPr>
    </w:p>
    <w:p>
      <w:pPr>
        <w:jc w:val="both"/>
        <w:ind w:left="200" w:right="33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on Form 10-K of Blueprint Medicines Corporation (the “Company”) for the year ended December 31, 2023 as filed with the Securities and Exchange Commission on the date hereof (the “Report”), each of the undersigned officers of the Company hereby certifies, pursuant to 18 U.S.C. Section 1350, that to his knowledge:</w:t>
      </w:r>
    </w:p>
    <w:p>
      <w:pPr>
        <w:spacing w:after="0" w:line="187" w:lineRule="exact"/>
        <w:rPr>
          <w:sz w:val="20"/>
          <w:szCs w:val="20"/>
          <w:color w:val="auto"/>
        </w:rPr>
      </w:pPr>
    </w:p>
    <w:p>
      <w:pPr>
        <w:ind w:left="1500" w:right="259" w:hanging="562"/>
        <w:spacing w:after="0" w:line="282" w:lineRule="auto"/>
        <w:tabs>
          <w:tab w:leader="none" w:pos="1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500" w:right="899" w:hanging="562"/>
        <w:spacing w:after="0" w:line="282" w:lineRule="auto"/>
        <w:tabs>
          <w:tab w:leader="none" w:pos="1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February 15, 2024</w:t>
      </w:r>
      <w:r>
        <w:rPr>
          <w:sz w:val="20"/>
          <w:szCs w:val="20"/>
          <w:color w:val="auto"/>
        </w:rPr>
        <w:tab/>
      </w:r>
      <w:r>
        <w:rPr>
          <w:rFonts w:ascii="Times New Roman" w:cs="Times New Roman" w:eastAsia="Times New Roman" w:hAnsi="Times New Roman"/>
          <w:sz w:val="18"/>
          <w:szCs w:val="18"/>
          <w:color w:val="auto"/>
        </w:rPr>
        <w:t>By: /s/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wp:posOffset>
            </wp:positionV>
            <wp:extent cx="24771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February 15, 2024</w:t>
      </w:r>
      <w:r>
        <w:rPr>
          <w:sz w:val="20"/>
          <w:szCs w:val="20"/>
          <w:color w:val="auto"/>
        </w:rPr>
        <w:tab/>
      </w:r>
      <w:r>
        <w:rPr>
          <w:rFonts w:ascii="Times New Roman" w:cs="Times New Roman" w:eastAsia="Times New Roman" w:hAnsi="Times New Roman"/>
          <w:sz w:val="18"/>
          <w:szCs w:val="18"/>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wp:posOffset>
            </wp:positionV>
            <wp:extent cx="24771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Michael Landsittel</w:t>
      </w:r>
    </w:p>
    <w:p>
      <w:pPr>
        <w:spacing w:after="0" w:line="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FOR RECOUPMENT OF ERRONEOUSLY AWARDED COMPENSATION</w:t>
      </w:r>
    </w:p>
    <w:p>
      <w:pPr>
        <w:spacing w:after="0" w:line="225"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applicable rules of The Nasdaq Stock Market and the rules issued by the United States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Blueprint Medicines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adopted this Policy (the “</w:t>
      </w: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 to provide for the recovery of erroneously awarded Incentive Compensation from Covered Persons. Capitalized terms used and not yet defined herein shall have the meanings set forth in Section III, below.</w:t>
      </w:r>
    </w:p>
    <w:p>
      <w:pPr>
        <w:spacing w:after="0" w:line="179"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Compensation Recovery Requirement</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the event the Company is required to prepare a Financial Restatement, the Company shall recover reasonably promptly all Erroneously Awarded Compensation with respect to such Financial Restatement.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Policy applies to Incentive Compensation Received by a Covered Person: (i) after beginning service as a Covered Person;</w:t>
      </w:r>
    </w:p>
    <w:p>
      <w:pPr>
        <w:spacing w:after="0" w:line="27" w:lineRule="exact"/>
        <w:rPr>
          <w:sz w:val="20"/>
          <w:szCs w:val="20"/>
          <w:color w:val="auto"/>
        </w:rPr>
      </w:pPr>
    </w:p>
    <w:p>
      <w:pPr>
        <w:ind w:right="140" w:firstLine="8"/>
        <w:spacing w:after="0" w:line="255" w:lineRule="auto"/>
        <w:tabs>
          <w:tab w:leader="none" w:pos="2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served as a Covered Person at any time during the applicable performance period relating to such Incentive Compensation, (iii) while the Company has a class of securities listed on a national securities exchange or a national securities association, and (iv) during the Applicable Recovery Period.</w:t>
      </w:r>
    </w:p>
    <w:p>
      <w:pPr>
        <w:spacing w:after="0" w:line="18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This Policy shall apply to all Covered Persons. Each Covered Person shall be required to sign an acknowledgement pursuant to which such Covered Person will agree to be bound by the terms of, and comply with, this Policy; however, any Covered Person’s failure to sign any such acknowledgement shall not negate the application of this Policy to the Covered Person.</w:t>
      </w:r>
    </w:p>
    <w:p>
      <w:pPr>
        <w:spacing w:after="0" w:line="172"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7" w:lineRule="exact"/>
        <w:rPr>
          <w:rFonts w:ascii="Times New Roman" w:cs="Times New Roman" w:eastAsia="Times New Roman" w:hAnsi="Times New Roman"/>
          <w:sz w:val="18"/>
          <w:szCs w:val="18"/>
          <w:b w:val="1"/>
          <w:bCs w:val="1"/>
          <w:color w:val="auto"/>
        </w:rPr>
      </w:pPr>
    </w:p>
    <w:p>
      <w:pPr>
        <w:jc w:val="both"/>
        <w:ind w:left="980" w:right="260" w:hanging="324"/>
        <w:spacing w:after="0" w:line="258" w:lineRule="auto"/>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Recovery Period</w:t>
      </w:r>
      <w:r>
        <w:rPr>
          <w:rFonts w:ascii="Times New Roman" w:cs="Times New Roman" w:eastAsia="Times New Roman" w:hAnsi="Times New Roman"/>
          <w:sz w:val="18"/>
          <w:szCs w:val="18"/>
          <w:color w:val="auto"/>
        </w:rPr>
        <w:t>”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83" w:lineRule="exact"/>
        <w:rPr>
          <w:rFonts w:ascii="Times New Roman" w:cs="Times New Roman" w:eastAsia="Times New Roman" w:hAnsi="Times New Roman"/>
          <w:sz w:val="18"/>
          <w:szCs w:val="18"/>
          <w:color w:val="auto"/>
        </w:rPr>
      </w:pPr>
    </w:p>
    <w:p>
      <w:pPr>
        <w:ind w:left="980" w:right="240" w:hanging="324"/>
        <w:spacing w:after="0" w:line="284" w:lineRule="auto"/>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Rules</w:t>
      </w:r>
      <w:r>
        <w:rPr>
          <w:rFonts w:ascii="Times New Roman" w:cs="Times New Roman" w:eastAsia="Times New Roman" w:hAnsi="Times New Roman"/>
          <w:sz w:val="18"/>
          <w:szCs w:val="18"/>
          <w:color w:val="auto"/>
        </w:rPr>
        <w:t>” means any rules or regulations adopted by the Exchange pursuant to Rule 10D-1 under the Exchange Act and any applicable rules or regulations adopted by the SEC pursuant to Section 10D of the Exchange Act.</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means the Audit Committee of the Board.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jc w:val="both"/>
        <w:ind w:left="980" w:right="460" w:hanging="324"/>
        <w:spacing w:after="0" w:line="315" w:lineRule="auto"/>
        <w:tabs>
          <w:tab w:leader="none" w:pos="98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Compensation Committee</w:t>
      </w:r>
      <w:r>
        <w:rPr>
          <w:rFonts w:ascii="Times New Roman" w:cs="Times New Roman" w:eastAsia="Times New Roman" w:hAnsi="Times New Roman"/>
          <w:sz w:val="17"/>
          <w:szCs w:val="17"/>
          <w:color w:val="auto"/>
        </w:rPr>
        <w:t>” means the Compensation Committee of the Board, provided that it is comprised solely of independent directors or, in the absence of such committee, a majority of independent directors serving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989965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2" w:name="page203"/>
    <w:bookmarkEnd w:id="202"/>
    <w:p>
      <w:pPr>
        <w:ind w:left="520" w:right="20" w:hanging="324"/>
        <w:spacing w:after="0" w:line="256"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Covered Person</w:t>
      </w:r>
      <w:r>
        <w:rPr>
          <w:rFonts w:ascii="Times New Roman" w:cs="Times New Roman" w:eastAsia="Times New Roman" w:hAnsi="Times New Roman"/>
          <w:sz w:val="18"/>
          <w:szCs w:val="18"/>
          <w:color w:val="auto"/>
        </w:rPr>
        <w:t>” means any person who is currently or was previously designated as an “officer” of the Company as defined in Rule 16a-1(f) under the Exchange Act and any other person designated by the Board or the Compensation Committee as being subject to this Policy. For the avoidance of doubt, the identification of an executive officer for purposes of this Policy shall include each executive officer who is or was identified pursuant to Item 401(b) of Regulation S-K, as well as the principal financial officer and principal accounting officer (or, if there is no principal accounting officer, the controller). Executive officers of affiliates of the Company may be deemed executive officers of the Company if they perform such policy making functions for the Company.</w:t>
      </w:r>
    </w:p>
    <w:p>
      <w:pPr>
        <w:spacing w:after="0" w:line="184" w:lineRule="exact"/>
        <w:rPr>
          <w:rFonts w:ascii="Times New Roman" w:cs="Times New Roman" w:eastAsia="Times New Roman" w:hAnsi="Times New Roman"/>
          <w:sz w:val="18"/>
          <w:szCs w:val="18"/>
          <w:color w:val="auto"/>
        </w:rPr>
      </w:pPr>
    </w:p>
    <w:p>
      <w:pPr>
        <w:ind w:left="5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person’s status as a Covered Person with respect to Erroneously Awarded Compensation shall be determined as of the time of receipt of such Erroneously Awarded Compensation regardless of the person’s role or status with the Company at the time the Erroneously Awarded Compensation is required to be recovered in accordance with this Policy (e.g., if a person began service as an executive officer after the beginning of an Applicable Recovery Period, that person would not be considered a Covered Person with respect to Erroneously Awarded Compensation Received before the person began service as an executive officer, but the person would be considered a Covered Person with respect to Erroneously Awarded Compensation Received after they began service as an executive officer where such person served as an executive officer at any time during the performance period for such Erroneously Awarded Compensation).</w:t>
      </w:r>
    </w:p>
    <w:p>
      <w:pPr>
        <w:spacing w:after="0" w:line="189" w:lineRule="exact"/>
        <w:rPr>
          <w:rFonts w:ascii="Times New Roman" w:cs="Times New Roman" w:eastAsia="Times New Roman" w:hAnsi="Times New Roman"/>
          <w:sz w:val="18"/>
          <w:szCs w:val="18"/>
          <w:color w:val="auto"/>
        </w:rPr>
      </w:pPr>
    </w:p>
    <w:p>
      <w:pPr>
        <w:ind w:left="520" w:hanging="324"/>
        <w:spacing w:after="0"/>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means October 2, 2023.</w:t>
      </w:r>
    </w:p>
    <w:p>
      <w:pPr>
        <w:spacing w:after="0" w:line="225" w:lineRule="exact"/>
        <w:rPr>
          <w:rFonts w:ascii="Times New Roman" w:cs="Times New Roman" w:eastAsia="Times New Roman" w:hAnsi="Times New Roman"/>
          <w:sz w:val="18"/>
          <w:szCs w:val="18"/>
          <w:color w:val="auto"/>
        </w:rPr>
      </w:pPr>
    </w:p>
    <w:p>
      <w:pPr>
        <w:ind w:left="520" w:hanging="324"/>
        <w:spacing w:after="0" w:line="253"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Erroneously Awarded Compensation</w:t>
      </w:r>
      <w:r>
        <w:rPr>
          <w:rFonts w:ascii="Times New Roman" w:cs="Times New Roman" w:eastAsia="Times New Roman" w:hAnsi="Times New Roman"/>
          <w:sz w:val="18"/>
          <w:szCs w:val="18"/>
          <w:color w:val="auto"/>
        </w:rPr>
        <w:t>” means the amount of any Incentive Compensation Received by a Covered Person on or after the Effective Date, and during the Applicable Recovery Period, which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 Compensation was Received, and the Company shall maintain documentation of the determination of such reasonable estimate and provide such documentation to the Exchange in accordance with the Applicable Rules. For purposes of this Policy, Incentive Compensation is deemed Received when the Financial Reporting Measure is attained, even if the payment or grant of such Incentive Compensation occurs after the end of that period.</w:t>
      </w:r>
    </w:p>
    <w:p>
      <w:pPr>
        <w:spacing w:after="0" w:line="191" w:lineRule="exact"/>
        <w:rPr>
          <w:rFonts w:ascii="Times New Roman" w:cs="Times New Roman" w:eastAsia="Times New Roman" w:hAnsi="Times New Roman"/>
          <w:sz w:val="18"/>
          <w:szCs w:val="18"/>
          <w:color w:val="auto"/>
        </w:rPr>
      </w:pPr>
    </w:p>
    <w:p>
      <w:pPr>
        <w:ind w:left="520" w:hanging="324"/>
        <w:spacing w:after="0"/>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means The Nasdaq Stock Market LLC.</w:t>
      </w:r>
    </w:p>
    <w:p>
      <w:pPr>
        <w:spacing w:after="0" w:line="225" w:lineRule="exact"/>
        <w:rPr>
          <w:rFonts w:ascii="Times New Roman" w:cs="Times New Roman" w:eastAsia="Times New Roman" w:hAnsi="Times New Roman"/>
          <w:sz w:val="18"/>
          <w:szCs w:val="18"/>
          <w:color w:val="auto"/>
        </w:rPr>
      </w:pPr>
    </w:p>
    <w:p>
      <w:pPr>
        <w:ind w:left="520" w:right="200" w:hanging="324"/>
        <w:spacing w:after="0" w:line="258"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that are derived wholly or in part from such measures (including, for example, a non-GAAP financial measure). For the purposes of this Policy, stock price and total shareholder return (and any measures that are derived wholly or in part from stock price or total shareholder return) shall be considered Financial Reporting Measures.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3"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9" w:right="999" w:bottom="1440" w:gutter="0" w:footer="0" w:header="0"/>
        </w:sectPr>
      </w:pPr>
    </w:p>
    <w:bookmarkStart w:id="203" w:name="page204"/>
    <w:bookmarkEnd w:id="203"/>
    <w:p>
      <w:pPr>
        <w:ind w:left="980" w:right="80" w:hanging="324"/>
        <w:spacing w:after="0" w:line="258"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Restatement</w:t>
      </w:r>
      <w:r>
        <w:rPr>
          <w:rFonts w:ascii="Times New Roman" w:cs="Times New Roman" w:eastAsia="Times New Roman" w:hAnsi="Times New Roman"/>
          <w:sz w:val="18"/>
          <w:szCs w:val="18"/>
          <w:color w:val="auto"/>
        </w:rPr>
        <w: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83" w:lineRule="exact"/>
        <w:rPr>
          <w:rFonts w:ascii="Times New Roman" w:cs="Times New Roman" w:eastAsia="Times New Roman" w:hAnsi="Times New Roman"/>
          <w:sz w:val="18"/>
          <w:szCs w:val="18"/>
          <w:color w:val="auto"/>
        </w:rPr>
      </w:pPr>
    </w:p>
    <w:p>
      <w:pPr>
        <w:ind w:left="980" w:right="80" w:hanging="324"/>
        <w:spacing w:after="0" w:line="315" w:lineRule="auto"/>
        <w:tabs>
          <w:tab w:leader="none" w:pos="98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Incentive Compensation</w:t>
      </w:r>
      <w:r>
        <w:rPr>
          <w:rFonts w:ascii="Times New Roman" w:cs="Times New Roman" w:eastAsia="Times New Roman" w:hAnsi="Times New Roman"/>
          <w:sz w:val="17"/>
          <w:szCs w:val="17"/>
          <w:color w:val="auto"/>
        </w:rPr>
        <w:t>” means any compensation provided, directly or indirectly, by the Company or any of its affiliates that is granted, earned or vested based, in whole or in part, upon the attainment of a Financial Reporting Measure.</w:t>
      </w:r>
    </w:p>
    <w:p>
      <w:pPr>
        <w:spacing w:after="0" w:line="134" w:lineRule="exact"/>
        <w:rPr>
          <w:rFonts w:ascii="Times New Roman" w:cs="Times New Roman" w:eastAsia="Times New Roman" w:hAnsi="Times New Roman"/>
          <w:sz w:val="17"/>
          <w:szCs w:val="17"/>
          <w:color w:val="auto"/>
        </w:rPr>
      </w:pPr>
    </w:p>
    <w:p>
      <w:pPr>
        <w:ind w:left="980" w:right="20" w:hanging="324"/>
        <w:spacing w:after="0" w:line="261"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Recovery Arrangements</w:t>
      </w:r>
      <w:r>
        <w:rPr>
          <w:rFonts w:ascii="Times New Roman" w:cs="Times New Roman" w:eastAsia="Times New Roman" w:hAnsi="Times New Roman"/>
          <w:sz w:val="18"/>
          <w:szCs w:val="18"/>
          <w:color w:val="auto"/>
        </w:rPr>
        <w:t>” means all remedies or rights of recoupment that may be available to the Company or its affiliates under applicable law, regulation or rule, or pursuant to the terms of any policy of the Company or its affiliates, any provision in any employment agreement, equity award agreement or compensatory plan, agreement or other arrangement or required under applicable law.</w:t>
      </w:r>
    </w:p>
    <w:p>
      <w:pPr>
        <w:spacing w:after="0" w:line="179"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“Received” </w:t>
      </w:r>
      <w:r>
        <w:rPr>
          <w:rFonts w:ascii="Times New Roman" w:cs="Times New Roman" w:eastAsia="Times New Roman" w:hAnsi="Times New Roman"/>
          <w:sz w:val="18"/>
          <w:szCs w:val="18"/>
          <w:color w:val="auto"/>
        </w:rPr>
        <w:t>means, with respect to any Incentive Compensation, actual or deemed receipt, and Incentive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deemed received on the date upon which the Financial Reporting Measure specified for such Incentive Compensation award is attained, even if the payment or grant of the Incentive Compensation to the Covered Person occurs after that date.</w:t>
      </w:r>
    </w:p>
    <w:p>
      <w:pPr>
        <w:spacing w:after="0" w:line="179"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Restatement Date</w:t>
      </w:r>
      <w:r>
        <w:rPr>
          <w:rFonts w:ascii="Times New Roman" w:cs="Times New Roman" w:eastAsia="Times New Roman" w:hAnsi="Times New Roman"/>
          <w:sz w:val="18"/>
          <w:szCs w:val="18"/>
          <w:color w:val="auto"/>
        </w:rPr>
        <w:t>” means, with respect to a Financial Restatement, the earlier to occur of: (i) the date the Board or the Audit Committee concludes, or reasonably should have concluded, that the Company is required to prepare the Financial Restatement or (ii) the date a court, regulator or other legally authorized body directs the Company to prepare the Financial Restatement.</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Exception to Compensation Recovery Requirement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may elect not to recover Erroneously Awarded Compensation pursuant to this Policy if the Committee determines that recovery would be impracticable,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one or more of the following conditions, together with any further requirements set forth in the Applicable Rules, are met:</w:t>
      </w:r>
    </w:p>
    <w:p>
      <w:pPr>
        <w:spacing w:after="0" w:line="176" w:lineRule="exact"/>
        <w:rPr>
          <w:sz w:val="20"/>
          <w:szCs w:val="20"/>
          <w:color w:val="auto"/>
        </w:rPr>
      </w:pPr>
    </w:p>
    <w:p>
      <w:pPr>
        <w:ind w:left="1300" w:right="60" w:hanging="644"/>
        <w:spacing w:after="0" w:line="261"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(including outside legal counsel) to assist in enforcing this Policy would exceed the amount to be recovered, and the Company has already made a reasonable attempt to recover such Erroneously Awarded Compensation, has documented such reasonable attempt, and has provided such documentation to the Exchange;</w:t>
      </w:r>
    </w:p>
    <w:p>
      <w:pPr>
        <w:spacing w:after="0" w:line="179" w:lineRule="exact"/>
        <w:rPr>
          <w:rFonts w:ascii="Times New Roman" w:cs="Times New Roman" w:eastAsia="Times New Roman" w:hAnsi="Times New Roman"/>
          <w:sz w:val="18"/>
          <w:szCs w:val="18"/>
          <w:color w:val="auto"/>
        </w:rPr>
      </w:pPr>
    </w:p>
    <w:p>
      <w:pPr>
        <w:ind w:left="1300" w:right="220" w:hanging="644"/>
        <w:spacing w:after="0" w:line="258"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cause the Company to violate the Company’s home country law where that law was adopted prior to November 28, 2022 and, before determining that it would be impracticable to recover any amount of Erroneously Awarded Compensation based on violation of home country law, the Company obtains an opinion of home country counsel, acceptable to the relevant listing exchange or association, that recovery would result in such violation and provides such opinion to the relevant listing exchange or association; or</w:t>
      </w:r>
    </w:p>
    <w:p>
      <w:pPr>
        <w:spacing w:after="0" w:line="183"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that is available generally to employees of the Company to fail to be so qualified under applicable provisions of the Internal Revenue Code of 1986, as amended, and its regulations.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4920" w:hanging="106"/>
        <w:spacing w:after="0"/>
        <w:tabs>
          <w:tab w:leader="none" w:pos="49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04" w:name="page205"/>
    <w:bookmarkEnd w:id="204"/>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Considerations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Method of Recoupment</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shall determine, in its sole discretion, the method for recovering Erroneously Awarded Compensation hereunder based on the particular facts and circumstances applicable to a Covered Person, which may include, without limitation, any one or more of the following:</w:t>
      </w:r>
    </w:p>
    <w:p>
      <w:pPr>
        <w:spacing w:after="0" w:line="176" w:lineRule="exact"/>
        <w:rPr>
          <w:sz w:val="20"/>
          <w:szCs w:val="20"/>
          <w:color w:val="auto"/>
        </w:rPr>
      </w:pPr>
    </w:p>
    <w:p>
      <w:pPr>
        <w:ind w:left="1300" w:hanging="320"/>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 Compensation previously paid;</w:t>
      </w:r>
    </w:p>
    <w:p>
      <w:pPr>
        <w:spacing w:after="0" w:line="225"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161"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recouped amount against any compensation otherwise owed but unpaid by the Company to the Covered Person;</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rescinding some or all outstanding vested or unvested equity-based awards;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offsetting against planned future grants of equity-based awards;</w:t>
      </w:r>
    </w:p>
    <w:p>
      <w:pPr>
        <w:spacing w:after="0" w:line="225" w:lineRule="exact"/>
        <w:rPr>
          <w:rFonts w:ascii="Times New Roman" w:cs="Times New Roman" w:eastAsia="Times New Roman" w:hAnsi="Times New Roman"/>
          <w:sz w:val="18"/>
          <w:szCs w:val="18"/>
          <w:color w:val="auto"/>
        </w:rPr>
      </w:pPr>
    </w:p>
    <w:p>
      <w:pPr>
        <w:jc w:val="both"/>
        <w:ind w:left="1300" w:right="220" w:hanging="320"/>
        <w:spacing w:after="0" w:line="266"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Covered Person has already reimbursed the Company for any Erroneously Awarded Compensation Received under any duplicative recovery obligations or applicable law, crediting any such reimbursed amount to the amount of Erroneously Awarded Compensation subject to recovery;</w:t>
      </w:r>
    </w:p>
    <w:p>
      <w:pPr>
        <w:spacing w:after="0" w:line="175"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Covered Person fails to repay all Erroneously Awarded Compensation to the Company when due, requiring the Covered Person to reimburse the Company for any and all expenses reasonably incurred (including legal fees) by the Company in recovering such Erroneously Awarded Compensation; and/or</w:t>
      </w:r>
    </w:p>
    <w:p>
      <w:pPr>
        <w:spacing w:after="0" w:line="175"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remedial and recovery action permitted by applicable law, contract or as determined by the Compensation Committee.</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Policy shall be interpreted in a manner that is consistent with the Applicable Rules and any other applicable law. The Compensation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 Compensation in additional circumstances besides those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205" w:name="page206"/>
    <w:bookmarkEnd w:id="205"/>
    <w:p>
      <w:pPr>
        <w:ind w:right="300"/>
        <w:spacing w:after="0" w:line="282" w:lineRule="auto"/>
        <w:rPr>
          <w:sz w:val="20"/>
          <w:szCs w:val="20"/>
          <w:color w:val="auto"/>
        </w:rPr>
      </w:pPr>
      <w:r>
        <w:rPr>
          <w:rFonts w:ascii="Times New Roman" w:cs="Times New Roman" w:eastAsia="Times New Roman" w:hAnsi="Times New Roman"/>
          <w:sz w:val="18"/>
          <w:szCs w:val="18"/>
          <w:color w:val="auto"/>
        </w:rPr>
        <w:t>specified above, nothing in this Policy shall be deemed to limit or restrict the right or obligation of the Company to recover Incentive Compensation to the fullest extent required by the Applicable Rules.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VIII.</w:t>
        <w:tab/>
        <w:t>Administration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Policy shall be administered by the Compensation Committee; provided, however, that the Board or the Audit Committee shall have exclusive authority to authorize the Company to prepare a Financial Restatement. In doing so, the Board may rely on a recommendation of the Audit Committee of the Board. The Compensation Committee shall have such powers and authorities related to the administration of this Policy as are consistent with the governing documents of the Company and applicable law. The Compensation Committee shall have full power and authority to take, or direct the taking of, (i) all actions and to make all determinations required or provided for under this Policy and (ii) all such other actions and make all such other determinations not inconsistent with the specific terms and provisions of this Policy that the Compensation Committee deems to be necessary or appropriate to the administration of this Policy. The interpretation and construction by the Compensation Committee of any provision of this Policy and all determinations made by the Compensation Committee under this Policy shall be final, binding and conclusive.</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color w:val="auto"/>
        </w:rPr>
        <w:t>Prohibition of Indemnification</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set forth in any agreement with, or the organizational documents of, the Company or any of its affiliates, Covered Persons are not entitled to indemnification for Erroneously Awarded Compensation or for any losses arising out of or in any way related to Erroneously Awarded Compensation recovered under this Policy, or the Company’s enforcement of this Policy. The Company shall not enter into any agreement that exempts from the application of this Policy any Incentive Compensation that is granted, paid or awarded to a Covered Person or that waives the Company’s right to recovery of any Erroneously Awarded Compensation, and this Policy shall supersede any such agreement (whether entered into before, on or after the Effective Date of this Policy).</w:t>
      </w:r>
    </w:p>
    <w:p>
      <w:pPr>
        <w:spacing w:after="0" w:line="185"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Recoupment Rights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Any right of recoupment under this Policy is in addition to, and not in lieu of, any Other Recovery Arrangements. Any employment agreement, equity award agreement, compensatory plan or any other agreement or arrangement with a Covered Person shall be deemed to include, as a condition to the grant of any benefit thereunder, an agreement by the Covered Person to abide by the terms of this Policy.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Persons and, to the extent required by applicable law, rule or guidance from the SEC or the Exchange, their beneficiaries, heirs, executors, administrators, or other legal representatives.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06" w:name="page207"/>
    <w:bookmarkEnd w:id="20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XIII.</w:t>
        <w:tab/>
        <w:t>Prior Policy Superseded</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Effective as of the Effective Date, this Policy supersedes and replaces in its entirety the Policy for Recoupment of Incentive Compensation previously adopted by the Board that became effective as of December 4, 2019 (the “</w:t>
      </w:r>
      <w:r>
        <w:rPr>
          <w:rFonts w:ascii="Times New Roman" w:cs="Times New Roman" w:eastAsia="Times New Roman" w:hAnsi="Times New Roman"/>
          <w:sz w:val="18"/>
          <w:szCs w:val="18"/>
          <w:u w:val="single" w:color="auto"/>
          <w:color w:val="auto"/>
        </w:rPr>
        <w:t>Prior Policy</w:t>
      </w:r>
      <w:r>
        <w:rPr>
          <w:rFonts w:ascii="Times New Roman" w:cs="Times New Roman" w:eastAsia="Times New Roman" w:hAnsi="Times New Roman"/>
          <w:sz w:val="18"/>
          <w:szCs w:val="18"/>
          <w:color w:val="auto"/>
        </w:rPr>
        <w:t>”), solely with respect to Incentive Compensation Received on or after the Effective Date. The Prior Policy remains in full force and effect, however, with respect to incentive compensation (as defined in such Prior Policy) Received prior to the Effective Date of this Policy.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XIV.</w:t>
        <w:tab/>
        <w:t>Amendment; Termination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Board or the Compensation Committee may amend or terminate this Policy at any time, provided that any such amendment or termination of this Policy will not (after taking into account any actions taken by the Company contemporaneously with such amendment or termination) cause the Company to violate any federal securities laws, SEC rule or Nasdaq Rule.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December 1,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207" w:name="page208"/>
    <w:bookmarkEnd w:id="20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FORM OF ACKNOWLEDGMENT AGREEMENT PERTAINING TO THE BLUEPRINT MEDICINES CORPORATION POLICY FOR RECOUPMENT OF ERRONEOUSLY AWARDED COMPENSATION</w:t>
      </w:r>
    </w:p>
    <w:p>
      <w:pPr>
        <w:spacing w:after="0" w:line="17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consideration of, and as a condition to, the receipt of future cash and equity incentive compensation from Blueprint Medicines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_____________ (“</w:t>
      </w:r>
      <w:r>
        <w:rPr>
          <w:rFonts w:ascii="Times New Roman" w:cs="Times New Roman" w:eastAsia="Times New Roman" w:hAnsi="Times New Roman"/>
          <w:sz w:val="18"/>
          <w:szCs w:val="18"/>
          <w:i w:val="1"/>
          <w:iCs w:val="1"/>
          <w:color w:val="auto"/>
        </w:rPr>
        <w:t>Covered Person</w:t>
      </w:r>
      <w:r>
        <w:rPr>
          <w:rFonts w:ascii="Times New Roman" w:cs="Times New Roman" w:eastAsia="Times New Roman" w:hAnsi="Times New Roman"/>
          <w:sz w:val="18"/>
          <w:szCs w:val="18"/>
          <w:color w:val="auto"/>
        </w:rPr>
        <w:t>”) and the Company are entering into this Acknowledgement Agreement.</w:t>
      </w:r>
    </w:p>
    <w:p>
      <w:pPr>
        <w:spacing w:after="0" w:line="176" w:lineRule="exact"/>
        <w:rPr>
          <w:sz w:val="20"/>
          <w:szCs w:val="20"/>
          <w:color w:val="auto"/>
        </w:rPr>
      </w:pPr>
    </w:p>
    <w:p>
      <w:pPr>
        <w:ind w:left="660" w:right="80" w:hanging="328"/>
        <w:spacing w:after="0" w:line="272" w:lineRule="auto"/>
        <w:tabs>
          <w:tab w:leader="none" w:pos="66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Covered Person agrees that any and all incentive compensation received by Covered Person may be subject to reduction, cancellation, forfeiture and/or recoupment to the extent necessary to comply with (a) the Policy for Recoupment of Erroneously Awarded Compensation adopted by the Board of Directors of the Company (as amended from time to time, the “</w:t>
      </w:r>
      <w:r>
        <w:rPr>
          <w:rFonts w:ascii="Times New Roman" w:cs="Times New Roman" w:eastAsia="Times New Roman" w:hAnsi="Times New Roman"/>
          <w:sz w:val="17"/>
          <w:szCs w:val="17"/>
          <w:i w:val="1"/>
          <w:iCs w:val="1"/>
          <w:color w:val="auto"/>
        </w:rPr>
        <w:t>Policy</w:t>
      </w:r>
      <w:r>
        <w:rPr>
          <w:rFonts w:ascii="Times New Roman" w:cs="Times New Roman" w:eastAsia="Times New Roman" w:hAnsi="Times New Roman"/>
          <w:sz w:val="17"/>
          <w:szCs w:val="17"/>
          <w:color w:val="auto"/>
        </w:rPr>
        <w:t>”), and</w:t>
      </w:r>
    </w:p>
    <w:p>
      <w:pPr>
        <w:spacing w:after="0" w:line="1" w:lineRule="exact"/>
        <w:rPr>
          <w:rFonts w:ascii="Times New Roman" w:cs="Times New Roman" w:eastAsia="Times New Roman" w:hAnsi="Times New Roman"/>
          <w:sz w:val="17"/>
          <w:szCs w:val="17"/>
          <w:color w:val="auto"/>
        </w:rPr>
      </w:pPr>
    </w:p>
    <w:p>
      <w:pPr>
        <w:ind w:left="660" w:right="10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Other Recovery Arrangements (as defined in the Policy). Covered Person acknowledges that Covered Person has received and has had an opportunity to review the Policy and any Other Recovery Arrangements applicable to Covered Person.</w:t>
      </w:r>
    </w:p>
    <w:p>
      <w:pPr>
        <w:spacing w:after="0" w:line="157"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Person acknowledges and agrees to the terms of the Policy and any Other Recovery Arrangements, including that any incentive compensation received by Covered Person shall be subject to and conditioned upon the provisions of the Policy and any Other Recovery Arrangements applicable to Covered Person.</w:t>
      </w:r>
    </w:p>
    <w:p>
      <w:pPr>
        <w:spacing w:after="0" w:line="175"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Person further acknowledges and agrees that Covered Person is not entitled to indemnification in connection with any enforcement of the Policy or any Other Recovery Arrangements applicable to Covered Person (including, without limitation, any reduction, cancellation, forfeiture or recoupment of any incentive compensation that Covered Person has received or to which Covered Person may become entitled).</w:t>
      </w:r>
    </w:p>
    <w:p>
      <w:pPr>
        <w:spacing w:after="0" w:line="179" w:lineRule="exact"/>
        <w:rPr>
          <w:rFonts w:ascii="Times New Roman" w:cs="Times New Roman" w:eastAsia="Times New Roman" w:hAnsi="Times New Roman"/>
          <w:sz w:val="18"/>
          <w:szCs w:val="18"/>
          <w:color w:val="auto"/>
        </w:rPr>
      </w:pPr>
    </w:p>
    <w:p>
      <w:pPr>
        <w:jc w:val="both"/>
        <w:ind w:left="660" w:right="300" w:hanging="328"/>
        <w:spacing w:after="0" w:line="261"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Person agrees to take all actions requested by the Company to enable or facilitate the enforcement of the Policy and any Other Recovery Arrangements applicable to Covered Person (including, without limitation, any reduction, cancellation, forfeiture or recoupment of any incentive compensation that Covered Person has received or to which Covered Person may become entitled).</w:t>
      </w:r>
    </w:p>
    <w:p>
      <w:pPr>
        <w:spacing w:after="0" w:line="179"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recovery right under the Policy and any Other Recovery Arrangements applicable to Covered Person conflicts with any other contractual rights Covered Person may have with the Company or any affiliate, Covered Person understands that the terms of the Policy and the Other Recovery Arrangements supersede any such contractual rights. Covered Person agrees that no recovery of incentive compensation under the Policy and the Other Recovery Arrangements will be an event that triggers or contributes to any right of Covered Person to resign for “good reason” or “constructive termination” (or similar term under any agreement with the Company or any of its affiliates).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8" w:name="page209"/>
    <w:bookmarkEnd w:id="208"/>
    <w:p>
      <w:pPr>
        <w:ind w:left="340"/>
        <w:spacing w:after="0"/>
        <w:rPr>
          <w:sz w:val="20"/>
          <w:szCs w:val="20"/>
          <w:color w:val="auto"/>
        </w:rPr>
      </w:pPr>
      <w:r>
        <w:rPr>
          <w:rFonts w:ascii="Times New Roman" w:cs="Times New Roman" w:eastAsia="Times New Roman" w:hAnsi="Times New Roman"/>
          <w:sz w:val="17"/>
          <w:szCs w:val="17"/>
          <w:color w:val="auto"/>
        </w:rPr>
        <w:t>IN WITNESS WHEREOF, the parties have executed this Acknowledgement Agreement as of the date of the last signature hereto.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5114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5114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5114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5114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5114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5114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5114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914400</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14605</wp:posOffset>
            </wp:positionV>
            <wp:extent cx="25114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sectPr>
      <w:pgSz w:w="11900" w:h="16838" w:orient="portrait"/>
      <w:cols w:equalWidth="0" w:num="1">
        <w:col w:w="9700"/>
      </w:cols>
      <w:pgMar w:left="98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1)"/>
      <w:numFmt w:val="lowerLetter"/>
      <w:start w:val="2"/>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lvl w:ilvl="1">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1)"/>
      <w:numFmt w:val="lowerRoman"/>
      <w:start w:val="3"/>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
      <w:numFmt w:val="bullet"/>
      <w:start w:val="1"/>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
      <w:numFmt w:val="bullet"/>
      <w:start w:val="1"/>
    </w:lvl>
  </w:abstractNum>
  <w:abstractNum w:abstractNumId="47">
    <w:nsid w:val="71EA1109"/>
    <w:multiLevelType w:val="hybridMultilevel"/>
    <w:lvl w:ilvl="0">
      <w:lvlJc w:val="left"/>
      <w:lvlText w:val="●"/>
      <w:numFmt w:val="bullet"/>
      <w:start w:val="1"/>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1)"/>
      <w:numFmt w:val="lowerRoman"/>
      <w:start w:val="1"/>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
      <w:numFmt w:val="bullet"/>
      <w:start w:val="1"/>
    </w:lvl>
  </w:abstractNum>
  <w:abstractNum w:abstractNumId="52">
    <w:nsid w:val="94211F2"/>
    <w:multiLevelType w:val="hybridMultilevel"/>
    <w:lvl w:ilvl="0">
      <w:lvlJc w:val="left"/>
      <w:lvlText w:val="(%1)"/>
      <w:numFmt w:val="decimal"/>
      <w:start w:val="1"/>
    </w:lvl>
  </w:abstractNum>
  <w:abstractNum w:abstractNumId="53">
    <w:nsid w:val="885E1B"/>
    <w:multiLevelType w:val="hybridMultilevel"/>
    <w:lvl w:ilvl="0">
      <w:lvlJc w:val="left"/>
      <w:lvlText w:val="(%1)"/>
      <w:numFmt w:val="decimal"/>
      <w:start w:val="3"/>
    </w:lvl>
  </w:abstractNum>
  <w:abstractNum w:abstractNumId="54">
    <w:nsid w:val="76272110"/>
    <w:multiLevelType w:val="hybridMultilevel"/>
    <w:lvl w:ilvl="0">
      <w:lvlJc w:val="left"/>
      <w:lvlText w:val="~"/>
      <w:numFmt w:val="bullet"/>
      <w:start w:val="1"/>
    </w:lvl>
  </w:abstractNum>
  <w:abstractNum w:abstractNumId="55">
    <w:nsid w:val="4C04A8AF"/>
    <w:multiLevelType w:val="hybridMultilevel"/>
    <w:lvl w:ilvl="0">
      <w:lvlJc w:val="left"/>
      <w:lvlText w:val="†"/>
      <w:numFmt w:val="bullet"/>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1)"/>
      <w:numFmt w:val="lowerRoman"/>
      <w:start w:val="1"/>
    </w:lvl>
  </w:abstractNum>
  <w:abstractNum w:abstractNumId="61">
    <w:nsid w:val="2DF6D648"/>
    <w:multiLevelType w:val="hybridMultilevel"/>
    <w:lvl w:ilvl="0">
      <w:lvlJc w:val="left"/>
      <w:lvlText w:val="(%1)"/>
      <w:numFmt w:val="decimal"/>
      <w:start w:val="1"/>
    </w:lvl>
  </w:abstractNum>
  <w:abstractNum w:abstractNumId="62">
    <w:nsid w:val="46B7D447"/>
    <w:multiLevelType w:val="hybridMultilevel"/>
    <w:lvl w:ilvl="0">
      <w:lvlJc w:val="left"/>
      <w:lvlText w:val="%1."/>
      <w:numFmt w:val="upperLetter"/>
      <w:start w:val="1"/>
    </w:lvl>
  </w:abstractNum>
  <w:abstractNum w:abstractNumId="63">
    <w:nsid w:val="4A2AC315"/>
    <w:multiLevelType w:val="hybridMultilevel"/>
    <w:lvl w:ilvl="0">
      <w:lvlJc w:val="left"/>
      <w:lvlText w:val="%1."/>
      <w:numFmt w:val="upperLetter"/>
      <w:start w:val="2"/>
    </w:lvl>
  </w:abstractNum>
  <w:abstractNum w:abstractNumId="64">
    <w:nsid w:val="39EE015C"/>
    <w:multiLevelType w:val="hybridMultilevel"/>
    <w:lvl w:ilvl="0">
      <w:lvlJc w:val="left"/>
      <w:lvlText w:val="%1."/>
      <w:numFmt w:val="decimal"/>
      <w:start w:val="1"/>
    </w:lvl>
  </w:abstractNum>
  <w:abstractNum w:abstractNumId="65">
    <w:nsid w:val="57FC4FBB"/>
    <w:multiLevelType w:val="hybridMultilevel"/>
    <w:lvl w:ilvl="0">
      <w:lvlJc w:val="left"/>
      <w:lvlText w:val="·"/>
      <w:numFmt w:val="bullet"/>
      <w:start w:val="1"/>
    </w:lvl>
  </w:abstractNum>
  <w:abstractNum w:abstractNumId="66">
    <w:nsid w:val="CC1016F"/>
    <w:multiLevelType w:val="hybridMultilevel"/>
    <w:lvl w:ilvl="0">
      <w:lvlJc w:val="left"/>
      <w:lvlText w:val="·"/>
      <w:numFmt w:val="bullet"/>
      <w:start w:val="1"/>
    </w:lvl>
  </w:abstractNum>
  <w:abstractNum w:abstractNumId="67">
    <w:nsid w:val="43F18422"/>
    <w:multiLevelType w:val="hybridMultilevel"/>
    <w:lvl w:ilvl="0">
      <w:lvlJc w:val="left"/>
      <w:lvlText w:val="%1."/>
      <w:numFmt w:val="decimal"/>
      <w:start w:val="2"/>
    </w:lvl>
  </w:abstractNum>
  <w:abstractNum w:abstractNumId="68">
    <w:nsid w:val="60EF0119"/>
    <w:multiLevelType w:val="hybridMultilevel"/>
    <w:lvl w:ilvl="0">
      <w:lvlJc w:val="left"/>
      <w:lvlText w:val="●"/>
      <w:numFmt w:val="bullet"/>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1."/>
      <w:numFmt w:val="decimal"/>
      <w:start w:val="3"/>
    </w:lvl>
  </w:abstractNum>
  <w:abstractNum w:abstractNumId="71">
    <w:nsid w:val="49DA307D"/>
    <w:multiLevelType w:val="hybridMultilevel"/>
    <w:lvl w:ilvl="0">
      <w:lvlJc w:val="left"/>
      <w:lvlText w:val="%1."/>
      <w:numFmt w:val="decimal"/>
      <w:start w:val="4"/>
    </w:lvl>
  </w:abstractNum>
  <w:abstractNum w:abstractNumId="72">
    <w:nsid w:val="7055A5F5"/>
    <w:multiLevelType w:val="hybridMultilevel"/>
    <w:lvl w:ilvl="0">
      <w:lvlJc w:val="left"/>
      <w:lvlText w:val="%1."/>
      <w:numFmt w:val="upperLetter"/>
      <w:start w:val="3"/>
    </w:lvl>
  </w:abstractNum>
  <w:abstractNum w:abstractNumId="73">
    <w:nsid w:val="5FB8370B"/>
    <w:multiLevelType w:val="hybridMultilevel"/>
    <w:lvl w:ilvl="0">
      <w:lvlJc w:val="left"/>
      <w:lvlText w:val="%1."/>
      <w:numFmt w:val="upperLetter"/>
      <w:start w:val="4"/>
    </w:lvl>
  </w:abstractNum>
  <w:abstractNum w:abstractNumId="74">
    <w:nsid w:val="50801EE1"/>
    <w:multiLevelType w:val="hybridMultilevel"/>
    <w:lvl w:ilvl="0">
      <w:lvlJc w:val="left"/>
      <w:lvlText w:val="·"/>
      <w:numFmt w:val="bullet"/>
      <w:start w:val="1"/>
    </w:lvl>
  </w:abstractNum>
  <w:abstractNum w:abstractNumId="75">
    <w:nsid w:val="488AC1A"/>
    <w:multiLevelType w:val="hybridMultilevel"/>
    <w:lvl w:ilvl="0">
      <w:lvlJc w:val="left"/>
      <w:lvlText w:val="%1."/>
      <w:numFmt w:val="upperLetter"/>
      <w:start w:val="5"/>
    </w:lvl>
  </w:abstractNum>
  <w:abstractNum w:abstractNumId="76">
    <w:nsid w:val="5FB8011C"/>
    <w:multiLevelType w:val="hybridMultilevel"/>
    <w:lvl w:ilvl="0">
      <w:lvlJc w:val="left"/>
      <w:lvlText w:val="·"/>
      <w:numFmt w:val="bullet"/>
      <w:start w:val="1"/>
    </w:lvl>
  </w:abstractNum>
  <w:abstractNum w:abstractNumId="77">
    <w:nsid w:val="6AA78F7F"/>
    <w:multiLevelType w:val="hybridMultilevel"/>
    <w:lvl w:ilvl="0">
      <w:lvlJc w:val="left"/>
      <w:lvlText w:val="%1."/>
      <w:numFmt w:val="upperLetter"/>
      <w:start w:val="6"/>
    </w:lvl>
  </w:abstractNum>
  <w:abstractNum w:abstractNumId="78">
    <w:nsid w:val="7672BD23"/>
    <w:multiLevelType w:val="hybridMultilevel"/>
    <w:lvl w:ilvl="0">
      <w:lvlJc w:val="left"/>
      <w:lvlText w:val="%1."/>
      <w:numFmt w:val="upperLetter"/>
      <w:start w:val="6"/>
    </w:lvl>
    <w:lvl w:ilvl="1">
      <w:lvlJc w:val="left"/>
      <w:lvlText w:val="·"/>
      <w:numFmt w:val="bullet"/>
      <w:start w:val="1"/>
    </w:lvl>
  </w:abstractNum>
  <w:abstractNum w:abstractNumId="79">
    <w:nsid w:val="6FC75AF8"/>
    <w:multiLevelType w:val="hybridMultilevel"/>
    <w:lvl w:ilvl="0">
      <w:lvlJc w:val="left"/>
      <w:lvlText w:val="%1."/>
      <w:numFmt w:val="upperLetter"/>
      <w:start w:val="8"/>
    </w:lvl>
  </w:abstractNum>
  <w:abstractNum w:abstractNumId="80">
    <w:nsid w:val="6A5F7029"/>
    <w:multiLevelType w:val="hybridMultilevel"/>
    <w:lvl w:ilvl="0">
      <w:lvlJc w:val="left"/>
      <w:lvlText w:val="%1."/>
      <w:numFmt w:val="upperLetter"/>
      <w:start w:val="1"/>
    </w:lvl>
  </w:abstractNum>
  <w:abstractNum w:abstractNumId="81">
    <w:nsid w:val="7D5E18F8"/>
    <w:multiLevelType w:val="hybridMultilevel"/>
    <w:lvl w:ilvl="0">
      <w:lvlJc w:val="left"/>
      <w:lvlText w:val="·"/>
      <w:numFmt w:val="bullet"/>
      <w:start w:val="1"/>
    </w:lvl>
  </w:abstractNum>
  <w:abstractNum w:abstractNumId="82">
    <w:nsid w:val="5F3534A4"/>
    <w:multiLevelType w:val="hybridMultilevel"/>
    <w:lvl w:ilvl="0">
      <w:lvlJc w:val="left"/>
      <w:lvlText w:val="1"/>
      <w:numFmt w:val="bullet"/>
      <w:start w:val="1"/>
    </w:lvl>
  </w:abstractNum>
  <w:abstractNum w:abstractNumId="83">
    <w:nsid w:val="73A1821B"/>
    <w:multiLevelType w:val="hybridMultilevel"/>
    <w:lvl w:ilvl="0">
      <w:lvlJc w:val="left"/>
      <w:lvlText w:val="%1."/>
      <w:numFmt w:val="upperLetter"/>
      <w:start w:val="2"/>
    </w:lvl>
  </w:abstractNum>
  <w:abstractNum w:abstractNumId="84">
    <w:nsid w:val="7DE67713"/>
    <w:multiLevelType w:val="hybridMultilevel"/>
    <w:lvl w:ilvl="0">
      <w:lvlJc w:val="left"/>
      <w:lvlText w:val="%1."/>
      <w:numFmt w:val="decimal"/>
      <w:start w:val="1"/>
    </w:lvl>
  </w:abstractNum>
  <w:abstractNum w:abstractNumId="85">
    <w:nsid w:val="555C55B5"/>
    <w:multiLevelType w:val="hybridMultilevel"/>
    <w:lvl w:ilvl="0">
      <w:lvlJc w:val="left"/>
      <w:lvlText w:val="%1."/>
      <w:numFmt w:val="decimal"/>
      <w:start w:val="2"/>
    </w:lvl>
  </w:abstractNum>
  <w:abstractNum w:abstractNumId="86">
    <w:nsid w:val="3FA62ACA"/>
    <w:multiLevelType w:val="hybridMultilevel"/>
    <w:lvl w:ilvl="0">
      <w:lvlJc w:val="left"/>
      <w:lvlText w:val="%1."/>
      <w:numFmt w:val="decimal"/>
      <w:start w:val="3"/>
    </w:lvl>
  </w:abstractNum>
  <w:abstractNum w:abstractNumId="87">
    <w:nsid w:val="14FCE74E"/>
    <w:multiLevelType w:val="hybridMultilevel"/>
    <w:lvl w:ilvl="0">
      <w:lvlJc w:val="left"/>
      <w:lvlText w:val="%1."/>
      <w:numFmt w:val="decimal"/>
      <w:start w:val="4"/>
    </w:lvl>
  </w:abstractNum>
  <w:abstractNum w:abstractNumId="88">
    <w:nsid w:val="6A3DD3E8"/>
    <w:multiLevelType w:val="hybridMultilevel"/>
    <w:lvl w:ilvl="0">
      <w:lvlJc w:val="left"/>
      <w:lvlText w:val="%1."/>
      <w:numFmt w:val="decimal"/>
      <w:start w:val="5"/>
    </w:lvl>
  </w:abstractNum>
  <w:abstractNum w:abstractNumId="89">
    <w:nsid w:val="71C91298"/>
    <w:multiLevelType w:val="hybridMultilevel"/>
    <w:lvl w:ilvl="0">
      <w:lvlJc w:val="left"/>
      <w:lvlText w:val="%1."/>
      <w:numFmt w:val="decimal"/>
      <w:start w:val="6"/>
    </w:lvl>
  </w:abstractNum>
  <w:abstractNum w:abstractNumId="90">
    <w:nsid w:val="9DAF632"/>
    <w:multiLevelType w:val="hybridMultilevel"/>
    <w:lvl w:ilvl="0">
      <w:lvlJc w:val="left"/>
      <w:lvlText w:val="%1."/>
      <w:numFmt w:val="decimal"/>
      <w:start w:val="7"/>
    </w:lvl>
  </w:abstractNum>
  <w:abstractNum w:abstractNumId="91">
    <w:nsid w:val="53299938"/>
    <w:multiLevelType w:val="hybridMultilevel"/>
    <w:lvl w:ilvl="0">
      <w:lvlJc w:val="left"/>
      <w:lvlText w:val="%1."/>
      <w:numFmt w:val="upperLetter"/>
      <w:start w:val="3"/>
    </w:lvl>
  </w:abstractNum>
  <w:abstractNum w:abstractNumId="92">
    <w:nsid w:val="1FBFE8E0"/>
    <w:multiLevelType w:val="hybridMultilevel"/>
    <w:lvl w:ilvl="0">
      <w:lvlJc w:val="left"/>
      <w:lvlText w:val="·"/>
      <w:numFmt w:val="bullet"/>
      <w:start w:val="1"/>
    </w:lvl>
  </w:abstractNum>
  <w:abstractNum w:abstractNumId="93">
    <w:nsid w:val="5092CA79"/>
    <w:multiLevelType w:val="hybridMultilevel"/>
    <w:lvl w:ilvl="0">
      <w:lvlJc w:val="left"/>
      <w:lvlText w:val="%1."/>
      <w:numFmt w:val="decimal"/>
      <w:start w:val="2"/>
    </w:lvl>
  </w:abstractNum>
  <w:abstractNum w:abstractNumId="94">
    <w:nsid w:val="1D545C4D"/>
    <w:multiLevelType w:val="hybridMultilevel"/>
    <w:lvl w:ilvl="0">
      <w:lvlJc w:val="left"/>
      <w:lvlText w:val="%1."/>
      <w:numFmt w:val="decimal"/>
      <w:start w:val="3"/>
    </w:lvl>
  </w:abstractNum>
  <w:abstractNum w:abstractNumId="95">
    <w:nsid w:val="59ADEA3D"/>
    <w:multiLevelType w:val="hybridMultilevel"/>
    <w:lvl w:ilvl="0">
      <w:lvlJc w:val="left"/>
      <w:lvlText w:val="%1."/>
      <w:numFmt w:val="decimal"/>
      <w:start w:val="4"/>
    </w:lvl>
  </w:abstractNum>
  <w:abstractNum w:abstractNumId="96">
    <w:nsid w:val="288F1A34"/>
    <w:multiLevelType w:val="hybridMultilevel"/>
    <w:lvl w:ilvl="0">
      <w:lvlJc w:val="left"/>
      <w:lvlText w:val="%1."/>
      <w:numFmt w:val="upperLetter"/>
      <w:start w:val="4"/>
    </w:lvl>
    <w:lvl w:ilvl="1">
      <w:lvlJc w:val="left"/>
      <w:lvlText w:val="%2."/>
      <w:numFmt w:val="decimal"/>
      <w:start w:val="1"/>
    </w:lvl>
  </w:abstractNum>
  <w:abstractNum w:abstractNumId="97">
    <w:nsid w:val="2A155DBC"/>
    <w:multiLevelType w:val="hybridMultilevel"/>
    <w:lvl w:ilvl="0">
      <w:lvlJc w:val="left"/>
      <w:lvlText w:val="·"/>
      <w:numFmt w:val="bullet"/>
      <w:start w:val="1"/>
    </w:lvl>
  </w:abstractNum>
  <w:abstractNum w:abstractNumId="98">
    <w:nsid w:val="1D9F6E5F"/>
    <w:multiLevelType w:val="hybridMultilevel"/>
    <w:lvl w:ilvl="0">
      <w:lvlJc w:val="left"/>
      <w:lvlText w:val="·"/>
      <w:numFmt w:val="bullet"/>
      <w:start w:val="1"/>
    </w:lvl>
  </w:abstractNum>
  <w:abstractNum w:abstractNumId="99">
    <w:nsid w:val="97E1B4E"/>
    <w:multiLevelType w:val="hybridMultilevel"/>
    <w:lvl w:ilvl="0">
      <w:lvlJc w:val="left"/>
      <w:lvlText w:val="%1."/>
      <w:numFmt w:val="decimal"/>
      <w:start w:val="2"/>
    </w:lvl>
  </w:abstractNum>
  <w:abstractNum w:abstractNumId="100">
    <w:nsid w:val="51088277"/>
    <w:multiLevelType w:val="hybridMultilevel"/>
    <w:lvl w:ilvl="0">
      <w:lvlJc w:val="left"/>
      <w:lvlText w:val="%1."/>
      <w:numFmt w:val="upperLetter"/>
      <w:start w:val="5"/>
    </w:lvl>
  </w:abstractNum>
  <w:abstractNum w:abstractNumId="101">
    <w:nsid w:val="1CA0C5FA"/>
    <w:multiLevelType w:val="hybridMultilevel"/>
    <w:lvl w:ilvl="0">
      <w:lvlJc w:val="left"/>
      <w:lvlText w:val="%1."/>
      <w:numFmt w:val="upperLetter"/>
      <w:start w:val="6"/>
    </w:lvl>
  </w:abstractNum>
  <w:abstractNum w:abstractNumId="102">
    <w:nsid w:val="53584BCB"/>
    <w:multiLevelType w:val="hybridMultilevel"/>
    <w:lvl w:ilvl="0">
      <w:lvlJc w:val="left"/>
      <w:lvlText w:val="☐"/>
      <w:numFmt w:val="bullet"/>
      <w:start w:val="1"/>
    </w:lvl>
  </w:abstractNum>
  <w:abstractNum w:abstractNumId="103">
    <w:nsid w:val="415E286C"/>
    <w:multiLevelType w:val="hybridMultilevel"/>
    <w:lvl w:ilvl="0">
      <w:lvlJc w:val="left"/>
      <w:lvlText w:val="☐"/>
      <w:numFmt w:val="bullet"/>
      <w:start w:val="1"/>
    </w:lvl>
  </w:abstractNum>
  <w:abstractNum w:abstractNumId="104">
    <w:nsid w:val="7C58FD05"/>
    <w:multiLevelType w:val="hybridMultilevel"/>
    <w:lvl w:ilvl="0">
      <w:lvlJc w:val="left"/>
      <w:lvlText w:val="(%1)"/>
      <w:numFmt w:val="decimal"/>
      <w:start w:val="1"/>
    </w:lvl>
  </w:abstractNum>
  <w:abstractNum w:abstractNumId="105">
    <w:nsid w:val="23D86AAC"/>
    <w:multiLevelType w:val="hybridMultilevel"/>
    <w:lvl w:ilvl="0">
      <w:lvlJc w:val="left"/>
      <w:lvlText w:val="%1."/>
      <w:numFmt w:val="decimal"/>
      <w:start w:val="1"/>
    </w:lvl>
    <w:lvl w:ilvl="1">
      <w:lvlJc w:val="left"/>
      <w:lvlText w:val="(%2)"/>
      <w:numFmt w:val="lowerLetter"/>
      <w:start w:val="1"/>
    </w:lvl>
  </w:abstractNum>
  <w:abstractNum w:abstractNumId="106">
    <w:nsid w:val="45E6D486"/>
    <w:multiLevelType w:val="hybridMultilevel"/>
    <w:lvl w:ilvl="0">
      <w:lvlJc w:val="left"/>
      <w:lvlText w:val="%1."/>
      <w:numFmt w:val="decimal"/>
      <w:start w:val="1"/>
    </w:lvl>
    <w:lvl w:ilvl="1">
      <w:lvlJc w:val="left"/>
      <w:lvlText w:val="(%2)"/>
      <w:numFmt w:val="lowerLetter"/>
      <w:start w:val="1"/>
    </w:lvl>
  </w:abstractNum>
  <w:abstractNum w:abstractNumId="107">
    <w:nsid w:val="5C10FE21"/>
    <w:multiLevelType w:val="hybridMultilevel"/>
    <w:lvl w:ilvl="0">
      <w:lvlJc w:val="left"/>
      <w:lvlText w:val="(%1)"/>
      <w:numFmt w:val="decimal"/>
      <w:start w:val="1"/>
    </w:lvl>
  </w:abstractNum>
  <w:abstractNum w:abstractNumId="108">
    <w:nsid w:val="E7FFA2B"/>
    <w:multiLevelType w:val="hybridMultilevel"/>
    <w:lvl w:ilvl="0">
      <w:lvlJc w:val="left"/>
      <w:lvlText w:val="%1."/>
      <w:numFmt w:val="upperLetter"/>
      <w:start w:val="9"/>
    </w:lvl>
  </w:abstractNum>
  <w:abstractNum w:abstractNumId="109">
    <w:nsid w:val="3C5991AA"/>
    <w:multiLevelType w:val="hybridMultilevel"/>
    <w:lvl w:ilvl="0">
      <w:lvlJc w:val="left"/>
      <w:lvlText w:val="%1."/>
      <w:numFmt w:val="upperLetter"/>
      <w:start w:val="35"/>
    </w:lvl>
  </w:abstractNum>
  <w:abstractNum w:abstractNumId="110">
    <w:nsid w:val="4BD8591A"/>
    <w:multiLevelType w:val="hybridMultilevel"/>
    <w:lvl w:ilvl="0">
      <w:lvlJc w:val="left"/>
      <w:lvlText w:val="(%1)"/>
      <w:numFmt w:val="lowerRoman"/>
      <w:start w:val="2"/>
    </w:lvl>
  </w:abstractNum>
  <w:abstractNum w:abstractNumId="111">
    <w:nsid w:val="78DF6A55"/>
    <w:multiLevelType w:val="hybridMultilevel"/>
    <w:lvl w:ilvl="0">
      <w:lvlJc w:val="left"/>
      <w:lvlText w:val="%1."/>
      <w:numFmt w:val="upperLetter"/>
      <w:start w:val="61"/>
    </w:lvl>
    <w:lvl w:ilvl="1">
      <w:lvlJc w:val="left"/>
      <w:lvlText w:val="%2."/>
      <w:numFmt w:val="lowerLetter"/>
      <w:start w:val="1"/>
    </w:lvl>
  </w:abstractNum>
  <w:abstractNum w:abstractNumId="112">
    <w:nsid w:val="39B7AAA2"/>
    <w:multiLevelType w:val="hybridMultilevel"/>
    <w:lvl w:ilvl="0">
      <w:lvlJc w:val="left"/>
      <w:lvlText w:val="%1."/>
      <w:numFmt w:val="lowerLetter"/>
      <w:start w:val="6"/>
    </w:lvl>
    <w:lvl w:ilvl="1">
      <w:lvlJc w:val="left"/>
      <w:lvlText w:val="-"/>
      <w:numFmt w:val="bullet"/>
      <w:start w:val="1"/>
    </w:lvl>
  </w:abstractNum>
  <w:abstractNum w:abstractNumId="113">
    <w:nsid w:val="2B0D8DBE"/>
    <w:multiLevelType w:val="hybridMultilevel"/>
    <w:lvl w:ilvl="0">
      <w:lvlJc w:val="left"/>
      <w:lvlText w:val="%1."/>
      <w:numFmt w:val="lowerLetter"/>
      <w:start w:val="11"/>
    </w:lvl>
  </w:abstractNum>
  <w:abstractNum w:abstractNumId="114">
    <w:nsid w:val="6C80EC70"/>
    <w:multiLevelType w:val="hybridMultilevel"/>
    <w:lvl w:ilvl="0">
      <w:lvlJc w:val="left"/>
      <w:lvlText w:val="(%1)"/>
      <w:numFmt w:val="lowerRoman"/>
      <w:start w:val="1"/>
    </w:lvl>
    <w:lvl w:ilvl="1">
      <w:lvlJc w:val="left"/>
      <w:lvlText w:val="-"/>
      <w:numFmt w:val="bullet"/>
      <w:start w:val="1"/>
    </w:lvl>
  </w:abstractNum>
  <w:abstractNum w:abstractNumId="115">
    <w:nsid w:val="379E21B5"/>
    <w:multiLevelType w:val="hybridMultilevel"/>
    <w:lvl w:ilvl="0">
      <w:lvlJc w:val="left"/>
      <w:lvlText w:val="%1."/>
      <w:numFmt w:val="upperLetter"/>
      <w:start w:val="22"/>
    </w:lvl>
  </w:abstractNum>
  <w:abstractNum w:abstractNumId="116">
    <w:nsid w:val="69E373"/>
    <w:multiLevelType w:val="hybridMultilevel"/>
    <w:lvl w:ilvl="0">
      <w:lvlJc w:val="left"/>
      <w:lvlText w:val="%1."/>
      <w:numFmt w:val="lowerLetter"/>
      <w:start w:val="1"/>
    </w:lvl>
  </w:abstractNum>
  <w:abstractNum w:abstractNumId="117">
    <w:nsid w:val="2C27173B"/>
    <w:multiLevelType w:val="hybridMultilevel"/>
    <w:lvl w:ilvl="0">
      <w:lvlJc w:val="left"/>
      <w:lvlText w:val="%1."/>
      <w:numFmt w:val="upperLetter"/>
      <w:start w:val="24"/>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3" Type="http://schemas.openxmlformats.org/officeDocument/2006/relationships/image" Target="media/image130.png"/><Relationship Id="rId155" Type="http://schemas.openxmlformats.org/officeDocument/2006/relationships/image" Target="media/image131.png"/><Relationship Id="rId165" Type="http://schemas.openxmlformats.org/officeDocument/2006/relationships/image" Target="media/image132.png"/><Relationship Id="rId175" Type="http://schemas.openxmlformats.org/officeDocument/2006/relationships/image" Target="media/image133.png"/><Relationship Id="rId201" Type="http://schemas.openxmlformats.org/officeDocument/2006/relationships/image" Target="media/image134.png"/><Relationship Id="rId209" Type="http://schemas.openxmlformats.org/officeDocument/2006/relationships/image" Target="media/image135.png"/><Relationship Id="rId234" Type="http://schemas.openxmlformats.org/officeDocument/2006/relationships/image" Target="media/image136.png"/><Relationship Id="rId235" Type="http://schemas.openxmlformats.org/officeDocument/2006/relationships/image" Target="media/image137.png"/><Relationship Id="rId236" Type="http://schemas.openxmlformats.org/officeDocument/2006/relationships/image" Target="media/image138.png"/><Relationship Id="rId237" Type="http://schemas.openxmlformats.org/officeDocument/2006/relationships/image" Target="media/image139.png"/><Relationship Id="rId238" Type="http://schemas.openxmlformats.org/officeDocument/2006/relationships/image" Target="media/image140.png"/><Relationship Id="rId239" Type="http://schemas.openxmlformats.org/officeDocument/2006/relationships/image" Target="media/image141.png"/><Relationship Id="rId240" Type="http://schemas.openxmlformats.org/officeDocument/2006/relationships/image" Target="media/image142.png"/><Relationship Id="rId241" Type="http://schemas.openxmlformats.org/officeDocument/2006/relationships/image" Target="media/image143.png"/><Relationship Id="rId242" Type="http://schemas.openxmlformats.org/officeDocument/2006/relationships/image" Target="media/image144.png"/><Relationship Id="rId243" Type="http://schemas.openxmlformats.org/officeDocument/2006/relationships/image" Target="media/image145.png"/><Relationship Id="rId244" Type="http://schemas.openxmlformats.org/officeDocument/2006/relationships/image" Target="media/image146.png"/><Relationship Id="rId245" Type="http://schemas.openxmlformats.org/officeDocument/2006/relationships/image" Target="media/image147.png"/><Relationship Id="rId246" Type="http://schemas.openxmlformats.org/officeDocument/2006/relationships/image" Target="media/image148.png"/><Relationship Id="rId247" Type="http://schemas.openxmlformats.org/officeDocument/2006/relationships/image" Target="media/image149.png"/><Relationship Id="rId248" Type="http://schemas.openxmlformats.org/officeDocument/2006/relationships/image" Target="media/image150.png"/><Relationship Id="rId249" Type="http://schemas.openxmlformats.org/officeDocument/2006/relationships/image" Target="media/image151.png"/><Relationship Id="rId250" Type="http://schemas.openxmlformats.org/officeDocument/2006/relationships/image" Target="media/image152.png"/><Relationship Id="rId251" Type="http://schemas.openxmlformats.org/officeDocument/2006/relationships/image" Target="media/image153.png"/><Relationship Id="rId252" Type="http://schemas.openxmlformats.org/officeDocument/2006/relationships/image" Target="media/image154.png"/><Relationship Id="rId253" Type="http://schemas.openxmlformats.org/officeDocument/2006/relationships/image" Target="media/image155.png"/><Relationship Id="rId254" Type="http://schemas.openxmlformats.org/officeDocument/2006/relationships/image" Target="media/image156.png"/><Relationship Id="rId255" Type="http://schemas.openxmlformats.org/officeDocument/2006/relationships/image" Target="media/image157.png"/><Relationship Id="rId256" Type="http://schemas.openxmlformats.org/officeDocument/2006/relationships/image" Target="media/image158.png"/><Relationship Id="rId257" Type="http://schemas.openxmlformats.org/officeDocument/2006/relationships/image" Target="media/image159.png"/><Relationship Id="rId258" Type="http://schemas.openxmlformats.org/officeDocument/2006/relationships/image" Target="media/image160.png"/><Relationship Id="rId259" Type="http://schemas.openxmlformats.org/officeDocument/2006/relationships/image" Target="media/image161.png"/><Relationship Id="rId260" Type="http://schemas.openxmlformats.org/officeDocument/2006/relationships/image" Target="media/image162.png"/><Relationship Id="rId261" Type="http://schemas.openxmlformats.org/officeDocument/2006/relationships/image" Target="media/image163.png"/><Relationship Id="rId262" Type="http://schemas.openxmlformats.org/officeDocument/2006/relationships/image" Target="media/image164.png"/><Relationship Id="rId263" Type="http://schemas.openxmlformats.org/officeDocument/2006/relationships/image" Target="media/image165.png"/><Relationship Id="rId264" Type="http://schemas.openxmlformats.org/officeDocument/2006/relationships/image" Target="media/image166.png"/><Relationship Id="rId265" Type="http://schemas.openxmlformats.org/officeDocument/2006/relationships/image" Target="media/image167.png"/><Relationship Id="rId266" Type="http://schemas.openxmlformats.org/officeDocument/2006/relationships/image" Target="media/image168.png"/><Relationship Id="rId267" Type="http://schemas.openxmlformats.org/officeDocument/2006/relationships/image" Target="media/image169.png"/><Relationship Id="rId268" Type="http://schemas.openxmlformats.org/officeDocument/2006/relationships/image" Target="media/image170.png"/><Relationship Id="rId269" Type="http://schemas.openxmlformats.org/officeDocument/2006/relationships/image" Target="media/image171.png"/><Relationship Id="rId270" Type="http://schemas.openxmlformats.org/officeDocument/2006/relationships/image" Target="media/image172.png"/><Relationship Id="rId271" Type="http://schemas.openxmlformats.org/officeDocument/2006/relationships/image" Target="media/image173.png"/><Relationship Id="rId272" Type="http://schemas.openxmlformats.org/officeDocument/2006/relationships/image" Target="media/image174.png"/><Relationship Id="rId273" Type="http://schemas.openxmlformats.org/officeDocument/2006/relationships/image" Target="media/image175.png"/><Relationship Id="rId274" Type="http://schemas.openxmlformats.org/officeDocument/2006/relationships/image" Target="media/image176.png"/><Relationship Id="rId275" Type="http://schemas.openxmlformats.org/officeDocument/2006/relationships/image" Target="media/image177.png"/><Relationship Id="rId276" Type="http://schemas.openxmlformats.org/officeDocument/2006/relationships/image" Target="media/image178.png"/><Relationship Id="rId277" Type="http://schemas.openxmlformats.org/officeDocument/2006/relationships/image" Target="media/image179.png"/><Relationship Id="rId278" Type="http://schemas.openxmlformats.org/officeDocument/2006/relationships/image" Target="media/image180.png"/><Relationship Id="rId279" Type="http://schemas.openxmlformats.org/officeDocument/2006/relationships/image" Target="media/image181.png"/><Relationship Id="rId280" Type="http://schemas.openxmlformats.org/officeDocument/2006/relationships/image" Target="media/image182.png"/><Relationship Id="rId281" Type="http://schemas.openxmlformats.org/officeDocument/2006/relationships/image" Target="media/image183.png"/><Relationship Id="rId282" Type="http://schemas.openxmlformats.org/officeDocument/2006/relationships/image" Target="media/image184.png"/><Relationship Id="rId283" Type="http://schemas.openxmlformats.org/officeDocument/2006/relationships/image" Target="media/image185.png"/><Relationship Id="rId284" Type="http://schemas.openxmlformats.org/officeDocument/2006/relationships/image" Target="media/image186.png"/><Relationship Id="rId285" Type="http://schemas.openxmlformats.org/officeDocument/2006/relationships/image" Target="media/image187.png"/><Relationship Id="rId286" Type="http://schemas.openxmlformats.org/officeDocument/2006/relationships/image" Target="media/image188.png"/><Relationship Id="rId287" Type="http://schemas.openxmlformats.org/officeDocument/2006/relationships/image" Target="media/image189.png"/><Relationship Id="rId288" Type="http://schemas.openxmlformats.org/officeDocument/2006/relationships/image" Target="media/image190.png"/><Relationship Id="rId289" Type="http://schemas.openxmlformats.org/officeDocument/2006/relationships/image" Target="media/image191.png"/><Relationship Id="rId290" Type="http://schemas.openxmlformats.org/officeDocument/2006/relationships/image" Target="media/image192.png"/><Relationship Id="rId291" Type="http://schemas.openxmlformats.org/officeDocument/2006/relationships/image" Target="media/image193.png"/><Relationship Id="rId292" Type="http://schemas.openxmlformats.org/officeDocument/2006/relationships/image" Target="media/image194.png"/><Relationship Id="rId293" Type="http://schemas.openxmlformats.org/officeDocument/2006/relationships/image" Target="media/image195.png"/><Relationship Id="rId294" Type="http://schemas.openxmlformats.org/officeDocument/2006/relationships/image" Target="media/image196.png"/><Relationship Id="rId295" Type="http://schemas.openxmlformats.org/officeDocument/2006/relationships/image" Target="media/image197.png"/><Relationship Id="rId296" Type="http://schemas.openxmlformats.org/officeDocument/2006/relationships/image" Target="media/image198.png"/><Relationship Id="rId297" Type="http://schemas.openxmlformats.org/officeDocument/2006/relationships/image" Target="media/image199.png"/><Relationship Id="rId298" Type="http://schemas.openxmlformats.org/officeDocument/2006/relationships/image" Target="media/image200.png"/><Relationship Id="rId299" Type="http://schemas.openxmlformats.org/officeDocument/2006/relationships/image" Target="media/image201.png"/><Relationship Id="rId300" Type="http://schemas.openxmlformats.org/officeDocument/2006/relationships/image" Target="media/image202.png"/><Relationship Id="rId301" Type="http://schemas.openxmlformats.org/officeDocument/2006/relationships/image" Target="media/image203.png"/><Relationship Id="rId302" Type="http://schemas.openxmlformats.org/officeDocument/2006/relationships/image" Target="media/image204.png"/><Relationship Id="rId303" Type="http://schemas.openxmlformats.org/officeDocument/2006/relationships/image" Target="media/image205.png"/><Relationship Id="rId304" Type="http://schemas.openxmlformats.org/officeDocument/2006/relationships/image" Target="media/image206.png"/><Relationship Id="rId305" Type="http://schemas.openxmlformats.org/officeDocument/2006/relationships/image" Target="media/image207.png"/><Relationship Id="rId306" Type="http://schemas.openxmlformats.org/officeDocument/2006/relationships/image" Target="media/image208.png"/><Relationship Id="rId307" Type="http://schemas.openxmlformats.org/officeDocument/2006/relationships/image" Target="media/image209.png"/><Relationship Id="rId308" Type="http://schemas.openxmlformats.org/officeDocument/2006/relationships/image" Target="media/image210.png"/><Relationship Id="rId309" Type="http://schemas.openxmlformats.org/officeDocument/2006/relationships/image" Target="media/image211.png"/><Relationship Id="rId310" Type="http://schemas.openxmlformats.org/officeDocument/2006/relationships/image" Target="media/image212.png"/><Relationship Id="rId311" Type="http://schemas.openxmlformats.org/officeDocument/2006/relationships/image" Target="media/image213.png"/><Relationship Id="rId312" Type="http://schemas.openxmlformats.org/officeDocument/2006/relationships/image" Target="media/image214.png"/><Relationship Id="rId313" Type="http://schemas.openxmlformats.org/officeDocument/2006/relationships/image" Target="media/image215.png"/><Relationship Id="rId314" Type="http://schemas.openxmlformats.org/officeDocument/2006/relationships/image" Target="media/image216.png"/><Relationship Id="rId315" Type="http://schemas.openxmlformats.org/officeDocument/2006/relationships/image" Target="media/image217.png"/><Relationship Id="rId316" Type="http://schemas.openxmlformats.org/officeDocument/2006/relationships/image" Target="media/image218.png"/><Relationship Id="rId317" Type="http://schemas.openxmlformats.org/officeDocument/2006/relationships/image" Target="media/image219.png"/><Relationship Id="rId318" Type="http://schemas.openxmlformats.org/officeDocument/2006/relationships/image" Target="media/image220.png"/><Relationship Id="rId319" Type="http://schemas.openxmlformats.org/officeDocument/2006/relationships/image" Target="media/image221.png"/><Relationship Id="rId320" Type="http://schemas.openxmlformats.org/officeDocument/2006/relationships/image" Target="media/image222.png"/><Relationship Id="rId321" Type="http://schemas.openxmlformats.org/officeDocument/2006/relationships/image" Target="media/image223.png"/><Relationship Id="rId322" Type="http://schemas.openxmlformats.org/officeDocument/2006/relationships/image" Target="media/image224.png"/><Relationship Id="rId323" Type="http://schemas.openxmlformats.org/officeDocument/2006/relationships/image" Target="media/image225.png"/><Relationship Id="rId324" Type="http://schemas.openxmlformats.org/officeDocument/2006/relationships/image" Target="media/image226.png"/><Relationship Id="rId325" Type="http://schemas.openxmlformats.org/officeDocument/2006/relationships/image" Target="media/image227.png"/><Relationship Id="rId326" Type="http://schemas.openxmlformats.org/officeDocument/2006/relationships/image" Target="media/image228.png"/><Relationship Id="rId327" Type="http://schemas.openxmlformats.org/officeDocument/2006/relationships/image" Target="media/image229.png"/><Relationship Id="rId328" Type="http://schemas.openxmlformats.org/officeDocument/2006/relationships/image" Target="media/image230.png"/><Relationship Id="rId329" Type="http://schemas.openxmlformats.org/officeDocument/2006/relationships/image" Target="media/image231.png"/><Relationship Id="rId330" Type="http://schemas.openxmlformats.org/officeDocument/2006/relationships/image" Target="media/image232.png"/><Relationship Id="rId331" Type="http://schemas.openxmlformats.org/officeDocument/2006/relationships/image" Target="media/image233.png"/><Relationship Id="rId137" Type="http://schemas.openxmlformats.org/officeDocument/2006/relationships/hyperlink" Target="https://www.sec.gov/Archives/edgar/data/1597264/000155837022001316/bpmc-20211231xex1d1.htm" TargetMode="External"/><Relationship Id="rId138" Type="http://schemas.openxmlformats.org/officeDocument/2006/relationships/hyperlink" Target="https://www.sec.gov/Archives/edgar/data/0001597264/000110465921154482/tm2136572d1_ex2-1.htm" TargetMode="External"/><Relationship Id="rId139" Type="http://schemas.openxmlformats.org/officeDocument/2006/relationships/hyperlink" Target="http://www.sec.gov/Archives/edgar/data/1597264/000155837015002529/bpmc-20150930ex3100367a3.htm" TargetMode="External"/><Relationship Id="rId140" Type="http://schemas.openxmlformats.org/officeDocument/2006/relationships/hyperlink" Target="https://www.sec.gov/Archives/edgar/data/1597264/000155837020005307/bpmc-20200331xex3d1.htm" TargetMode="External"/><Relationship Id="rId141" Type="http://schemas.openxmlformats.org/officeDocument/2006/relationships/hyperlink" Target="http://www.sec.gov/Archives/edgar/data/1597264/000104746915003668/a2224211zex-4_1.htm" TargetMode="External"/><Relationship Id="rId142" Type="http://schemas.openxmlformats.org/officeDocument/2006/relationships/hyperlink" Target="https://www.sec.gov/Archives/edgar/data/1597264/000155837020000784/ex-4d3.htm" TargetMode="External"/><Relationship Id="rId144" Type="http://schemas.openxmlformats.org/officeDocument/2006/relationships/hyperlink" Target="http://www.sec.gov/Archives/edgar/data/1597264/000104746915002608/a2223883zex-10_1.htm" TargetMode="External"/><Relationship Id="rId145" Type="http://schemas.openxmlformats.org/officeDocument/2006/relationships/hyperlink" Target="https://www.sec.gov/Archives/edgar/data/1597264/000155837020000784/ex-10d2.htm" TargetMode="External"/><Relationship Id="rId146" Type="http://schemas.openxmlformats.org/officeDocument/2006/relationships/hyperlink" Target="https://www.sec.gov/Archives/edgar/data/1597264/000155837020000784/ex-10d3.htm" TargetMode="External"/><Relationship Id="rId147" Type="http://schemas.openxmlformats.org/officeDocument/2006/relationships/hyperlink" Target="https://www.sec.gov/Archives/edgar/data/1597264/000155837020005420/tmb-20200506xex99d1.htm" TargetMode="External"/><Relationship Id="rId148" Type="http://schemas.openxmlformats.org/officeDocument/2006/relationships/hyperlink" Target="http://www.sec.gov/Archives/edgar/data/1597264/000104746915002608/a2223883zex-10_4.htm" TargetMode="External"/><Relationship Id="rId149" Type="http://schemas.openxmlformats.org/officeDocument/2006/relationships/hyperlink" Target="http://www.sec.gov/Archives/edgar/data/1597264/000155837018000862/bpmc-20171231ex105e4bc60.htm" TargetMode="External"/><Relationship Id="rId150" Type="http://schemas.openxmlformats.org/officeDocument/2006/relationships/hyperlink" Target="https://www.sec.gov/Archives/edgar/data/1597264/000155837021005262/bpmc-20210331xex10d1.htm" TargetMode="External"/><Relationship Id="rId151" Type="http://schemas.openxmlformats.org/officeDocument/2006/relationships/hyperlink" Target="https://www.sec.gov/Archives/edgar/data/1597264/000155837022001316/bpmc-20211231xex10d8.htm" TargetMode="External"/><Relationship Id="rId152" Type="http://schemas.openxmlformats.org/officeDocument/2006/relationships/hyperlink" Target="http://www.sec.gov/Archives/edgar/data/1597264/000155837017003397/bpmc-20170331ex1015d322c.htm" TargetMode="External"/><Relationship Id="rId153" Type="http://schemas.openxmlformats.org/officeDocument/2006/relationships/hyperlink" Target="http://www.sec.gov/Archives/edgar/data/1597264/000155837018007557/ex-10d1.htm" TargetMode="External"/><Relationship Id="rId154" Type="http://schemas.openxmlformats.org/officeDocument/2006/relationships/hyperlink" Target="http://www.sec.gov/Archives/edgar/data/1597264/000155837015002529/bpmc-20150930ex10257b824.htm" TargetMode="External"/><Relationship Id="rId156" Type="http://schemas.openxmlformats.org/officeDocument/2006/relationships/hyperlink" Target="https://www.sec.gov/Archives/edgar/data/0001597264/000110465921153200/tm2136160d1_ex10-1.htm" TargetMode="External"/><Relationship Id="rId157" Type="http://schemas.openxmlformats.org/officeDocument/2006/relationships/hyperlink" Target="https://www.sec.gov/Archives/edgar/data/1597264/000110465922001275/tm221614d1_ex10-1.htm" TargetMode="External"/><Relationship Id="rId158" Type="http://schemas.openxmlformats.org/officeDocument/2006/relationships/hyperlink" Target="https://www.sec.gov/Archives/edgar/data/0001597264/000110465922130188/tm2233493d1_ex10-2.htm" TargetMode="External"/><Relationship Id="rId159" Type="http://schemas.openxmlformats.org/officeDocument/2006/relationships/hyperlink" Target="https://www.sec.gov/Archives/edgar/data/0001597264/000110465922130188/tm2233493d1_ex10-1.htm" TargetMode="External"/><Relationship Id="rId160" Type="http://schemas.openxmlformats.org/officeDocument/2006/relationships/hyperlink" Target="http://www.sec.gov/Archives/edgar/data/1597264/000155837016004066/bpmc-20151231ex109ea407e.htm" TargetMode="External"/><Relationship Id="rId161" Type="http://schemas.openxmlformats.org/officeDocument/2006/relationships/hyperlink" Target="http://www.sec.gov/Archives/edgar/data/1597264/000155837019000364/ex-10d2.htm" TargetMode="External"/><Relationship Id="rId162" Type="http://schemas.openxmlformats.org/officeDocument/2006/relationships/hyperlink" Target="https://www.sec.gov/Archives/edgar/data/1597264/000110465921153200/tm2136160d1_ex10-4.htm" TargetMode="External"/><Relationship Id="rId163" Type="http://schemas.openxmlformats.org/officeDocument/2006/relationships/hyperlink" Target="https://www.sec.gov/Archives/edgar/data/1597264/000110465922102734/tm2226591d1_ex10-1.htm" TargetMode="External"/><Relationship Id="rId164" Type="http://schemas.openxmlformats.org/officeDocument/2006/relationships/hyperlink" Target="https://www.sec.gov/Archives/edgar/data/1597264/000110465922001275/tm221614d1_ex10-2.htm" TargetMode="External"/><Relationship Id="rId166" Type="http://schemas.openxmlformats.org/officeDocument/2006/relationships/hyperlink" Target="http://www.sec.gov/Archives/edgar/data/1597264/000155837016009951/bpmc-20160930ex1035083d6.htm" TargetMode="External"/><Relationship Id="rId167" Type="http://schemas.openxmlformats.org/officeDocument/2006/relationships/hyperlink" Target="https://www.sec.gov/Archives/edgar/data/1597264/000110465921153200/tm2136160d1_ex10-5.htm" TargetMode="External"/><Relationship Id="rId168" Type="http://schemas.openxmlformats.org/officeDocument/2006/relationships/hyperlink" Target="https://www.sec.gov/Archives/edgar/data/1597264/000110465922102734/tm2226591d1_ex10-5.htm" TargetMode="External"/><Relationship Id="rId169" Type="http://schemas.openxmlformats.org/officeDocument/2006/relationships/hyperlink" Target="https://www.sec.gov/Archives/edgar/data/1597264/000155837017007829/bpmc-20170930ex101a9a4c6.htm" TargetMode="External"/><Relationship Id="rId170" Type="http://schemas.openxmlformats.org/officeDocument/2006/relationships/hyperlink" Target="https://www.sec.gov/Archives/edgar/data/1597264/000110465921153200/tm2136160d1_ex10-8.htm" TargetMode="External"/><Relationship Id="rId171" Type="http://schemas.openxmlformats.org/officeDocument/2006/relationships/hyperlink" Target="https://www.sec.gov/Archives/edgar/data/1597264/000110465922102734/tm2226591d1_ex10-7.htm" TargetMode="External"/><Relationship Id="rId172" Type="http://schemas.openxmlformats.org/officeDocument/2006/relationships/hyperlink" Target="https://www.sec.gov/Archives/edgar/data/1597264/000155837023001465/bpmc-20221231xex10d27.htm" TargetMode="External"/><Relationship Id="rId173" Type="http://schemas.openxmlformats.org/officeDocument/2006/relationships/hyperlink" Target="http://www.sec.gov/Archives/edgar/data/1597264/000155837017009050/ex-10d1.htm" TargetMode="External"/><Relationship Id="rId174" Type="http://schemas.openxmlformats.org/officeDocument/2006/relationships/hyperlink" Target="http://www.sec.gov/Archives/edgar/data/1597264/000155837019000364/ex-10d1.htm" TargetMode="External"/><Relationship Id="rId176" Type="http://schemas.openxmlformats.org/officeDocument/2006/relationships/hyperlink" Target="https://www.sec.gov/Archives/edgar/data/1597264/000110465921153200/tm2136160d1_ex10-2.htm" TargetMode="External"/><Relationship Id="rId177" Type="http://schemas.openxmlformats.org/officeDocument/2006/relationships/hyperlink" Target="https://www.sec.gov/Archives/edgar/data/1597264/000110465922102734/tm2226591d1_ex10-2.htm" TargetMode="External"/><Relationship Id="rId178" Type="http://schemas.openxmlformats.org/officeDocument/2006/relationships/hyperlink" Target="http://www.sec.gov/Archives/edgar/data/1597264/000155837018007980/ex-10d1.htm" TargetMode="External"/><Relationship Id="rId179" Type="http://schemas.openxmlformats.org/officeDocument/2006/relationships/hyperlink" Target="https://www.sec.gov/Archives/edgar/data/1597264/000110465921153200/tm2136160d1_ex10-6.htm" TargetMode="External"/><Relationship Id="rId180" Type="http://schemas.openxmlformats.org/officeDocument/2006/relationships/hyperlink" Target="https://www.sec.gov/Archives/edgar/data/1597264/000110465922001275/tm221614d1_ex10-3.htm" TargetMode="External"/><Relationship Id="rId181" Type="http://schemas.openxmlformats.org/officeDocument/2006/relationships/hyperlink" Target="https://www.sec.gov/Archives/edgar/data/1597264/000110465922102734/tm2226591d1_ex10-3.htm" TargetMode="External"/><Relationship Id="rId182" Type="http://schemas.openxmlformats.org/officeDocument/2006/relationships/hyperlink" Target="http://www.sec.gov/Archives/edgar/data/1597264/000155837019001726/ex-10d1.htm" TargetMode="External"/><Relationship Id="rId183" Type="http://schemas.openxmlformats.org/officeDocument/2006/relationships/hyperlink" Target="https://www.sec.gov/Archives/edgar/data/1597264/000110465921153200/tm2136160d1_ex10-11.htm" TargetMode="External"/><Relationship Id="rId184" Type="http://schemas.openxmlformats.org/officeDocument/2006/relationships/hyperlink" Target="https://www.sec.gov/Archives/edgar/data/1597264/000110465922102734/tm2226591d1_ex10-10.htm" TargetMode="External"/><Relationship Id="rId185" Type="http://schemas.openxmlformats.org/officeDocument/2006/relationships/hyperlink" Target="https://www.sec.gov/Archives/edgar/data/1597264/000155837023001465/bpmc-20221231xex10d39.htm" TargetMode="External"/><Relationship Id="rId186" Type="http://schemas.openxmlformats.org/officeDocument/2006/relationships/hyperlink" Target="https://www.sec.gov/Archives/edgar/data/1597264/000155837020000784/ex-10d19.htm" TargetMode="External"/><Relationship Id="rId187" Type="http://schemas.openxmlformats.org/officeDocument/2006/relationships/hyperlink" Target="https://www.sec.gov/Archives/edgar/data/1597264/000110465921153200/tm2136160d1_ex10-10.htm" TargetMode="External"/><Relationship Id="rId188" Type="http://schemas.openxmlformats.org/officeDocument/2006/relationships/hyperlink" Target="https://www.sec.gov/Archives/edgar/data/1597264/000110465922102734/tm2226591d1_ex10-9.htm" TargetMode="External"/><Relationship Id="rId189" Type="http://schemas.openxmlformats.org/officeDocument/2006/relationships/hyperlink" Target="https://www.sec.gov/Archives/edgar/data/1597264/000155837020010927/bpmc-20200901xex10d1.htm" TargetMode="External"/><Relationship Id="rId190" Type="http://schemas.openxmlformats.org/officeDocument/2006/relationships/hyperlink" Target="https://www.sec.gov/Archives/edgar/data/1597264/000110465921153200/tm2136160d1_ex10-3.htm" TargetMode="External"/><Relationship Id="rId191" Type="http://schemas.openxmlformats.org/officeDocument/2006/relationships/hyperlink" Target="https://www.sec.gov/Archives/edgar/data/1597264/000110465922102734/tm2226591d1_ex10-4.htm" TargetMode="External"/><Relationship Id="rId192" Type="http://schemas.openxmlformats.org/officeDocument/2006/relationships/hyperlink" Target="https://www.sec.gov/Archives/edgar/data/1597264/000155837021000147/bpmc-20210108xex10d2.htm" TargetMode="External"/><Relationship Id="rId193" Type="http://schemas.openxmlformats.org/officeDocument/2006/relationships/hyperlink" Target="https://www.sec.gov/Archives/edgar/data/1597264/000110465921153200/tm2136160d1_ex10-7.htm" TargetMode="External"/><Relationship Id="rId194" Type="http://schemas.openxmlformats.org/officeDocument/2006/relationships/hyperlink" Target="https://www.sec.gov/Archives/edgar/data/1597264/000110465922102734/tm2226591d1_ex10-6.htm" TargetMode="External"/><Relationship Id="rId195" Type="http://schemas.openxmlformats.org/officeDocument/2006/relationships/hyperlink" Target="https://www.sec.gov/Archives/edgar/data/1597264/000155837021009606/bpmc-20210630xex10d1.htm" TargetMode="External"/><Relationship Id="rId196" Type="http://schemas.openxmlformats.org/officeDocument/2006/relationships/hyperlink" Target="https://www.sec.gov/Archives/edgar/data/1597264/000110465921153200/tm2136160d1_ex10-9.htm" TargetMode="External"/><Relationship Id="rId197" Type="http://schemas.openxmlformats.org/officeDocument/2006/relationships/hyperlink" Target="https://www.sec.gov/Archives/edgar/data/1597264/000110465922102734/tm2226591d1_ex10-8.htm" TargetMode="External"/><Relationship Id="rId198" Type="http://schemas.openxmlformats.org/officeDocument/2006/relationships/hyperlink" Target="https://www.sec.gov/Archives/edgar/data/1597264/000110465922005729/tm223965d1_ex10-1.htm" TargetMode="External"/><Relationship Id="rId199" Type="http://schemas.openxmlformats.org/officeDocument/2006/relationships/hyperlink" Target="https://www.sec.gov/Archives/edgar/data/1597264/000110465922102734/tm2226591d1_ex10-11.htm" TargetMode="External"/><Relationship Id="rId200" Type="http://schemas.openxmlformats.org/officeDocument/2006/relationships/hyperlink" Target="http://www.sec.gov/Archives/edgar/data/1597264/000155837016006732/bpmc-20160331ex1025287b1.htm" TargetMode="External"/><Relationship Id="rId202" Type="http://schemas.openxmlformats.org/officeDocument/2006/relationships/hyperlink" Target="http://www.sec.gov/Archives/edgar/data/1597264/000155837016007817/bpmc-20160630ex10190ad0c.htm" TargetMode="External"/><Relationship Id="rId203" Type="http://schemas.openxmlformats.org/officeDocument/2006/relationships/hyperlink" Target="http://www.sec.gov/Archives/edgar/data/1597264/000155837016009951/bpmc-20160930ex101983993.htm" TargetMode="External"/><Relationship Id="rId204" Type="http://schemas.openxmlformats.org/officeDocument/2006/relationships/hyperlink" Target="http://www.sec.gov/Archives/edgar/data/1597264/000155837019001094/bpmc-20181231ex1026a2f80.htm" TargetMode="External"/><Relationship Id="rId205" Type="http://schemas.openxmlformats.org/officeDocument/2006/relationships/hyperlink" Target="http://www.sec.gov/Archives/edgar/data/1597264/000155837019006016/ex-10d1.htm" TargetMode="External"/><Relationship Id="rId206" Type="http://schemas.openxmlformats.org/officeDocument/2006/relationships/hyperlink" Target="http://www.sec.gov/Archives/edgar/data/1597264/000155837019009888/ex-10d2.htm" TargetMode="External"/><Relationship Id="rId207" Type="http://schemas.openxmlformats.org/officeDocument/2006/relationships/hyperlink" Target="http://www.sec.gov/Archives/edgar/data/1597264/000155837019011670/ex-10d1.htm" TargetMode="External"/><Relationship Id="rId208" Type="http://schemas.openxmlformats.org/officeDocument/2006/relationships/hyperlink" Target="https://www.sec.gov/Archives/edgar/data/1597264/000155837020005307/bpmc-20200331xex10d1.htm" TargetMode="External"/><Relationship Id="rId210" Type="http://schemas.openxmlformats.org/officeDocument/2006/relationships/hyperlink" Target="https://www.sec.gov/Archives/edgar/data/1597264/000155837021001141/bpmc-20201231xex10d32.htm" TargetMode="External"/><Relationship Id="rId211" Type="http://schemas.openxmlformats.org/officeDocument/2006/relationships/hyperlink" Target="https://www.sec.gov/Archives/edgar/data/1597264/000155837022006801/bpmc-20220331xex10d2.htm" TargetMode="External"/><Relationship Id="rId212" Type="http://schemas.openxmlformats.org/officeDocument/2006/relationships/hyperlink" Target="http://www.sec.gov/Archives/edgar/data/1597264/000155837018006090/bpmc-20180630ex101d33531.htm" TargetMode="External"/><Relationship Id="rId213" Type="http://schemas.openxmlformats.org/officeDocument/2006/relationships/hyperlink" Target="http://www.sec.gov/Archives/edgar/data/1597264/000155837019009888/ex-10d1.htm" TargetMode="External"/><Relationship Id="rId214" Type="http://schemas.openxmlformats.org/officeDocument/2006/relationships/hyperlink" Target="https://www.sec.gov/Archives/edgar/data/1597264/000155837022001316/bpmc-20211231xex10d54.htm" TargetMode="External"/><Relationship Id="rId215" Type="http://schemas.openxmlformats.org/officeDocument/2006/relationships/hyperlink" Target="http://www.sec.gov/Archives/edgar/data/1597264/000104746915002608/a2223883zex-10_11.htm" TargetMode="External"/><Relationship Id="rId216" Type="http://schemas.openxmlformats.org/officeDocument/2006/relationships/hyperlink" Target="http://www.sec.gov/Archives/edgar/data/1597264/000104746915002608/a2223883zex-10_12.htm" TargetMode="External"/><Relationship Id="rId217" Type="http://schemas.openxmlformats.org/officeDocument/2006/relationships/hyperlink" Target="http://www.sec.gov/Archives/edgar/data/1597264/000155837016004066/bpmc-20151231ex101559e57.htm" TargetMode="External"/><Relationship Id="rId218" Type="http://schemas.openxmlformats.org/officeDocument/2006/relationships/hyperlink" Target="https://www.sec.gov/Archives/edgar/data/1597264/000155837022011648/bpmc-20220630xex10d1.htm" TargetMode="External"/><Relationship Id="rId219" Type="http://schemas.openxmlformats.org/officeDocument/2006/relationships/hyperlink" Target="https://www.sec.gov/Archives/edgar/data/1597264/000155837022011648/bpmc-20220630xex10d2.htm" TargetMode="External"/><Relationship Id="rId220" Type="http://schemas.openxmlformats.org/officeDocument/2006/relationships/hyperlink" Target="https://www.sec.gov/Archives/edgar/data/1597264/000155837022011648/bpmc-20220630xex10d3.htm" TargetMode="External"/><Relationship Id="rId221" Type="http://schemas.openxmlformats.org/officeDocument/2006/relationships/hyperlink" Target="https://www.sec.gov/Archives/edgar/data/1597264/000110465922074754/tm2219327d2_ex10-1.htm" TargetMode="External"/><Relationship Id="rId222" Type="http://schemas.openxmlformats.org/officeDocument/2006/relationships/hyperlink" Target="https://www.sec.gov/Archives/edgar/data/1597264/000155837023001465/bpmc-20221231xex10d76.htm" TargetMode="External"/><Relationship Id="rId223" Type="http://schemas.openxmlformats.org/officeDocument/2006/relationships/hyperlink" Target="https://www.sec.gov/Archives/edgar/data/1597264/000155837023001465/bpmc-20221231xex10d77.htm" TargetMode="External"/><Relationship Id="rId224" Type="http://schemas.openxmlformats.org/officeDocument/2006/relationships/hyperlink" Target="https://www.sec.gov/Archives/edgar/data/1597264/000155837023001465/bpmc-20221231xex10d78.htm" TargetMode="External"/><Relationship Id="rId225" Type="http://schemas.openxmlformats.org/officeDocument/2006/relationships/hyperlink" Target="https://www.sec.gov/Archives/edgar/data/1597264/000155837023001465/bpmc-20221231xex10d79.htm" TargetMode="External"/><Relationship Id="rId226" Type="http://schemas.openxmlformats.org/officeDocument/2006/relationships/hyperlink" Target="https://www.sec.gov/Archives/edgar/data/1597264/000155837023001465/bpmc-20221231xex10d80.htm" TargetMode="External"/><Relationship Id="rId227" Type="http://schemas.openxmlformats.org/officeDocument/2006/relationships/hyperlink" Target="https://www.sec.gov/Archives/edgar/data/1597264/000155837023001465/bpmc-20221231xex10d81.htm" TargetMode="External"/><Relationship Id="rId228" Type="http://schemas.openxmlformats.org/officeDocument/2006/relationships/hyperlink" Target="https://www.sec.gov/Archives/edgar/data/1597264/000155837023001465/bpmc-20221231xex10d82.htm" TargetMode="External"/><Relationship Id="rId229" Type="http://schemas.openxmlformats.org/officeDocument/2006/relationships/hyperlink" Target="https://www.sec.gov/Archives/edgar/data/1597264/000155837023001465/bpmc-20221231xex10d83.htm" TargetMode="External"/><Relationship Id="rId230" Type="http://schemas.openxmlformats.org/officeDocument/2006/relationships/hyperlink" Target="https://www.sec.gov/Archives/edgar/data/1597264/000155837023001465/bpmc-20221231xex10d84.htm" TargetMode="External"/><Relationship Id="rId231" Type="http://schemas.openxmlformats.org/officeDocument/2006/relationships/hyperlink" Target="https://www.sec.gov/Archives/edgar/data/1597264/000155837023001465/bpmc-20221231xex10d85.htm" TargetMode="External"/><Relationship Id="rId232" Type="http://schemas.openxmlformats.org/officeDocument/2006/relationships/hyperlink" Target="https://www.sec.gov/Archives/edgar/data/1597264/000110465923064663/tm2316983d1_ex10-1.htm" TargetMode="External"/><Relationship Id="rId233" Type="http://schemas.openxmlformats.org/officeDocument/2006/relationships/hyperlink" Target="https://www.sec.gov/Archives/edgar/data/1597264/000155837023008120/bpmc-20230331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2024-02-15T18:15:15Z</dcterms:created>
  <dcterms:modified xsi:type="dcterms:W3CDTF">2024-02-15T18:15:15Z</dcterms:modified>
</cp:coreProperties>
</file>