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80"/>
          </w:cols>
          <w:pgMar w:left="1320" w:top="206" w:right="1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60"/>
          </w:cols>
          <w:pgMar w:left="1320" w:top="206" w:right="1299" w:bottom="1440" w:gutter="0" w:footer="0" w:header="0"/>
          <w:type w:val="continuous"/>
        </w:sectPr>
      </w:pPr>
    </w:p>
    <w:p>
      <w:pPr>
        <w:spacing w:after="0" w:line="358"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80"/>
          </w:cols>
          <w:pgMar w:left="1320" w:top="206" w:right="129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83185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60" w:hanging="32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60" w:hanging="32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60" w:hanging="321"/>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Arial" w:cs="Arial" w:eastAsia="Arial" w:hAnsi="Arial"/>
          <w:sz w:val="16"/>
          <w:szCs w:val="16"/>
          <w:color w:val="auto"/>
        </w:rPr>
      </w:pPr>
    </w:p>
    <w:p>
      <w:pPr>
        <w:ind w:left="960" w:hanging="321"/>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4" w:lineRule="exact"/>
        <w:rPr>
          <w:sz w:val="24"/>
          <w:szCs w:val="24"/>
          <w:color w:val="auto"/>
        </w:rPr>
      </w:pPr>
    </w:p>
    <w:p>
      <w:pPr>
        <w:ind w:right="100" w:firstLine="648"/>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71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80"/>
          </w:cols>
          <w:pgMar w:left="1320" w:top="206" w:right="1299" w:bottom="1440" w:gutter="0" w:footer="0" w:header="0"/>
          <w:type w:val="continuous"/>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Michael Landsittel as Vice President, Finance</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November 22, 2017, Blueprint Medicines Corporation (the “Company”) entered into an employment agreement with Michael Landsittel, its Vice President, Finance. This employment agreement provides for “at will” employment and supersedes and replaces in all respects the terms of the offer letter agreement and change in control agreement that the Company previously entered into with Mr. Landsittel in connection with his employment with the Company.</w:t>
      </w:r>
    </w:p>
    <w:p>
      <w:pPr>
        <w:spacing w:after="0" w:line="17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employment agreement entitles Mr. Landsittel to an annual base salary of $260,936 and an annual performance bonus targeted at 30% of his base salary, each of which are subject to periodic review and adjustment. Mr. Landsittel is eligible to participate in the employee benefit plans generally available to full-time employees, subject to the terms of those plans. If Mr. Landsittel’s employment is terminated by the Company without cause (as defined in his employment agreement) or by Mr. Landsittel for good reason (as defined in his employment agreement), and subject to Mr. Landsittel’s execution of a release of potential claims against the Company, Mr. Landsittel will be entitled to receive: (i) a lump sum in cash in an amount equal to 12 months of base salary and (ii) a monthly cash payment for 12 months for medical and dental benefits or Mr. Landsittel’s COBRA health continuation period, whichever ends earlier. However, in the event that Mr. Landsittel’s employment is terminated by the Company without cause, or Mr. Landsittel terminates his employment with the Company for good reason, in either case within 12 months following the occurrence of a sale event (as defined in his employment agreement), in lieu of the severance payments and benefits described in the preceding sentence and subject to Mr. Landsittel’s execution of a release of potential claims against the Company, Mr. Landsittel will be entitled to receive: (i) a lump sum in cash in an amount equal to the sum of 12 months of Mr. Landsittel’s base salary then in effect plus Mr. Landsittel’s target annual incentive compensation for the year in which the termination occurs, (ii) a monthly cash payment for 12 months for medical and dental benefits or Mr. Landsittel’s COBRA health continuation period, whichever ends earlier, and (iii) full and immediate vesting and exercisability of all time-based stock options and other time-based stock-based awards held by Mr. Landsittel. Mr. Landsittel has also previously entered into a non-competition, non-solicitation, confidentiality and assignment agreement that contains, among other things, non-competition and non-solicitation provisions that apply during the term of Mr. Landsittel’s employment and for 12 months thereafter.</w:t>
      </w:r>
    </w:p>
    <w:p>
      <w:pPr>
        <w:spacing w:after="0" w:line="19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foregoing description of the employment agreement with Mr. Landsittel is qualified in its entirety by reference to the complete text of such agreement, a copy of which is attached as Exhibit 10.1 to this Current Report on Form 8-K.</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7960" w:type="dxa"/>
            <w:vAlign w:val="bottom"/>
            <w:gridSpan w:val="2"/>
          </w:tcPr>
          <w:p>
            <w:pPr>
              <w:jc w:val="right"/>
              <w:ind w:right="5150"/>
              <w:spacing w:after="0"/>
              <w:rPr>
                <w:sz w:val="20"/>
                <w:szCs w:val="20"/>
                <w:color w:val="auto"/>
              </w:rPr>
            </w:pPr>
            <w:r>
              <w:rPr>
                <w:rFonts w:ascii="Arial" w:cs="Arial" w:eastAsia="Arial" w:hAnsi="Arial"/>
                <w:sz w:val="18"/>
                <w:szCs w:val="18"/>
                <w:b w:val="1"/>
                <w:bCs w:val="1"/>
                <w:color w:val="auto"/>
                <w:w w:val="90"/>
              </w:rPr>
              <w:t>Financial Statements and Exhibits.</w:t>
            </w: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Exhibit No.</w:t>
            </w:r>
          </w:p>
        </w:tc>
        <w:tc>
          <w:tcPr>
            <w:tcW w:w="280" w:type="dxa"/>
            <w:vAlign w:val="bottom"/>
          </w:tcPr>
          <w:p>
            <w:pPr>
              <w:spacing w:after="0"/>
              <w:rPr>
                <w:sz w:val="24"/>
                <w:szCs w:val="24"/>
                <w:color w:val="auto"/>
              </w:rPr>
            </w:pPr>
          </w:p>
        </w:tc>
        <w:tc>
          <w:tcPr>
            <w:tcW w:w="76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300" w:type="dxa"/>
            <w:vAlign w:val="bottom"/>
          </w:tcPr>
          <w:p>
            <w:pPr>
              <w:ind w:left="80"/>
              <w:spacing w:after="0" w:line="195"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6"/>
                <w:szCs w:val="16"/>
                <w:color w:val="auto"/>
              </w:rPr>
            </w:pPr>
          </w:p>
        </w:tc>
        <w:tc>
          <w:tcPr>
            <w:tcW w:w="7680" w:type="dxa"/>
            <w:vAlign w:val="bottom"/>
          </w:tcPr>
          <w:p>
            <w:pPr>
              <w:ind w:left="120"/>
              <w:spacing w:after="0" w:line="195" w:lineRule="exact"/>
              <w:rPr>
                <w:sz w:val="20"/>
                <w:szCs w:val="20"/>
                <w:color w:val="auto"/>
              </w:rPr>
            </w:pPr>
            <w:r>
              <w:rPr>
                <w:rFonts w:ascii="Arial" w:cs="Arial" w:eastAsia="Arial" w:hAnsi="Arial"/>
                <w:sz w:val="18"/>
                <w:szCs w:val="18"/>
                <w:color w:val="auto"/>
                <w:w w:val="93"/>
              </w:rPr>
              <w:t>Employment Agreement, dated November 22, 2017, by and between Blueprint Medicines Corporation</w:t>
            </w: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and Michael Landsittel</w:t>
            </w:r>
          </w:p>
        </w:tc>
      </w:tr>
      <w:tr>
        <w:trPr>
          <w:trHeight w:val="864"/>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60" w:type="dxa"/>
            <w:vAlign w:val="bottom"/>
            <w:gridSpan w:val="2"/>
          </w:tcPr>
          <w:p>
            <w:pPr>
              <w:jc w:val="right"/>
              <w:ind w:right="4510"/>
              <w:spacing w:after="0"/>
              <w:rPr>
                <w:sz w:val="20"/>
                <w:szCs w:val="20"/>
                <w:color w:val="auto"/>
              </w:rPr>
            </w:pPr>
            <w:r>
              <w:rPr>
                <w:rFonts w:ascii="Arial" w:cs="Arial" w:eastAsia="Arial" w:hAnsi="Arial"/>
                <w:sz w:val="18"/>
                <w:szCs w:val="18"/>
                <w:color w:val="auto"/>
              </w:rPr>
              <w:t>2</w:t>
            </w:r>
          </w:p>
        </w:tc>
      </w:tr>
      <w:tr>
        <w:trPr>
          <w:trHeight w:val="129"/>
        </w:trPr>
        <w:tc>
          <w:tcPr>
            <w:tcW w:w="2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900" w:type="dxa"/>
            <w:vAlign w:val="bottom"/>
            <w:gridSpan w:val="2"/>
          </w:tcPr>
          <w:p>
            <w:pPr>
              <w:ind w:left="560"/>
              <w:spacing w:after="0"/>
              <w:rPr>
                <w:sz w:val="20"/>
                <w:szCs w:val="20"/>
                <w:color w:val="auto"/>
              </w:rPr>
            </w:pPr>
            <w:r>
              <w:rPr>
                <w:rFonts w:ascii="Arial" w:cs="Arial" w:eastAsia="Arial" w:hAnsi="Arial"/>
                <w:sz w:val="18"/>
                <w:szCs w:val="18"/>
                <w:b w:val="1"/>
                <w:bCs w:val="1"/>
                <w:color w:val="auto"/>
              </w:rPr>
              <w:t>EXHIBIT INDEX</w:t>
            </w:r>
          </w:p>
        </w:tc>
      </w:tr>
      <w:tr>
        <w:trPr>
          <w:trHeight w:val="662"/>
        </w:trPr>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20" w:type="dxa"/>
            <w:vAlign w:val="bottom"/>
            <w:tcBorders>
              <w:top w:val="single" w:sz="8" w:color="auto"/>
            </w:tcBorders>
          </w:tcPr>
          <w:p>
            <w:pPr>
              <w:ind w:left="100"/>
              <w:spacing w:after="0" w:line="170"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560" w:type="dxa"/>
            <w:vAlign w:val="bottom"/>
            <w:tcBorders>
              <w:top w:val="single" w:sz="8" w:color="auto"/>
            </w:tcBorders>
            <w:gridSpan w:val="3"/>
          </w:tcPr>
          <w:p>
            <w:pPr>
              <w:spacing w:after="0" w:line="170"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Employment Agreement, dated November 22, 2017, by and between Blueprint Medicines Corporation</w:t>
              </w:r>
            </w:hyperlink>
          </w:p>
        </w:tc>
      </w:tr>
      <w:tr>
        <w:trPr>
          <w:trHeight w:val="196"/>
        </w:trPr>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and Michael Landsittel</w:t>
              </w:r>
            </w:hyperlink>
          </w:p>
        </w:tc>
        <w:tc>
          <w:tcPr>
            <w:tcW w:w="57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5960" w:type="dxa"/>
            <w:vAlign w:val="bottom"/>
            <w:gridSpan w:val="2"/>
          </w:tcPr>
          <w:p>
            <w:pPr>
              <w:ind w:left="1460"/>
              <w:spacing w:after="0"/>
              <w:rPr>
                <w:sz w:val="20"/>
                <w:szCs w:val="20"/>
                <w:color w:val="auto"/>
              </w:rPr>
            </w:pPr>
            <w:r>
              <w:rPr>
                <w:rFonts w:ascii="Arial" w:cs="Arial" w:eastAsia="Arial" w:hAnsi="Arial"/>
                <w:sz w:val="18"/>
                <w:szCs w:val="18"/>
                <w:b w:val="1"/>
                <w:bCs w:val="1"/>
                <w:color w:val="auto"/>
              </w:rPr>
              <w:t>BLUEPRINT MEDICINES CORPORATION</w:t>
            </w:r>
          </w:p>
        </w:tc>
      </w:tr>
      <w:tr>
        <w:trPr>
          <w:trHeight w:val="675"/>
        </w:trPr>
        <w:tc>
          <w:tcPr>
            <w:tcW w:w="3320" w:type="dxa"/>
            <w:vAlign w:val="bottom"/>
          </w:tcPr>
          <w:p>
            <w:pPr>
              <w:spacing w:after="0"/>
              <w:rPr>
                <w:sz w:val="20"/>
                <w:szCs w:val="20"/>
                <w:color w:val="auto"/>
              </w:rPr>
            </w:pPr>
            <w:r>
              <w:rPr>
                <w:rFonts w:ascii="Arial" w:cs="Arial" w:eastAsia="Arial" w:hAnsi="Arial"/>
                <w:sz w:val="18"/>
                <w:szCs w:val="18"/>
                <w:color w:val="auto"/>
              </w:rPr>
              <w:t>Date: November 22, 2017</w:t>
            </w:r>
          </w:p>
        </w:tc>
        <w:tc>
          <w:tcPr>
            <w:tcW w:w="5960" w:type="dxa"/>
            <w:vAlign w:val="bottom"/>
            <w:gridSpan w:val="2"/>
          </w:tcPr>
          <w:p>
            <w:pPr>
              <w:ind w:left="1460"/>
              <w:spacing w:after="0"/>
              <w:rPr>
                <w:sz w:val="20"/>
                <w:szCs w:val="20"/>
                <w:color w:val="auto"/>
              </w:rPr>
            </w:pPr>
            <w:r>
              <w:rPr>
                <w:rFonts w:ascii="Arial" w:cs="Arial" w:eastAsia="Arial" w:hAnsi="Arial"/>
                <w:sz w:val="18"/>
                <w:szCs w:val="18"/>
                <w:color w:val="auto"/>
              </w:rPr>
              <w:t>By: /s/ Jeffrey W. Albers</w:t>
            </w:r>
          </w:p>
        </w:tc>
      </w:tr>
      <w:tr>
        <w:trPr>
          <w:trHeight w:val="195"/>
        </w:trPr>
        <w:tc>
          <w:tcPr>
            <w:tcW w:w="3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10.1</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ind w:left="160" w:right="939" w:firstLine="648"/>
        <w:spacing w:after="0"/>
        <w:rPr>
          <w:sz w:val="20"/>
          <w:szCs w:val="20"/>
          <w:color w:val="auto"/>
        </w:rPr>
      </w:pPr>
      <w:r>
        <w:rPr>
          <w:rFonts w:ascii="Arial" w:cs="Arial" w:eastAsia="Arial" w:hAnsi="Arial"/>
          <w:sz w:val="22"/>
          <w:szCs w:val="22"/>
          <w:color w:val="auto"/>
        </w:rPr>
        <w:t>This Employment Agreement (“Agreement”) is dated as of November 22, 2017 (the “Effective Date”), between Blueprint Medicines Corporation, a Delaware corporation (the “Company”), and Michael Landsittel (the “Executive”).</w:t>
      </w:r>
    </w:p>
    <w:p>
      <w:pPr>
        <w:spacing w:after="0" w:line="186" w:lineRule="exact"/>
        <w:rPr>
          <w:sz w:val="20"/>
          <w:szCs w:val="20"/>
          <w:color w:val="auto"/>
        </w:rPr>
      </w:pPr>
    </w:p>
    <w:p>
      <w:pPr>
        <w:ind w:left="160" w:right="159" w:firstLine="648"/>
        <w:spacing w:after="0" w:line="238" w:lineRule="auto"/>
        <w:rPr>
          <w:sz w:val="20"/>
          <w:szCs w:val="20"/>
          <w:color w:val="auto"/>
        </w:rPr>
      </w:pPr>
      <w:r>
        <w:rPr>
          <w:rFonts w:ascii="Arial" w:cs="Arial" w:eastAsia="Arial" w:hAnsi="Arial"/>
          <w:sz w:val="22"/>
          <w:szCs w:val="22"/>
          <w:color w:val="auto"/>
        </w:rPr>
        <w:t>WHEREAS, the Company and the Executive previously entered into an offer letter agreement, dated August 26, 2014, and a change in control agreement, dated March 10, 2016 (collectively, the “Prior Agreements”), which the Company and the Executive intend to replace in its entirety with this Agreement; and</w:t>
      </w:r>
    </w:p>
    <w:p>
      <w:pPr>
        <w:spacing w:after="0" w:line="185" w:lineRule="exact"/>
        <w:rPr>
          <w:sz w:val="20"/>
          <w:szCs w:val="20"/>
          <w:color w:val="auto"/>
        </w:rPr>
      </w:pPr>
    </w:p>
    <w:p>
      <w:pPr>
        <w:ind w:left="160" w:right="399" w:firstLine="648"/>
        <w:spacing w:after="0" w:line="328" w:lineRule="auto"/>
        <w:rPr>
          <w:sz w:val="20"/>
          <w:szCs w:val="20"/>
          <w:color w:val="auto"/>
        </w:rPr>
      </w:pPr>
      <w:r>
        <w:rPr>
          <w:rFonts w:ascii="Arial" w:cs="Arial" w:eastAsia="Arial" w:hAnsi="Arial"/>
          <w:sz w:val="19"/>
          <w:szCs w:val="19"/>
          <w:color w:val="auto"/>
        </w:rPr>
        <w:t>WHEREAS, the Company desires to continue to employ the Executive and the Executive desires to continue to be employed by the Company on the terms and conditions contained herein.</w:t>
      </w:r>
    </w:p>
    <w:p>
      <w:pPr>
        <w:spacing w:after="0" w:line="105" w:lineRule="exact"/>
        <w:rPr>
          <w:sz w:val="20"/>
          <w:szCs w:val="20"/>
          <w:color w:val="auto"/>
        </w:rPr>
      </w:pPr>
    </w:p>
    <w:p>
      <w:pPr>
        <w:ind w:left="160" w:right="259" w:firstLine="648"/>
        <w:spacing w:after="0"/>
        <w:rPr>
          <w:sz w:val="20"/>
          <w:szCs w:val="20"/>
          <w:color w:val="auto"/>
        </w:rPr>
      </w:pPr>
      <w:r>
        <w:rPr>
          <w:rFonts w:ascii="Arial" w:cs="Arial" w:eastAsia="Arial" w:hAnsi="Arial"/>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86" w:lineRule="exact"/>
        <w:rPr>
          <w:sz w:val="20"/>
          <w:szCs w:val="20"/>
          <w:color w:val="auto"/>
        </w:rPr>
      </w:pPr>
    </w:p>
    <w:p>
      <w:pPr>
        <w:ind w:left="1440" w:hanging="641"/>
        <w:spacing w:after="0"/>
        <w:tabs>
          <w:tab w:leader="none" w:pos="144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219" w:firstLine="1287"/>
        <w:spacing w:after="0" w:line="328" w:lineRule="auto"/>
        <w:tabs>
          <w:tab w:leader="none" w:pos="2142" w:val="left"/>
        </w:tabs>
        <w:numPr>
          <w:ilvl w:val="1"/>
          <w:numId w:val="2"/>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continue until terminated in accordance with the provisions of Section 3 (the “Term”).</w:t>
      </w:r>
    </w:p>
    <w:p>
      <w:pPr>
        <w:spacing w:after="0" w:line="105" w:lineRule="exact"/>
        <w:rPr>
          <w:rFonts w:ascii="Arial" w:cs="Arial" w:eastAsia="Arial" w:hAnsi="Arial"/>
          <w:sz w:val="19"/>
          <w:szCs w:val="19"/>
          <w:color w:val="auto"/>
        </w:rPr>
      </w:pPr>
    </w:p>
    <w:p>
      <w:pPr>
        <w:ind w:left="160" w:right="159" w:firstLine="1287"/>
        <w:spacing w:after="0" w:line="245" w:lineRule="auto"/>
        <w:tabs>
          <w:tab w:leader="none" w:pos="2154" w:val="left"/>
        </w:tabs>
        <w:numPr>
          <w:ilvl w:val="1"/>
          <w:numId w:val="2"/>
        </w:numPr>
        <w:rPr>
          <w:rFonts w:ascii="Arial" w:cs="Arial" w:eastAsia="Arial" w:hAnsi="Arial"/>
          <w:sz w:val="21"/>
          <w:szCs w:val="21"/>
          <w:color w:val="auto"/>
        </w:rPr>
      </w:pPr>
      <w:r>
        <w:rPr>
          <w:rFonts w:ascii="Arial" w:cs="Arial" w:eastAsia="Arial" w:hAnsi="Arial"/>
          <w:sz w:val="21"/>
          <w:szCs w:val="21"/>
          <w:u w:val="single" w:color="auto"/>
          <w:color w:val="auto"/>
        </w:rPr>
        <w:t>Position and Duties</w:t>
      </w:r>
      <w:r>
        <w:rPr>
          <w:rFonts w:ascii="Arial" w:cs="Arial" w:eastAsia="Arial" w:hAnsi="Arial"/>
          <w:sz w:val="21"/>
          <w:szCs w:val="21"/>
          <w:color w:val="auto"/>
        </w:rPr>
        <w:t>. During the Term, the Executive shall serve as the Vice President, Finance of the Company, and shall have such duties as are consistent with such position. The Executive shall report to the Chief Executive Officer of the Company (the “CEO”). The Executive shall devote his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his duties to the Company as provided in this Agreement.</w:t>
      </w:r>
    </w:p>
    <w:p>
      <w:pPr>
        <w:spacing w:after="0" w:line="185" w:lineRule="exact"/>
        <w:rPr>
          <w:rFonts w:ascii="Arial" w:cs="Arial" w:eastAsia="Arial" w:hAnsi="Arial"/>
          <w:sz w:val="21"/>
          <w:szCs w:val="21"/>
          <w:color w:val="auto"/>
        </w:rPr>
      </w:pPr>
    </w:p>
    <w:p>
      <w:pPr>
        <w:ind w:left="1440" w:hanging="641"/>
        <w:spacing w:after="0"/>
        <w:tabs>
          <w:tab w:leader="none" w:pos="144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140" w:hanging="693"/>
        <w:spacing w:after="0"/>
        <w:tabs>
          <w:tab w:leader="none" w:pos="2140" w:val="left"/>
        </w:tabs>
        <w:numPr>
          <w:ilvl w:val="1"/>
          <w:numId w:val="2"/>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During the Term, the Executive’s annual base salary shall</w:t>
      </w:r>
    </w:p>
    <w:p>
      <w:pPr>
        <w:spacing w:after="0" w:line="20" w:lineRule="exact"/>
        <w:rPr>
          <w:sz w:val="20"/>
          <w:szCs w:val="20"/>
          <w:color w:val="auto"/>
        </w:rPr>
      </w:pPr>
    </w:p>
    <w:p>
      <w:pPr>
        <w:ind w:left="160" w:right="199"/>
        <w:spacing w:after="0" w:line="232" w:lineRule="auto"/>
        <w:rPr>
          <w:sz w:val="20"/>
          <w:szCs w:val="20"/>
          <w:color w:val="auto"/>
        </w:rPr>
      </w:pPr>
      <w:r>
        <w:rPr>
          <w:rFonts w:ascii="Arial" w:cs="Arial" w:eastAsia="Arial" w:hAnsi="Arial"/>
          <w:sz w:val="22"/>
          <w:szCs w:val="22"/>
          <w:color w:val="auto"/>
        </w:rPr>
        <w:t>be $260,936. The Executive’s base salary shall be re-determined annually by the Board or the Compensation Committee of the Board (the “Compensation Committee”) and shall be subject to increase but not decrease while the Executive is serving in the Vice President, Finance role. The annual base salary in effect at any given time is referred to herein as “Base Salary.” The Base Salary shall be payable in a manner that is consistent with the Company’s usual payroll practices for senior executives.</w:t>
      </w:r>
    </w:p>
    <w:p>
      <w:pPr>
        <w:spacing w:after="0" w:line="189" w:lineRule="exact"/>
        <w:rPr>
          <w:sz w:val="20"/>
          <w:szCs w:val="20"/>
          <w:color w:val="auto"/>
        </w:rPr>
      </w:pPr>
    </w:p>
    <w:p>
      <w:pPr>
        <w:ind w:left="160" w:right="279" w:firstLine="1287"/>
        <w:spacing w:after="0" w:line="287" w:lineRule="auto"/>
        <w:tabs>
          <w:tab w:leader="none" w:pos="2154"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Incentive Compensation</w:t>
      </w:r>
      <w:r>
        <w:rPr>
          <w:rFonts w:ascii="Arial" w:cs="Arial" w:eastAsia="Arial" w:hAnsi="Arial"/>
          <w:sz w:val="19"/>
          <w:szCs w:val="19"/>
          <w:color w:val="auto"/>
        </w:rPr>
        <w:t>. During the Term, the Executive shall be eligible to receive cash incentive compensation as determined by the Board or the Compensation Committee from time to time. The Executive’s target annual incentive compensation shall be 30% of his Base Salary (the “Target Incentive Compensation”) and shall be re-determined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241935</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160" w:right="579"/>
        <w:spacing w:after="0" w:line="329" w:lineRule="auto"/>
        <w:rPr>
          <w:sz w:val="20"/>
          <w:szCs w:val="20"/>
          <w:color w:val="auto"/>
        </w:rPr>
      </w:pPr>
      <w:r>
        <w:rPr>
          <w:rFonts w:ascii="Arial" w:cs="Arial" w:eastAsia="Arial" w:hAnsi="Arial"/>
          <w:sz w:val="19"/>
          <w:szCs w:val="19"/>
          <w:color w:val="auto"/>
        </w:rPr>
        <w:t>periodically by the Board or the Compensation Committee. To earn incentive compensation, the Executive must be employed by the Company on the day such incentive compensation is paid.</w:t>
      </w:r>
    </w:p>
    <w:p>
      <w:pPr>
        <w:spacing w:after="0" w:line="104" w:lineRule="exact"/>
        <w:rPr>
          <w:sz w:val="20"/>
          <w:szCs w:val="20"/>
          <w:color w:val="auto"/>
        </w:rPr>
      </w:pPr>
    </w:p>
    <w:p>
      <w:pPr>
        <w:ind w:left="160" w:right="339" w:firstLine="1287"/>
        <w:spacing w:after="0" w:line="276" w:lineRule="auto"/>
        <w:tabs>
          <w:tab w:leader="none" w:pos="2155" w:val="left"/>
        </w:tabs>
        <w:numPr>
          <w:ilvl w:val="1"/>
          <w:numId w:val="4"/>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Executive shall be entitled to receive prompt reimbursement for all reasonable expenses incurred by the Executive during the Term in performing</w:t>
      </w:r>
    </w:p>
    <w:p>
      <w:pPr>
        <w:spacing w:after="0" w:line="1" w:lineRule="exact"/>
        <w:rPr>
          <w:rFonts w:ascii="Arial" w:cs="Arial" w:eastAsia="Arial" w:hAnsi="Arial"/>
          <w:sz w:val="19"/>
          <w:szCs w:val="19"/>
          <w:color w:val="auto"/>
        </w:rPr>
      </w:pPr>
    </w:p>
    <w:p>
      <w:pPr>
        <w:ind w:left="160" w:right="279"/>
        <w:spacing w:after="0" w:line="237" w:lineRule="auto"/>
        <w:rPr>
          <w:rFonts w:ascii="Arial" w:cs="Arial" w:eastAsia="Arial" w:hAnsi="Arial"/>
          <w:sz w:val="19"/>
          <w:szCs w:val="19"/>
          <w:color w:val="auto"/>
        </w:rPr>
      </w:pPr>
      <w:r>
        <w:rPr>
          <w:rFonts w:ascii="Arial" w:cs="Arial" w:eastAsia="Arial" w:hAnsi="Arial"/>
          <w:sz w:val="22"/>
          <w:szCs w:val="22"/>
          <w:color w:val="auto"/>
        </w:rPr>
        <w:t>services hereunder, in accordance with the policies and procedures then in effect and established by the Company for its senior executive officers.</w:t>
      </w:r>
    </w:p>
    <w:p>
      <w:pPr>
        <w:spacing w:after="0" w:line="184" w:lineRule="exact"/>
        <w:rPr>
          <w:rFonts w:ascii="Arial" w:cs="Arial" w:eastAsia="Arial" w:hAnsi="Arial"/>
          <w:sz w:val="19"/>
          <w:szCs w:val="19"/>
          <w:color w:val="auto"/>
        </w:rPr>
      </w:pPr>
    </w:p>
    <w:p>
      <w:pPr>
        <w:ind w:left="160" w:right="159" w:firstLine="1287"/>
        <w:spacing w:after="0"/>
        <w:tabs>
          <w:tab w:leader="none" w:pos="2154"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During the Term, the Executive shall be eligible to participate in or receive benefits under the Company’s employee benefit plans in effect from time to time, subject to the terms of such plans.</w:t>
      </w:r>
    </w:p>
    <w:p>
      <w:pPr>
        <w:spacing w:after="0" w:line="186" w:lineRule="exact"/>
        <w:rPr>
          <w:rFonts w:ascii="Arial" w:cs="Arial" w:eastAsia="Arial" w:hAnsi="Arial"/>
          <w:sz w:val="22"/>
          <w:szCs w:val="22"/>
          <w:color w:val="auto"/>
        </w:rPr>
      </w:pPr>
    </w:p>
    <w:p>
      <w:pPr>
        <w:ind w:left="160" w:right="519" w:firstLine="1287"/>
        <w:spacing w:after="0" w:line="251" w:lineRule="auto"/>
        <w:tabs>
          <w:tab w:leader="none" w:pos="2142"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Vacations</w:t>
      </w:r>
      <w:r>
        <w:rPr>
          <w:rFonts w:ascii="Arial" w:cs="Arial" w:eastAsia="Arial" w:hAnsi="Arial"/>
          <w:sz w:val="22"/>
          <w:szCs w:val="22"/>
          <w:color w:val="auto"/>
        </w:rPr>
        <w:t>. During the Term, the Executive shall be entitled to accrue paid vacation in accordance with the Company’s applicable policy.</w:t>
      </w:r>
    </w:p>
    <w:p>
      <w:pPr>
        <w:spacing w:after="0" w:line="173" w:lineRule="exact"/>
        <w:rPr>
          <w:rFonts w:ascii="Arial" w:cs="Arial" w:eastAsia="Arial" w:hAnsi="Arial"/>
          <w:sz w:val="22"/>
          <w:szCs w:val="22"/>
          <w:color w:val="auto"/>
        </w:rPr>
      </w:pPr>
    </w:p>
    <w:p>
      <w:pPr>
        <w:ind w:left="160" w:right="779" w:firstLine="639"/>
        <w:spacing w:after="0" w:line="328" w:lineRule="auto"/>
        <w:tabs>
          <w:tab w:leader="none" w:pos="1483"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During the Term, the Executive’s employment hereunder may be terminated without any breach of this Agreement under the following circumstances:</w:t>
      </w:r>
    </w:p>
    <w:p>
      <w:pPr>
        <w:spacing w:after="0" w:line="105" w:lineRule="exact"/>
        <w:rPr>
          <w:rFonts w:ascii="Arial" w:cs="Arial" w:eastAsia="Arial" w:hAnsi="Arial"/>
          <w:sz w:val="19"/>
          <w:szCs w:val="19"/>
          <w:color w:val="auto"/>
        </w:rPr>
      </w:pPr>
    </w:p>
    <w:p>
      <w:pPr>
        <w:ind w:left="2140" w:hanging="693"/>
        <w:spacing w:after="0"/>
        <w:tabs>
          <w:tab w:leader="none" w:pos="2140" w:val="left"/>
        </w:tabs>
        <w:numPr>
          <w:ilvl w:val="1"/>
          <w:numId w:val="5"/>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The Executive’s employment hereunder shall terminate upon his</w:t>
      </w:r>
    </w:p>
    <w:p>
      <w:pPr>
        <w:spacing w:after="0" w:line="19" w:lineRule="exact"/>
        <w:rPr>
          <w:rFonts w:ascii="Arial" w:cs="Arial" w:eastAsia="Arial" w:hAnsi="Arial"/>
          <w:sz w:val="21"/>
          <w:szCs w:val="21"/>
          <w:color w:val="auto"/>
        </w:rPr>
      </w:pPr>
    </w:p>
    <w:p>
      <w:pPr>
        <w:ind w:left="160"/>
        <w:spacing w:after="0"/>
        <w:rPr>
          <w:rFonts w:ascii="Arial" w:cs="Arial" w:eastAsia="Arial" w:hAnsi="Arial"/>
          <w:sz w:val="21"/>
          <w:szCs w:val="21"/>
          <w:color w:val="auto"/>
        </w:rPr>
      </w:pPr>
      <w:r>
        <w:rPr>
          <w:rFonts w:ascii="Arial" w:cs="Arial" w:eastAsia="Arial" w:hAnsi="Arial"/>
          <w:sz w:val="22"/>
          <w:szCs w:val="22"/>
          <w:color w:val="auto"/>
        </w:rPr>
        <w:t>death.</w:t>
      </w:r>
    </w:p>
    <w:p>
      <w:pPr>
        <w:spacing w:after="0" w:line="188" w:lineRule="exact"/>
        <w:rPr>
          <w:rFonts w:ascii="Arial" w:cs="Arial" w:eastAsia="Arial" w:hAnsi="Arial"/>
          <w:sz w:val="21"/>
          <w:szCs w:val="21"/>
          <w:color w:val="auto"/>
        </w:rPr>
      </w:pPr>
    </w:p>
    <w:p>
      <w:pPr>
        <w:ind w:left="160" w:right="219" w:firstLine="1287"/>
        <w:spacing w:after="0" w:line="271" w:lineRule="auto"/>
        <w:tabs>
          <w:tab w:leader="none" w:pos="2154"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Americans with Disabilities Act, 42 U.S.C. §12101 </w:t>
      </w:r>
      <w:r>
        <w:rPr>
          <w:rFonts w:ascii="Arial" w:cs="Arial" w:eastAsia="Arial" w:hAnsi="Arial"/>
          <w:sz w:val="19"/>
          <w:szCs w:val="19"/>
          <w:i w:val="1"/>
          <w:iCs w:val="1"/>
          <w:color w:val="auto"/>
        </w:rPr>
        <w:t>et seq.</w:t>
      </w:r>
    </w:p>
    <w:p>
      <w:pPr>
        <w:spacing w:after="0" w:line="158" w:lineRule="exact"/>
        <w:rPr>
          <w:rFonts w:ascii="Arial" w:cs="Arial" w:eastAsia="Arial" w:hAnsi="Arial"/>
          <w:sz w:val="19"/>
          <w:szCs w:val="19"/>
          <w:color w:val="auto"/>
        </w:rPr>
      </w:pPr>
    </w:p>
    <w:p>
      <w:pPr>
        <w:ind w:left="160" w:right="159" w:firstLine="1287"/>
        <w:spacing w:after="0" w:line="277" w:lineRule="auto"/>
        <w:tabs>
          <w:tab w:leader="none" w:pos="2155"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ind w:left="160" w:right="159"/>
        <w:spacing w:after="0" w:line="270" w:lineRule="auto"/>
        <w:rPr>
          <w:sz w:val="20"/>
          <w:szCs w:val="20"/>
          <w:color w:val="auto"/>
        </w:rPr>
      </w:pPr>
      <w:r>
        <w:rPr>
          <w:rFonts w:ascii="Arial" w:cs="Arial" w:eastAsia="Arial" w:hAnsi="Arial"/>
          <w:sz w:val="19"/>
          <w:szCs w:val="19"/>
          <w:color w:val="auto"/>
        </w:rPr>
        <w:t>fraud, or any conduct by the Executive that would reasonably be expected to result in material 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30 days following written notice of such non-performance from the CEO; (iv) a material breach by the Executive of any of the provisions contained in Section 7 of this Agreement;</w:t>
      </w:r>
    </w:p>
    <w:p>
      <w:pPr>
        <w:spacing w:after="0" w:line="2" w:lineRule="exact"/>
        <w:rPr>
          <w:sz w:val="20"/>
          <w:szCs w:val="20"/>
          <w:color w:val="auto"/>
        </w:rPr>
      </w:pPr>
    </w:p>
    <w:p>
      <w:pPr>
        <w:ind w:left="160" w:right="379" w:hanging="9"/>
        <w:spacing w:after="0" w:line="244" w:lineRule="auto"/>
        <w:tabs>
          <w:tab w:leader="none" w:pos="466" w:val="left"/>
        </w:tabs>
        <w:numPr>
          <w:ilvl w:val="0"/>
          <w:numId w:val="6"/>
        </w:numPr>
        <w:rPr>
          <w:rFonts w:ascii="Arial" w:cs="Arial" w:eastAsia="Arial" w:hAnsi="Arial"/>
          <w:sz w:val="21"/>
          <w:szCs w:val="21"/>
          <w:color w:val="auto"/>
        </w:rPr>
      </w:pPr>
      <w:r>
        <w:rPr>
          <w:rFonts w:ascii="Arial" w:cs="Arial" w:eastAsia="Arial" w:hAnsi="Arial"/>
          <w:sz w:val="21"/>
          <w:szCs w:val="21"/>
          <w:color w:val="auto"/>
        </w:rPr>
        <w:t>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3" w:lineRule="exact"/>
        <w:rPr>
          <w:rFonts w:ascii="Arial" w:cs="Arial" w:eastAsia="Arial" w:hAnsi="Arial"/>
          <w:sz w:val="21"/>
          <w:szCs w:val="21"/>
          <w:color w:val="auto"/>
        </w:rPr>
      </w:pPr>
    </w:p>
    <w:p>
      <w:pPr>
        <w:ind w:left="160" w:right="379" w:firstLine="1287"/>
        <w:spacing w:after="0" w:line="282" w:lineRule="auto"/>
        <w:tabs>
          <w:tab w:leader="none" w:pos="2154"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47" w:lineRule="exact"/>
        <w:rPr>
          <w:rFonts w:ascii="Arial" w:cs="Arial" w:eastAsia="Arial" w:hAnsi="Arial"/>
          <w:sz w:val="19"/>
          <w:szCs w:val="19"/>
          <w:color w:val="auto"/>
        </w:rPr>
      </w:pPr>
    </w:p>
    <w:p>
      <w:pPr>
        <w:ind w:left="160" w:right="139" w:firstLine="1287"/>
        <w:spacing w:after="0" w:line="270" w:lineRule="auto"/>
        <w:tabs>
          <w:tab w:leader="none" w:pos="2142"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his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without the Executive’s consent; (ii) a material diminution in the Executive’s Base Salary and/or Target Incentive Compensation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his employment within 60 days after the end of the Cure Period. If the Company cures the Good Reason condition during the Cure Period, Good Reason shall be deemed not to have occurred.</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160" w:right="299" w:firstLine="1287"/>
        <w:spacing w:after="0" w:line="249" w:lineRule="auto"/>
        <w:tabs>
          <w:tab w:leader="none" w:pos="2172" w:val="left"/>
        </w:tabs>
        <w:numPr>
          <w:ilvl w:val="1"/>
          <w:numId w:val="6"/>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ind w:left="160" w:right="199" w:firstLine="1287"/>
        <w:spacing w:after="0" w:line="271" w:lineRule="auto"/>
        <w:tabs>
          <w:tab w:leader="none" w:pos="2154" w:val="left"/>
        </w:tabs>
        <w:numPr>
          <w:ilvl w:val="2"/>
          <w:numId w:val="7"/>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w:t>
      </w:r>
    </w:p>
    <w:p>
      <w:pPr>
        <w:ind w:left="160" w:right="159" w:hanging="9"/>
        <w:spacing w:after="0" w:line="244" w:lineRule="auto"/>
        <w:tabs>
          <w:tab w:leader="none" w:pos="526" w:val="left"/>
        </w:tabs>
        <w:numPr>
          <w:ilvl w:val="0"/>
          <w:numId w:val="8"/>
        </w:numPr>
        <w:rPr>
          <w:rFonts w:ascii="Arial" w:cs="Arial" w:eastAsia="Arial" w:hAnsi="Arial"/>
          <w:sz w:val="21"/>
          <w:szCs w:val="21"/>
          <w:color w:val="auto"/>
        </w:rPr>
      </w:pPr>
      <w:r>
        <w:rPr>
          <w:rFonts w:ascii="Arial" w:cs="Arial" w:eastAsia="Arial" w:hAnsi="Arial"/>
          <w:sz w:val="21"/>
          <w:szCs w:val="21"/>
          <w:color w:val="auto"/>
        </w:rPr>
        <w:t>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1" w:lineRule="exact"/>
        <w:rPr>
          <w:rFonts w:ascii="Arial" w:cs="Arial" w:eastAsia="Arial" w:hAnsi="Arial"/>
          <w:sz w:val="21"/>
          <w:szCs w:val="21"/>
          <w:color w:val="auto"/>
        </w:rPr>
      </w:pPr>
    </w:p>
    <w:p>
      <w:pPr>
        <w:ind w:left="1440" w:hanging="641"/>
        <w:spacing w:after="0"/>
        <w:tabs>
          <w:tab w:leader="none" w:pos="1440"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179" w:firstLine="1287"/>
        <w:spacing w:after="0" w:line="274" w:lineRule="auto"/>
        <w:tabs>
          <w:tab w:leader="none" w:pos="2142" w:val="left"/>
        </w:tabs>
        <w:numPr>
          <w:ilvl w:val="2"/>
          <w:numId w:val="8"/>
        </w:numPr>
        <w:rPr>
          <w:rFonts w:ascii="Arial" w:cs="Arial" w:eastAsia="Arial" w:hAnsi="Arial"/>
          <w:sz w:val="19"/>
          <w:szCs w:val="19"/>
          <w:color w:val="auto"/>
        </w:rPr>
      </w:pPr>
      <w:r>
        <w:rPr>
          <w:rFonts w:ascii="Arial" w:cs="Arial" w:eastAsia="Arial" w:hAnsi="Arial"/>
          <w:sz w:val="19"/>
          <w:szCs w:val="19"/>
          <w:u w:val="single" w:color="auto"/>
          <w:color w:val="auto"/>
        </w:rPr>
        <w:t>Termination Generally</w:t>
      </w:r>
      <w:r>
        <w:rPr>
          <w:rFonts w:ascii="Arial" w:cs="Arial" w:eastAsia="Arial" w:hAnsi="Arial"/>
          <w:sz w:val="19"/>
          <w:szCs w:val="19"/>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58" w:lineRule="exact"/>
        <w:rPr>
          <w:rFonts w:ascii="Arial" w:cs="Arial" w:eastAsia="Arial" w:hAnsi="Arial"/>
          <w:sz w:val="19"/>
          <w:szCs w:val="19"/>
          <w:color w:val="auto"/>
        </w:rPr>
      </w:pPr>
    </w:p>
    <w:p>
      <w:pPr>
        <w:ind w:left="160" w:right="259" w:firstLine="1287"/>
        <w:spacing w:after="0" w:line="274" w:lineRule="auto"/>
        <w:tabs>
          <w:tab w:leader="none" w:pos="2154" w:val="left"/>
        </w:tabs>
        <w:numPr>
          <w:ilvl w:val="2"/>
          <w:numId w:val="8"/>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the Executive with Good Reason</w:t>
      </w:r>
      <w:r>
        <w:rPr>
          <w:rFonts w:ascii="Arial" w:cs="Arial" w:eastAsia="Arial" w:hAnsi="Arial"/>
          <w:sz w:val="19"/>
          <w:szCs w:val="19"/>
          <w:color w:val="auto"/>
        </w:rPr>
        <w:t>. During the Term, if the Executive’s employment is terminated by the Company without Cause as provided in Section 3(d), or the Executive terminates his employment for Good Reason as provided in Section 3(e), then the Company shall pay the Executive his Accrued Benefit. In addition, subject to the Executive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irrevocable, all within 60 days after the Date of Termination:</w:t>
      </w:r>
    </w:p>
    <w:p>
      <w:pPr>
        <w:spacing w:after="0" w:line="158" w:lineRule="exact"/>
        <w:rPr>
          <w:rFonts w:ascii="Arial" w:cs="Arial" w:eastAsia="Arial" w:hAnsi="Arial"/>
          <w:sz w:val="19"/>
          <w:szCs w:val="19"/>
          <w:color w:val="auto"/>
        </w:rPr>
      </w:pPr>
    </w:p>
    <w:p>
      <w:pPr>
        <w:ind w:left="2820" w:hanging="725"/>
        <w:spacing w:after="0"/>
        <w:tabs>
          <w:tab w:leader="none" w:pos="2820" w:val="left"/>
        </w:tabs>
        <w:numPr>
          <w:ilvl w:val="3"/>
          <w:numId w:val="8"/>
        </w:numPr>
        <w:rPr>
          <w:rFonts w:ascii="Arial" w:cs="Arial" w:eastAsia="Arial" w:hAnsi="Arial"/>
          <w:sz w:val="21"/>
          <w:szCs w:val="21"/>
          <w:color w:val="424242"/>
        </w:rPr>
      </w:pPr>
      <w:r>
        <w:rPr>
          <w:rFonts w:ascii="Arial" w:cs="Arial" w:eastAsia="Arial" w:hAnsi="Arial"/>
          <w:sz w:val="21"/>
          <w:szCs w:val="21"/>
          <w:color w:val="auto"/>
        </w:rPr>
        <w:t>the Company shall pay the Executive an amount equal to one (1)</w:t>
      </w:r>
    </w:p>
    <w:p>
      <w:pPr>
        <w:spacing w:after="0" w:line="19" w:lineRule="exact"/>
        <w:rPr>
          <w:rFonts w:ascii="Arial" w:cs="Arial" w:eastAsia="Arial" w:hAnsi="Arial"/>
          <w:sz w:val="21"/>
          <w:szCs w:val="21"/>
          <w:color w:val="424242"/>
        </w:rPr>
      </w:pPr>
    </w:p>
    <w:p>
      <w:pPr>
        <w:ind w:left="800"/>
        <w:spacing w:after="0"/>
        <w:rPr>
          <w:rFonts w:ascii="Arial" w:cs="Arial" w:eastAsia="Arial" w:hAnsi="Arial"/>
          <w:sz w:val="21"/>
          <w:szCs w:val="21"/>
          <w:color w:val="424242"/>
        </w:rPr>
      </w:pPr>
      <w:r>
        <w:rPr>
          <w:rFonts w:ascii="Arial" w:cs="Arial" w:eastAsia="Arial" w:hAnsi="Arial"/>
          <w:sz w:val="22"/>
          <w:szCs w:val="22"/>
          <w:color w:val="auto"/>
        </w:rPr>
        <w:t>times the Executive’s Base Salary (the “Severance Amount”); and</w:t>
      </w:r>
    </w:p>
    <w:p>
      <w:pPr>
        <w:spacing w:after="0" w:line="188" w:lineRule="exact"/>
        <w:rPr>
          <w:rFonts w:ascii="Arial" w:cs="Arial" w:eastAsia="Arial" w:hAnsi="Arial"/>
          <w:sz w:val="21"/>
          <w:szCs w:val="21"/>
          <w:color w:val="424242"/>
        </w:rPr>
      </w:pPr>
    </w:p>
    <w:p>
      <w:pPr>
        <w:ind w:left="800" w:right="139" w:firstLine="1295"/>
        <w:spacing w:after="0" w:line="282" w:lineRule="auto"/>
        <w:tabs>
          <w:tab w:leader="none" w:pos="2847" w:val="left"/>
        </w:tabs>
        <w:numPr>
          <w:ilvl w:val="3"/>
          <w:numId w:val="8"/>
        </w:numPr>
        <w:rPr>
          <w:rFonts w:ascii="Arial" w:cs="Arial" w:eastAsia="Arial" w:hAnsi="Arial"/>
          <w:sz w:val="19"/>
          <w:szCs w:val="19"/>
          <w:color w:val="424242"/>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w:t>
      </w: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 w:name="page9"/>
    <w:bookmarkEnd w:id="8"/>
    <w:p>
      <w:pPr>
        <w:ind w:left="800" w:right="199"/>
        <w:spacing w:after="0" w:line="251" w:lineRule="auto"/>
        <w:rPr>
          <w:sz w:val="20"/>
          <w:szCs w:val="20"/>
          <w:color w:val="auto"/>
        </w:rPr>
      </w:pPr>
      <w:r>
        <w:rPr>
          <w:rFonts w:ascii="Arial" w:cs="Arial" w:eastAsia="Arial" w:hAnsi="Arial"/>
          <w:sz w:val="22"/>
          <w:szCs w:val="22"/>
          <w:color w:val="auto"/>
        </w:rPr>
        <w:t>would have made to provide health insurance to the Executive if the Executive had remained employed by the Company.</w:t>
      </w:r>
    </w:p>
    <w:p>
      <w:pPr>
        <w:spacing w:after="0" w:line="174" w:lineRule="exact"/>
        <w:rPr>
          <w:sz w:val="20"/>
          <w:szCs w:val="20"/>
          <w:color w:val="auto"/>
        </w:rPr>
      </w:pPr>
    </w:p>
    <w:p>
      <w:pPr>
        <w:ind w:left="160" w:right="139"/>
        <w:spacing w:after="0" w:line="275" w:lineRule="auto"/>
        <w:rPr>
          <w:sz w:val="20"/>
          <w:szCs w:val="20"/>
          <w:color w:val="auto"/>
        </w:rPr>
      </w:pPr>
      <w:r>
        <w:rPr>
          <w:rFonts w:ascii="Arial" w:cs="Arial" w:eastAsia="Arial" w:hAnsi="Arial"/>
          <w:sz w:val="19"/>
          <w:szCs w:val="19"/>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58" w:lineRule="exact"/>
        <w:rPr>
          <w:sz w:val="20"/>
          <w:szCs w:val="20"/>
          <w:color w:val="auto"/>
        </w:rPr>
      </w:pPr>
    </w:p>
    <w:p>
      <w:pPr>
        <w:ind w:left="160" w:right="199"/>
        <w:spacing w:after="0" w:line="247" w:lineRule="auto"/>
        <w:rPr>
          <w:sz w:val="20"/>
          <w:szCs w:val="20"/>
          <w:color w:val="auto"/>
        </w:rPr>
      </w:pPr>
      <w:r>
        <w:rPr>
          <w:rFonts w:ascii="Arial" w:cs="Arial" w:eastAsia="Arial" w:hAnsi="Arial"/>
          <w:sz w:val="21"/>
          <w:szCs w:val="21"/>
          <w:color w:val="auto"/>
        </w:rPr>
        <w:t>The receipt of any severance payments or benefits pursuant to Section 4 will be subject to Executive not violating the Restrictive Covenant Agreement (as defined below), the terms of which are hereby incorporated by reference. In the event Executive breaches the Restrictive Covenant Agreement, in addition to all other legal and equitable remedies, the Company shall have the right to terminate or suspend all continuing payments and benefits to which Executive may otherwise be entitled pursuant to Section 4 without affecting the Executive’s release or Executive’s obligations under the Separation Agreement and Release</w:t>
      </w:r>
    </w:p>
    <w:p>
      <w:pPr>
        <w:spacing w:after="0" w:line="178" w:lineRule="exact"/>
        <w:rPr>
          <w:sz w:val="20"/>
          <w:szCs w:val="20"/>
          <w:color w:val="auto"/>
        </w:rPr>
      </w:pPr>
    </w:p>
    <w:p>
      <w:pPr>
        <w:ind w:left="160" w:right="139" w:firstLine="639"/>
        <w:spacing w:after="0" w:line="270" w:lineRule="auto"/>
        <w:tabs>
          <w:tab w:leader="none" w:pos="1483"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Sale Event Payment</w:t>
      </w:r>
      <w:r>
        <w:rPr>
          <w:rFonts w:ascii="Arial" w:cs="Arial" w:eastAsia="Arial" w:hAnsi="Arial"/>
          <w:sz w:val="19"/>
          <w:szCs w:val="19"/>
          <w:color w:val="auto"/>
        </w:rPr>
        <w:t>. These provisions are intended to assure and encourage in advance the Executive’s continued attention and dedication to his assigned duties and his objectivity during the pendency and after the occurrence of any Sale Event (as defined below). These provisions shall apply in lieu of, and expressly supersede, the provisions of Section 4(b) regarding severance pay and benefits upon a termination of employment, if the Date of Termination occurs within twelve</w:t>
      </w:r>
    </w:p>
    <w:p>
      <w:pPr>
        <w:spacing w:after="0" w:line="4" w:lineRule="exact"/>
        <w:rPr>
          <w:rFonts w:ascii="Arial" w:cs="Arial" w:eastAsia="Arial" w:hAnsi="Arial"/>
          <w:sz w:val="19"/>
          <w:szCs w:val="19"/>
          <w:color w:val="auto"/>
        </w:rPr>
      </w:pPr>
    </w:p>
    <w:p>
      <w:pPr>
        <w:ind w:left="160" w:right="199" w:hanging="9"/>
        <w:spacing w:after="0" w:line="234" w:lineRule="auto"/>
        <w:tabs>
          <w:tab w:leader="none" w:pos="574" w:val="left"/>
        </w:tabs>
        <w:numPr>
          <w:ilvl w:val="0"/>
          <w:numId w:val="10"/>
        </w:numPr>
        <w:rPr>
          <w:rFonts w:ascii="Arial" w:cs="Arial" w:eastAsia="Arial" w:hAnsi="Arial"/>
          <w:sz w:val="22"/>
          <w:szCs w:val="22"/>
          <w:color w:val="auto"/>
        </w:rPr>
      </w:pPr>
      <w:r>
        <w:rPr>
          <w:rFonts w:ascii="Arial" w:cs="Arial" w:eastAsia="Arial" w:hAnsi="Arial"/>
          <w:sz w:val="22"/>
          <w:szCs w:val="22"/>
          <w:color w:val="auto"/>
        </w:rPr>
        <w:t>months after the occurrence of the first event constituting a Sale Event. These provisions shall terminate and be of no further force or effect beginning twelve (12) months after the occurrence of a Sale Event.</w:t>
      </w:r>
    </w:p>
    <w:p>
      <w:pPr>
        <w:spacing w:after="0" w:line="187" w:lineRule="exact"/>
        <w:rPr>
          <w:rFonts w:ascii="Arial" w:cs="Arial" w:eastAsia="Arial" w:hAnsi="Arial"/>
          <w:sz w:val="22"/>
          <w:szCs w:val="22"/>
          <w:color w:val="auto"/>
        </w:rPr>
      </w:pPr>
    </w:p>
    <w:p>
      <w:pPr>
        <w:ind w:left="160" w:right="199" w:firstLine="1287"/>
        <w:spacing w:after="0" w:line="282" w:lineRule="auto"/>
        <w:tabs>
          <w:tab w:leader="none" w:pos="2142" w:val="left"/>
        </w:tabs>
        <w:numPr>
          <w:ilvl w:val="2"/>
          <w:numId w:val="10"/>
        </w:numPr>
        <w:rPr>
          <w:rFonts w:ascii="Arial" w:cs="Arial" w:eastAsia="Arial" w:hAnsi="Arial"/>
          <w:sz w:val="19"/>
          <w:szCs w:val="19"/>
          <w:color w:val="auto"/>
        </w:rPr>
      </w:pPr>
      <w:r>
        <w:rPr>
          <w:rFonts w:ascii="Arial" w:cs="Arial" w:eastAsia="Arial" w:hAnsi="Arial"/>
          <w:sz w:val="19"/>
          <w:szCs w:val="19"/>
          <w:u w:val="single" w:color="auto"/>
          <w:color w:val="auto"/>
        </w:rPr>
        <w:t>Sale Event</w:t>
      </w:r>
      <w:r>
        <w:rPr>
          <w:rFonts w:ascii="Arial" w:cs="Arial" w:eastAsia="Arial" w:hAnsi="Arial"/>
          <w:sz w:val="19"/>
          <w:szCs w:val="19"/>
          <w:color w:val="auto"/>
        </w:rPr>
        <w:t>. During the Term, if within twelve (12) months after a Sale Event, the Executive’s employment is terminated by the Company without Cause as provided in Section 3(d) or the Executive terminates his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47" w:lineRule="exact"/>
        <w:rPr>
          <w:rFonts w:ascii="Arial" w:cs="Arial" w:eastAsia="Arial" w:hAnsi="Arial"/>
          <w:sz w:val="19"/>
          <w:szCs w:val="19"/>
          <w:color w:val="auto"/>
        </w:rPr>
      </w:pPr>
    </w:p>
    <w:p>
      <w:pPr>
        <w:ind w:left="800" w:right="199" w:firstLine="1295"/>
        <w:spacing w:after="0" w:line="273" w:lineRule="auto"/>
        <w:tabs>
          <w:tab w:leader="none" w:pos="2814" w:val="left"/>
        </w:tabs>
        <w:numPr>
          <w:ilvl w:val="3"/>
          <w:numId w:val="10"/>
        </w:numPr>
        <w:rPr>
          <w:rFonts w:ascii="Arial" w:cs="Arial" w:eastAsia="Arial" w:hAnsi="Arial"/>
          <w:sz w:val="19"/>
          <w:szCs w:val="19"/>
          <w:color w:val="424242"/>
        </w:rPr>
      </w:pPr>
      <w:r>
        <w:rPr>
          <w:rFonts w:ascii="Arial" w:cs="Arial" w:eastAsia="Arial" w:hAnsi="Arial"/>
          <w:sz w:val="19"/>
          <w:szCs w:val="19"/>
          <w:color w:val="auto"/>
        </w:rPr>
        <w:t>the Company shall pay the Executive a lump sum in cash in an amount equal to the sum of (A) one (1) times the Executive’s current Base Salary (or the Executive’s Base Salary in effect immediately prior to the Sale Event, if higher) plus (B) one</w:t>
      </w:r>
    </w:p>
    <w:p>
      <w:pPr>
        <w:spacing w:after="0" w:line="1" w:lineRule="exact"/>
        <w:rPr>
          <w:rFonts w:ascii="Arial" w:cs="Arial" w:eastAsia="Arial" w:hAnsi="Arial"/>
          <w:sz w:val="19"/>
          <w:szCs w:val="19"/>
          <w:color w:val="424242"/>
        </w:rPr>
      </w:pPr>
    </w:p>
    <w:p>
      <w:pPr>
        <w:ind w:left="800"/>
        <w:spacing w:after="0"/>
        <w:rPr>
          <w:rFonts w:ascii="Arial" w:cs="Arial" w:eastAsia="Arial" w:hAnsi="Arial"/>
          <w:sz w:val="19"/>
          <w:szCs w:val="19"/>
          <w:color w:val="424242"/>
        </w:rPr>
      </w:pPr>
      <w:r>
        <w:rPr>
          <w:rFonts w:ascii="Arial" w:cs="Arial" w:eastAsia="Arial" w:hAnsi="Arial"/>
          <w:sz w:val="22"/>
          <w:szCs w:val="22"/>
          <w:color w:val="auto"/>
        </w:rPr>
        <w:t>(1) times the Executive’s Target Incentive Compensation; and</w:t>
      </w:r>
    </w:p>
    <w:p>
      <w:pPr>
        <w:spacing w:after="0" w:line="188" w:lineRule="exact"/>
        <w:rPr>
          <w:rFonts w:ascii="Arial" w:cs="Arial" w:eastAsia="Arial" w:hAnsi="Arial"/>
          <w:sz w:val="19"/>
          <w:szCs w:val="19"/>
          <w:color w:val="424242"/>
        </w:rPr>
      </w:pPr>
    </w:p>
    <w:p>
      <w:pPr>
        <w:ind w:left="800" w:right="139" w:firstLine="1295"/>
        <w:spacing w:after="0" w:line="282" w:lineRule="auto"/>
        <w:tabs>
          <w:tab w:leader="none" w:pos="2847" w:val="left"/>
        </w:tabs>
        <w:numPr>
          <w:ilvl w:val="3"/>
          <w:numId w:val="10"/>
        </w:numPr>
        <w:rPr>
          <w:rFonts w:ascii="Arial" w:cs="Arial" w:eastAsia="Arial" w:hAnsi="Arial"/>
          <w:sz w:val="19"/>
          <w:szCs w:val="19"/>
          <w:color w:val="424242"/>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w:t>
      </w: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 w:name="page10"/>
    <w:bookmarkEnd w:id="9"/>
    <w:p>
      <w:pPr>
        <w:ind w:left="800" w:right="199"/>
        <w:spacing w:after="0" w:line="251" w:lineRule="auto"/>
        <w:rPr>
          <w:sz w:val="20"/>
          <w:szCs w:val="20"/>
          <w:color w:val="auto"/>
        </w:rPr>
      </w:pPr>
      <w:r>
        <w:rPr>
          <w:rFonts w:ascii="Arial" w:cs="Arial" w:eastAsia="Arial" w:hAnsi="Arial"/>
          <w:sz w:val="22"/>
          <w:szCs w:val="22"/>
          <w:color w:val="auto"/>
        </w:rPr>
        <w:t>would have made to provide health insurance to the Executive if the Executive had remained employed by the Company; and</w:t>
      </w:r>
    </w:p>
    <w:p>
      <w:pPr>
        <w:spacing w:after="0" w:line="174" w:lineRule="exact"/>
        <w:rPr>
          <w:sz w:val="20"/>
          <w:szCs w:val="20"/>
          <w:color w:val="auto"/>
        </w:rPr>
      </w:pPr>
    </w:p>
    <w:p>
      <w:pPr>
        <w:ind w:left="800" w:right="319" w:firstLine="1295"/>
        <w:spacing w:after="0" w:line="246" w:lineRule="auto"/>
        <w:tabs>
          <w:tab w:leader="none" w:pos="2866" w:val="left"/>
        </w:tabs>
        <w:numPr>
          <w:ilvl w:val="0"/>
          <w:numId w:val="11"/>
        </w:numPr>
        <w:rPr>
          <w:rFonts w:ascii="Arial" w:cs="Arial" w:eastAsia="Arial" w:hAnsi="Arial"/>
          <w:sz w:val="21"/>
          <w:szCs w:val="21"/>
          <w:color w:val="424242"/>
        </w:rPr>
      </w:pPr>
      <w:r>
        <w:rPr>
          <w:rFonts w:ascii="Arial" w:cs="Arial" w:eastAsia="Arial" w:hAnsi="Arial"/>
          <w:sz w:val="21"/>
          <w:szCs w:val="21"/>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181" w:lineRule="exact"/>
        <w:rPr>
          <w:sz w:val="20"/>
          <w:szCs w:val="20"/>
          <w:color w:val="auto"/>
        </w:rPr>
      </w:pPr>
    </w:p>
    <w:p>
      <w:pPr>
        <w:ind w:left="240" w:right="239"/>
        <w:spacing w:after="0" w:line="287" w:lineRule="auto"/>
        <w:rPr>
          <w:sz w:val="20"/>
          <w:szCs w:val="20"/>
          <w:color w:val="auto"/>
        </w:rPr>
      </w:pPr>
      <w:r>
        <w:rPr>
          <w:rFonts w:ascii="Arial" w:cs="Arial" w:eastAsia="Arial" w:hAnsi="Arial"/>
          <w:sz w:val="19"/>
          <w:szCs w:val="19"/>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43" w:lineRule="exact"/>
        <w:rPr>
          <w:sz w:val="20"/>
          <w:szCs w:val="20"/>
          <w:color w:val="auto"/>
        </w:rPr>
      </w:pPr>
    </w:p>
    <w:p>
      <w:pPr>
        <w:ind w:left="2140" w:hanging="693"/>
        <w:spacing w:after="0"/>
        <w:tabs>
          <w:tab w:leader="none" w:pos="2140"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Additional Limitation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00" w:right="199" w:firstLine="1295"/>
        <w:spacing w:after="0" w:line="268" w:lineRule="auto"/>
        <w:tabs>
          <w:tab w:leader="none" w:pos="2814" w:val="left"/>
        </w:tabs>
        <w:numPr>
          <w:ilvl w:val="2"/>
          <w:numId w:val="12"/>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w:t>
      </w:r>
    </w:p>
    <w:p>
      <w:pPr>
        <w:spacing w:after="0" w:line="4" w:lineRule="exact"/>
        <w:rPr>
          <w:rFonts w:ascii="Arial" w:cs="Arial" w:eastAsia="Arial" w:hAnsi="Arial"/>
          <w:sz w:val="19"/>
          <w:szCs w:val="19"/>
          <w:color w:val="auto"/>
        </w:rPr>
      </w:pPr>
    </w:p>
    <w:p>
      <w:pPr>
        <w:ind w:left="800" w:right="219" w:hanging="1"/>
        <w:spacing w:after="0" w:line="244" w:lineRule="auto"/>
        <w:tabs>
          <w:tab w:leader="none" w:pos="1106" w:val="left"/>
        </w:tabs>
        <w:numPr>
          <w:ilvl w:val="0"/>
          <w:numId w:val="13"/>
        </w:numPr>
        <w:rPr>
          <w:rFonts w:ascii="Arial" w:cs="Arial" w:eastAsia="Arial" w:hAnsi="Arial"/>
          <w:sz w:val="21"/>
          <w:szCs w:val="21"/>
          <w:color w:val="auto"/>
        </w:rPr>
      </w:pPr>
      <w:r>
        <w:rPr>
          <w:rFonts w:ascii="Arial" w:cs="Arial" w:eastAsia="Arial" w:hAnsi="Arial"/>
          <w:sz w:val="21"/>
          <w:szCs w:val="21"/>
          <w:color w:val="auto"/>
        </w:rPr>
        <w:t>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3" w:lineRule="exact"/>
        <w:rPr>
          <w:rFonts w:ascii="Arial" w:cs="Arial" w:eastAsia="Arial" w:hAnsi="Arial"/>
          <w:sz w:val="21"/>
          <w:szCs w:val="21"/>
          <w:color w:val="auto"/>
        </w:rPr>
      </w:pPr>
    </w:p>
    <w:p>
      <w:pPr>
        <w:ind w:left="800" w:right="139" w:firstLine="1295"/>
        <w:spacing w:after="0" w:line="282" w:lineRule="auto"/>
        <w:tabs>
          <w:tab w:leader="none" w:pos="2847" w:val="left"/>
        </w:tabs>
        <w:numPr>
          <w:ilvl w:val="2"/>
          <w:numId w:val="13"/>
        </w:numPr>
        <w:rPr>
          <w:rFonts w:ascii="Arial" w:cs="Arial" w:eastAsia="Arial" w:hAnsi="Arial"/>
          <w:sz w:val="19"/>
          <w:szCs w:val="19"/>
          <w:color w:val="auto"/>
        </w:rPr>
      </w:pPr>
      <w:r>
        <w:rPr>
          <w:rFonts w:ascii="Arial" w:cs="Arial" w:eastAsia="Arial" w:hAnsi="Arial"/>
          <w:sz w:val="19"/>
          <w:szCs w:val="19"/>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 w:name="page11"/>
    <w:bookmarkEnd w:id="10"/>
    <w:p>
      <w:pPr>
        <w:ind w:left="800" w:right="239"/>
        <w:spacing w:after="0" w:line="287" w:lineRule="auto"/>
        <w:rPr>
          <w:sz w:val="20"/>
          <w:szCs w:val="20"/>
          <w:color w:val="auto"/>
        </w:rPr>
      </w:pPr>
      <w:r>
        <w:rPr>
          <w:rFonts w:ascii="Arial" w:cs="Arial" w:eastAsia="Arial" w:hAnsi="Arial"/>
          <w:sz w:val="19"/>
          <w:szCs w:val="19"/>
          <w:color w:val="auto"/>
        </w:rPr>
        <w:t>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44" w:lineRule="exact"/>
        <w:rPr>
          <w:sz w:val="20"/>
          <w:szCs w:val="20"/>
          <w:color w:val="auto"/>
        </w:rPr>
      </w:pPr>
    </w:p>
    <w:p>
      <w:pPr>
        <w:ind w:left="800" w:right="219" w:firstLine="1295"/>
        <w:spacing w:after="0" w:line="247" w:lineRule="auto"/>
        <w:tabs>
          <w:tab w:leader="none" w:pos="2866" w:val="left"/>
        </w:tabs>
        <w:numPr>
          <w:ilvl w:val="1"/>
          <w:numId w:val="14"/>
        </w:numPr>
        <w:rPr>
          <w:rFonts w:ascii="Arial" w:cs="Arial" w:eastAsia="Arial" w:hAnsi="Arial"/>
          <w:sz w:val="21"/>
          <w:szCs w:val="21"/>
          <w:color w:val="auto"/>
        </w:rPr>
      </w:pPr>
      <w:r>
        <w:rPr>
          <w:rFonts w:ascii="Arial" w:cs="Arial" w:eastAsia="Arial" w:hAnsi="Arial"/>
          <w:sz w:val="21"/>
          <w:szCs w:val="21"/>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78" w:lineRule="exact"/>
        <w:rPr>
          <w:rFonts w:ascii="Arial" w:cs="Arial" w:eastAsia="Arial" w:hAnsi="Arial"/>
          <w:sz w:val="21"/>
          <w:szCs w:val="21"/>
          <w:color w:val="auto"/>
        </w:rPr>
      </w:pPr>
    </w:p>
    <w:p>
      <w:pPr>
        <w:ind w:left="160" w:right="159" w:firstLine="1287"/>
        <w:spacing w:after="0" w:line="271" w:lineRule="auto"/>
        <w:tabs>
          <w:tab w:leader="none" w:pos="2155"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Sale Event Definition</w:t>
      </w:r>
      <w:r>
        <w:rPr>
          <w:rFonts w:ascii="Arial" w:cs="Arial" w:eastAsia="Arial" w:hAnsi="Arial"/>
          <w:sz w:val="19"/>
          <w:szCs w:val="19"/>
          <w:color w:val="auto"/>
        </w:rPr>
        <w:t>. For purposes of this Section 5, “Sale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the foregoing, if the definition of Sale Event in an option agreement or stock-based award agreement between the Executive and the Company dated prior to the Effective Date (each, a “Preexisting Equity Agreement”) is broader than this definition of Sale Event, the definition of Sale Event in such Preexisting Equity Agreement shall apply solely with respect to the equity award covered by such Preexisting Equity Agreement.</w:t>
      </w:r>
    </w:p>
    <w:p>
      <w:pPr>
        <w:spacing w:after="0" w:line="158" w:lineRule="exact"/>
        <w:rPr>
          <w:sz w:val="20"/>
          <w:szCs w:val="20"/>
          <w:color w:val="auto"/>
        </w:rPr>
      </w:pPr>
    </w:p>
    <w:p>
      <w:pPr>
        <w:ind w:left="160" w:right="139" w:firstLine="648"/>
        <w:spacing w:after="0" w:line="273" w:lineRule="auto"/>
        <w:rPr>
          <w:sz w:val="20"/>
          <w:szCs w:val="20"/>
          <w:color w:val="auto"/>
        </w:rPr>
      </w:pPr>
      <w:r>
        <w:rPr>
          <w:rFonts w:ascii="Arial" w:cs="Arial" w:eastAsia="Arial" w:hAnsi="Arial"/>
          <w:sz w:val="19"/>
          <w:szCs w:val="19"/>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“Sale Event” shall be deemed to have occurred for purposes of the foregoing clauses (ii) and (iv).</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 w:name="page12"/>
    <w:bookmarkEnd w:id="11"/>
    <w:p>
      <w:pPr>
        <w:ind w:left="1440" w:hanging="641"/>
        <w:spacing w:after="0"/>
        <w:tabs>
          <w:tab w:leader="none" w:pos="144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 w:right="259" w:firstLine="1287"/>
        <w:spacing w:after="0" w:line="270" w:lineRule="auto"/>
        <w:tabs>
          <w:tab w:leader="none" w:pos="2142" w:val="left"/>
        </w:tabs>
        <w:numPr>
          <w:ilvl w:val="1"/>
          <w:numId w:val="16"/>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w:t>
      </w:r>
    </w:p>
    <w:p>
      <w:pPr>
        <w:spacing w:after="0" w:line="1" w:lineRule="exact"/>
        <w:rPr>
          <w:rFonts w:ascii="Arial" w:cs="Arial" w:eastAsia="Arial" w:hAnsi="Arial"/>
          <w:sz w:val="19"/>
          <w:szCs w:val="19"/>
          <w:color w:val="auto"/>
        </w:rPr>
      </w:pPr>
    </w:p>
    <w:p>
      <w:pPr>
        <w:ind w:left="160"/>
        <w:spacing w:after="0"/>
        <w:rPr>
          <w:rFonts w:ascii="Arial" w:cs="Arial" w:eastAsia="Arial" w:hAnsi="Arial"/>
          <w:sz w:val="19"/>
          <w:szCs w:val="19"/>
          <w:color w:val="auto"/>
        </w:rPr>
      </w:pPr>
      <w:r>
        <w:rPr>
          <w:rFonts w:ascii="Arial" w:cs="Arial" w:eastAsia="Arial" w:hAnsi="Arial"/>
          <w:sz w:val="19"/>
          <w:szCs w:val="19"/>
          <w:color w:val="auto"/>
        </w:rPr>
        <w:t>imposed pursuant to Section 409A(a) of the Code as a result of the application of Section 409A(a)</w:t>
      </w:r>
    </w:p>
    <w:p>
      <w:pPr>
        <w:spacing w:after="0" w:line="24" w:lineRule="exact"/>
        <w:rPr>
          <w:rFonts w:ascii="Arial" w:cs="Arial" w:eastAsia="Arial" w:hAnsi="Arial"/>
          <w:sz w:val="19"/>
          <w:szCs w:val="19"/>
          <w:color w:val="auto"/>
        </w:rPr>
      </w:pPr>
    </w:p>
    <w:p>
      <w:pPr>
        <w:ind w:left="160" w:right="199"/>
        <w:spacing w:after="0" w:line="267" w:lineRule="auto"/>
        <w:rPr>
          <w:rFonts w:ascii="Arial" w:cs="Arial" w:eastAsia="Arial" w:hAnsi="Arial"/>
          <w:sz w:val="19"/>
          <w:szCs w:val="19"/>
          <w:color w:val="auto"/>
        </w:rPr>
      </w:pPr>
      <w:r>
        <w:rPr>
          <w:rFonts w:ascii="Arial" w:cs="Arial" w:eastAsia="Arial" w:hAnsi="Arial"/>
          <w:sz w:val="19"/>
          <w:szCs w:val="19"/>
          <w:color w:val="auto"/>
        </w:rPr>
        <w:t>(2)(B)(i) of the Code, such payment shall not be payable and such benefit shall not be provided until the date that is the earlier of (A) six months and one day after the Executive’s separation</w:t>
      </w:r>
    </w:p>
    <w:p>
      <w:pPr>
        <w:ind w:left="160" w:right="239"/>
        <w:spacing w:after="0" w:line="233" w:lineRule="auto"/>
        <w:rPr>
          <w:rFonts w:ascii="Arial" w:cs="Arial" w:eastAsia="Arial" w:hAnsi="Arial"/>
          <w:sz w:val="19"/>
          <w:szCs w:val="19"/>
          <w:color w:val="auto"/>
        </w:rPr>
      </w:pPr>
      <w:r>
        <w:rPr>
          <w:rFonts w:ascii="Arial" w:cs="Arial" w:eastAsia="Arial" w:hAnsi="Arial"/>
          <w:sz w:val="22"/>
          <w:szCs w:val="22"/>
          <w:color w:val="auto"/>
        </w:rPr>
        <w:t>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5" w:lineRule="exact"/>
        <w:rPr>
          <w:rFonts w:ascii="Arial" w:cs="Arial" w:eastAsia="Arial" w:hAnsi="Arial"/>
          <w:sz w:val="19"/>
          <w:szCs w:val="19"/>
          <w:color w:val="auto"/>
        </w:rPr>
      </w:pPr>
    </w:p>
    <w:p>
      <w:pPr>
        <w:ind w:left="160" w:right="259" w:firstLine="1287"/>
        <w:spacing w:after="0" w:line="274" w:lineRule="auto"/>
        <w:tabs>
          <w:tab w:leader="none" w:pos="2154" w:val="left"/>
        </w:tabs>
        <w:numPr>
          <w:ilvl w:val="1"/>
          <w:numId w:val="16"/>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8" w:lineRule="exact"/>
        <w:rPr>
          <w:rFonts w:ascii="Arial" w:cs="Arial" w:eastAsia="Arial" w:hAnsi="Arial"/>
          <w:sz w:val="19"/>
          <w:szCs w:val="19"/>
          <w:color w:val="auto"/>
        </w:rPr>
      </w:pPr>
    </w:p>
    <w:p>
      <w:pPr>
        <w:ind w:left="160" w:right="479" w:firstLine="1287"/>
        <w:spacing w:after="0" w:line="279" w:lineRule="auto"/>
        <w:tabs>
          <w:tab w:leader="none" w:pos="2155" w:val="left"/>
        </w:tabs>
        <w:numPr>
          <w:ilvl w:val="1"/>
          <w:numId w:val="16"/>
        </w:numPr>
        <w:rPr>
          <w:rFonts w:ascii="Arial" w:cs="Arial" w:eastAsia="Arial" w:hAnsi="Arial"/>
          <w:sz w:val="19"/>
          <w:szCs w:val="19"/>
          <w:color w:val="auto"/>
        </w:rPr>
      </w:pPr>
      <w:r>
        <w:rPr>
          <w:rFonts w:ascii="Arial" w:cs="Arial" w:eastAsia="Arial" w:hAnsi="Arial"/>
          <w:sz w:val="19"/>
          <w:szCs w:val="19"/>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50" w:lineRule="exact"/>
        <w:rPr>
          <w:rFonts w:ascii="Arial" w:cs="Arial" w:eastAsia="Arial" w:hAnsi="Arial"/>
          <w:sz w:val="19"/>
          <w:szCs w:val="19"/>
          <w:color w:val="auto"/>
        </w:rPr>
      </w:pPr>
    </w:p>
    <w:p>
      <w:pPr>
        <w:ind w:left="160" w:right="199" w:firstLine="1287"/>
        <w:spacing w:after="0" w:line="274" w:lineRule="auto"/>
        <w:tabs>
          <w:tab w:leader="none" w:pos="2154"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 w:name="page13"/>
    <w:bookmarkEnd w:id="12"/>
    <w:p>
      <w:pPr>
        <w:jc w:val="both"/>
        <w:ind w:left="160" w:right="159" w:firstLine="1287"/>
        <w:spacing w:after="0" w:line="238" w:lineRule="auto"/>
        <w:tabs>
          <w:tab w:leader="none" w:pos="2142" w:val="left"/>
        </w:tabs>
        <w:numPr>
          <w:ilvl w:val="1"/>
          <w:numId w:val="17"/>
        </w:numPr>
        <w:rPr>
          <w:rFonts w:ascii="Arial" w:cs="Arial" w:eastAsia="Arial" w:hAnsi="Arial"/>
          <w:sz w:val="22"/>
          <w:szCs w:val="22"/>
          <w:color w:val="auto"/>
        </w:rPr>
      </w:pPr>
      <w:r>
        <w:rPr>
          <w:rFonts w:ascii="Arial" w:cs="Arial" w:eastAsia="Arial" w:hAnsi="Arial"/>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5" w:lineRule="exact"/>
        <w:rPr>
          <w:rFonts w:ascii="Arial" w:cs="Arial" w:eastAsia="Arial" w:hAnsi="Arial"/>
          <w:sz w:val="22"/>
          <w:szCs w:val="22"/>
          <w:color w:val="auto"/>
        </w:rPr>
      </w:pPr>
    </w:p>
    <w:p>
      <w:pPr>
        <w:ind w:left="160" w:right="279" w:firstLine="639"/>
        <w:spacing w:after="0" w:line="287" w:lineRule="auto"/>
        <w:tabs>
          <w:tab w:leader="none" w:pos="1483"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The Executive agrees to the terms of the Non-Solicitation, Non-Competition, Confidentiality and Assignment Agreement, dated as of September 8, 2014, by and between the Company and the Executive (the “Restrictive Covenant Agreement”), the terms of which are hereby incorporated by reference as material terms of this Agreement.</w:t>
      </w:r>
    </w:p>
    <w:p>
      <w:pPr>
        <w:spacing w:after="0" w:line="143" w:lineRule="exact"/>
        <w:rPr>
          <w:rFonts w:ascii="Arial" w:cs="Arial" w:eastAsia="Arial" w:hAnsi="Arial"/>
          <w:sz w:val="19"/>
          <w:szCs w:val="19"/>
          <w:color w:val="auto"/>
        </w:rPr>
      </w:pPr>
    </w:p>
    <w:p>
      <w:pPr>
        <w:ind w:left="160" w:right="139" w:firstLine="639"/>
        <w:spacing w:after="0" w:line="271" w:lineRule="auto"/>
        <w:tabs>
          <w:tab w:leader="none" w:pos="1483"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Arbitration of Disputes</w:t>
      </w:r>
      <w:r>
        <w:rPr>
          <w:rFonts w:ascii="Arial" w:cs="Arial" w:eastAsia="Arial" w:hAnsi="Arial"/>
          <w:sz w:val="19"/>
          <w:szCs w:val="19"/>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58" w:lineRule="exact"/>
        <w:rPr>
          <w:rFonts w:ascii="Arial" w:cs="Arial" w:eastAsia="Arial" w:hAnsi="Arial"/>
          <w:sz w:val="19"/>
          <w:szCs w:val="19"/>
          <w:color w:val="auto"/>
        </w:rPr>
      </w:pPr>
    </w:p>
    <w:p>
      <w:pPr>
        <w:jc w:val="both"/>
        <w:ind w:left="160" w:right="139" w:firstLine="639"/>
        <w:spacing w:after="0" w:line="247" w:lineRule="auto"/>
        <w:tabs>
          <w:tab w:leader="none" w:pos="1510"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Consent to Jurisdiction</w:t>
      </w:r>
      <w:r>
        <w:rPr>
          <w:rFonts w:ascii="Arial" w:cs="Arial" w:eastAsia="Arial" w:hAnsi="Arial"/>
          <w:sz w:val="21"/>
          <w:szCs w:val="21"/>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78" w:lineRule="exact"/>
        <w:rPr>
          <w:rFonts w:ascii="Arial" w:cs="Arial" w:eastAsia="Arial" w:hAnsi="Arial"/>
          <w:sz w:val="21"/>
          <w:szCs w:val="21"/>
          <w:color w:val="auto"/>
        </w:rPr>
      </w:pPr>
    </w:p>
    <w:p>
      <w:pPr>
        <w:jc w:val="both"/>
        <w:ind w:left="160" w:right="159" w:firstLine="639"/>
        <w:spacing w:after="0" w:line="287" w:lineRule="auto"/>
        <w:tabs>
          <w:tab w:leader="none" w:pos="1524"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the subject matter hereof and supersedes the Prior Agreements as well as all other prior agreements between the parties concerning such subject matter; provided that the Restrictive Covenant Agreement is expressly preserved and incorporated by reference herein.</w:t>
      </w:r>
    </w:p>
    <w:p>
      <w:pPr>
        <w:spacing w:after="0" w:line="143" w:lineRule="exact"/>
        <w:rPr>
          <w:rFonts w:ascii="Arial" w:cs="Arial" w:eastAsia="Arial" w:hAnsi="Arial"/>
          <w:sz w:val="19"/>
          <w:szCs w:val="19"/>
          <w:color w:val="auto"/>
        </w:rPr>
      </w:pPr>
    </w:p>
    <w:p>
      <w:pPr>
        <w:ind w:left="160" w:right="339" w:firstLine="639"/>
        <w:spacing w:after="0"/>
        <w:tabs>
          <w:tab w:leader="none" w:pos="147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by the Company to the Executive under this Agreement shall be net of any tax or other amounts required to be withheld by the Company under applicable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 w:name="page14"/>
    <w:bookmarkEnd w:id="13"/>
    <w:p>
      <w:pPr>
        <w:ind w:left="160" w:right="179" w:firstLine="639"/>
        <w:spacing w:after="0" w:line="271" w:lineRule="auto"/>
        <w:tabs>
          <w:tab w:leader="none" w:pos="148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Successor to the Executive</w:t>
      </w:r>
      <w:r>
        <w:rPr>
          <w:rFonts w:ascii="Arial" w:cs="Arial" w:eastAsia="Arial" w:hAnsi="Arial"/>
          <w:sz w:val="19"/>
          <w:szCs w:val="19"/>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to the Executive under this Agreement, the Company shall continue such payments to the Executive’s</w:t>
      </w:r>
    </w:p>
    <w:p>
      <w:pPr>
        <w:ind w:left="160" w:right="199"/>
        <w:spacing w:after="0" w:line="237" w:lineRule="auto"/>
        <w:rPr>
          <w:rFonts w:ascii="Arial" w:cs="Arial" w:eastAsia="Arial" w:hAnsi="Arial"/>
          <w:sz w:val="19"/>
          <w:szCs w:val="19"/>
          <w:color w:val="auto"/>
        </w:rPr>
      </w:pPr>
      <w:r>
        <w:rPr>
          <w:rFonts w:ascii="Arial" w:cs="Arial" w:eastAsia="Arial" w:hAnsi="Arial"/>
          <w:sz w:val="22"/>
          <w:szCs w:val="22"/>
          <w:color w:val="auto"/>
        </w:rPr>
        <w:t>beneficiary designated in writing to the Company prior to his death (or to his estate, if the Executive fails to make such designation).</w:t>
      </w:r>
    </w:p>
    <w:p>
      <w:pPr>
        <w:spacing w:after="0" w:line="184" w:lineRule="exact"/>
        <w:rPr>
          <w:rFonts w:ascii="Arial" w:cs="Arial" w:eastAsia="Arial" w:hAnsi="Arial"/>
          <w:sz w:val="19"/>
          <w:szCs w:val="19"/>
          <w:color w:val="auto"/>
        </w:rPr>
      </w:pPr>
    </w:p>
    <w:p>
      <w:pPr>
        <w:ind w:left="160" w:right="379" w:firstLine="639"/>
        <w:spacing w:after="0" w:line="279" w:lineRule="auto"/>
        <w:tabs>
          <w:tab w:leader="none" w:pos="148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Enforceability</w:t>
      </w:r>
      <w:r>
        <w:rPr>
          <w:rFonts w:ascii="Arial" w:cs="Arial" w:eastAsia="Arial" w:hAnsi="Arial"/>
          <w:sz w:val="19"/>
          <w:szCs w:val="19"/>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0" w:lineRule="exact"/>
        <w:rPr>
          <w:rFonts w:ascii="Arial" w:cs="Arial" w:eastAsia="Arial" w:hAnsi="Arial"/>
          <w:sz w:val="19"/>
          <w:szCs w:val="19"/>
          <w:color w:val="auto"/>
        </w:rPr>
      </w:pPr>
    </w:p>
    <w:p>
      <w:pPr>
        <w:ind w:left="160" w:right="679" w:firstLine="639"/>
        <w:spacing w:after="0"/>
        <w:tabs>
          <w:tab w:leader="none" w:pos="1483"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86" w:lineRule="exact"/>
        <w:rPr>
          <w:rFonts w:ascii="Arial" w:cs="Arial" w:eastAsia="Arial" w:hAnsi="Arial"/>
          <w:sz w:val="22"/>
          <w:szCs w:val="22"/>
          <w:color w:val="auto"/>
        </w:rPr>
      </w:pPr>
    </w:p>
    <w:p>
      <w:pPr>
        <w:ind w:left="160" w:right="299" w:firstLine="639"/>
        <w:spacing w:after="0" w:line="236" w:lineRule="auto"/>
        <w:tabs>
          <w:tab w:leader="none" w:pos="1483"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7" w:lineRule="exact"/>
        <w:rPr>
          <w:rFonts w:ascii="Arial" w:cs="Arial" w:eastAsia="Arial" w:hAnsi="Arial"/>
          <w:sz w:val="22"/>
          <w:szCs w:val="22"/>
          <w:color w:val="auto"/>
        </w:rPr>
      </w:pPr>
    </w:p>
    <w:p>
      <w:pPr>
        <w:ind w:left="160" w:right="319" w:firstLine="639"/>
        <w:spacing w:after="0" w:line="282" w:lineRule="auto"/>
        <w:tabs>
          <w:tab w:leader="none" w:pos="148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47" w:lineRule="exact"/>
        <w:rPr>
          <w:rFonts w:ascii="Arial" w:cs="Arial" w:eastAsia="Arial" w:hAnsi="Arial"/>
          <w:sz w:val="19"/>
          <w:szCs w:val="19"/>
          <w:color w:val="auto"/>
        </w:rPr>
      </w:pPr>
    </w:p>
    <w:p>
      <w:pPr>
        <w:jc w:val="both"/>
        <w:ind w:left="160" w:right="859" w:firstLine="639"/>
        <w:spacing w:after="0" w:line="328" w:lineRule="auto"/>
        <w:tabs>
          <w:tab w:leader="none" w:pos="148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may be amended or modified only by a written instrument signed by the Executive and by a duly authorized representative of the Company.</w:t>
      </w:r>
    </w:p>
    <w:p>
      <w:pPr>
        <w:spacing w:after="0" w:line="105" w:lineRule="exact"/>
        <w:rPr>
          <w:rFonts w:ascii="Arial" w:cs="Arial" w:eastAsia="Arial" w:hAnsi="Arial"/>
          <w:sz w:val="19"/>
          <w:szCs w:val="19"/>
          <w:color w:val="auto"/>
        </w:rPr>
      </w:pPr>
    </w:p>
    <w:p>
      <w:pPr>
        <w:ind w:left="160" w:right="259" w:firstLine="639"/>
        <w:spacing w:after="0" w:line="282" w:lineRule="auto"/>
        <w:tabs>
          <w:tab w:leader="none" w:pos="148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47" w:lineRule="exact"/>
        <w:rPr>
          <w:rFonts w:ascii="Arial" w:cs="Arial" w:eastAsia="Arial" w:hAnsi="Arial"/>
          <w:sz w:val="19"/>
          <w:szCs w:val="19"/>
          <w:color w:val="auto"/>
        </w:rPr>
      </w:pPr>
    </w:p>
    <w:p>
      <w:pPr>
        <w:ind w:left="160" w:right="159" w:firstLine="639"/>
        <w:spacing w:after="0"/>
        <w:tabs>
          <w:tab w:leader="none" w:pos="1483"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 w:name="page15"/>
    <w:bookmarkEnd w:id="14"/>
    <w:p>
      <w:pPr>
        <w:ind w:left="160" w:right="159" w:firstLine="639"/>
        <w:spacing w:after="0" w:line="279" w:lineRule="auto"/>
        <w:tabs>
          <w:tab w:leader="none" w:pos="1483"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Successor to Company</w:t>
      </w:r>
      <w:r>
        <w:rPr>
          <w:rFonts w:ascii="Arial" w:cs="Arial" w:eastAsia="Arial" w:hAnsi="Arial"/>
          <w:sz w:val="19"/>
          <w:szCs w:val="19"/>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230505</wp:posOffset>
            </wp:positionV>
            <wp:extent cx="554863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 w:name="page16"/>
    <w:bookmarkEnd w:id="15"/>
    <w:p>
      <w:pPr>
        <w:ind w:left="160" w:right="439" w:firstLine="648"/>
        <w:spacing w:after="0" w:line="251" w:lineRule="auto"/>
        <w:rPr>
          <w:sz w:val="20"/>
          <w:szCs w:val="20"/>
          <w:color w:val="auto"/>
        </w:rPr>
      </w:pPr>
      <w:r>
        <w:rPr>
          <w:rFonts w:ascii="Arial" w:cs="Arial" w:eastAsia="Arial" w:hAnsi="Arial"/>
          <w:sz w:val="22"/>
          <w:szCs w:val="22"/>
          <w:color w:val="auto"/>
        </w:rPr>
        <w:t>IN WITNESS WHEREOF, the parties have executed this Agreement effective on the date and year first above written.</w:t>
      </w:r>
    </w:p>
    <w:p>
      <w:pPr>
        <w:spacing w:after="0" w:line="181"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BLUEPRINT MEDICINES CORPORATION</w:t>
      </w:r>
    </w:p>
    <w:p>
      <w:pPr>
        <w:spacing w:after="0" w:line="200" w:lineRule="exact"/>
        <w:rPr>
          <w:sz w:val="20"/>
          <w:szCs w:val="20"/>
          <w:color w:val="auto"/>
        </w:rPr>
      </w:pPr>
    </w:p>
    <w:p>
      <w:pPr>
        <w:spacing w:after="0" w:line="272" w:lineRule="exact"/>
        <w:rPr>
          <w:sz w:val="20"/>
          <w:szCs w:val="20"/>
          <w:color w:val="auto"/>
        </w:rPr>
      </w:pPr>
    </w:p>
    <w:tbl>
      <w:tblPr>
        <w:tblLayout w:type="fixed"/>
        <w:tblInd w:w="426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3840" w:type="dxa"/>
            <w:vAlign w:val="bottom"/>
          </w:tcPr>
          <w:p>
            <w:pPr>
              <w:spacing w:after="0"/>
              <w:rPr>
                <w:sz w:val="20"/>
                <w:szCs w:val="20"/>
                <w:color w:val="auto"/>
              </w:rPr>
            </w:pPr>
            <w:r>
              <w:rPr>
                <w:rFonts w:ascii="Arial" w:cs="Arial" w:eastAsia="Arial" w:hAnsi="Arial"/>
                <w:sz w:val="22"/>
                <w:szCs w:val="22"/>
                <w:color w:val="auto"/>
              </w:rPr>
              <w:t>/s/ Jeffrey Albers</w:t>
            </w: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60" w:type="dxa"/>
            <w:vAlign w:val="bottom"/>
            <w:vMerge w:val="continue"/>
          </w:tcPr>
          <w:p>
            <w:pPr>
              <w:spacing w:after="0"/>
              <w:rPr>
                <w:sz w:val="18"/>
                <w:szCs w:val="18"/>
                <w:color w:val="auto"/>
              </w:rPr>
            </w:pPr>
          </w:p>
        </w:tc>
        <w:tc>
          <w:tcPr>
            <w:tcW w:w="3840" w:type="dxa"/>
            <w:vAlign w:val="bottom"/>
          </w:tcPr>
          <w:p>
            <w:pPr>
              <w:spacing w:after="0" w:line="216" w:lineRule="exact"/>
              <w:rPr>
                <w:sz w:val="20"/>
                <w:szCs w:val="20"/>
                <w:color w:val="auto"/>
              </w:rPr>
            </w:pPr>
            <w:r>
              <w:rPr>
                <w:rFonts w:ascii="Arial" w:cs="Arial" w:eastAsia="Arial" w:hAnsi="Arial"/>
                <w:sz w:val="22"/>
                <w:szCs w:val="22"/>
                <w:color w:val="auto"/>
              </w:rPr>
              <w:t>Jeffrey Albers</w:t>
            </w:r>
          </w:p>
        </w:tc>
        <w:tc>
          <w:tcPr>
            <w:tcW w:w="0" w:type="dxa"/>
            <w:vAlign w:val="bottom"/>
          </w:tcPr>
          <w:p>
            <w:pPr>
              <w:spacing w:after="0"/>
              <w:rPr>
                <w:sz w:val="1"/>
                <w:szCs w:val="1"/>
                <w:color w:val="auto"/>
              </w:rPr>
            </w:pP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3840" w:type="dxa"/>
            <w:vAlign w:val="bottom"/>
          </w:tcPr>
          <w:p>
            <w:pPr>
              <w:spacing w:after="0"/>
              <w:rPr>
                <w:sz w:val="20"/>
                <w:szCs w:val="20"/>
                <w:color w:val="auto"/>
              </w:rPr>
            </w:pPr>
            <w:r>
              <w:rPr>
                <w:rFonts w:ascii="Arial" w:cs="Arial" w:eastAsia="Arial" w:hAnsi="Arial"/>
                <w:sz w:val="22"/>
                <w:szCs w:val="22"/>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82"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7620</wp:posOffset>
            </wp:positionV>
            <wp:extent cx="29330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 w:lineRule="exact"/>
        <w:rPr>
          <w:sz w:val="20"/>
          <w:szCs w:val="20"/>
          <w:color w:val="auto"/>
        </w:rPr>
      </w:pPr>
    </w:p>
    <w:p>
      <w:pPr>
        <w:ind w:left="4260"/>
        <w:spacing w:after="0"/>
        <w:tabs>
          <w:tab w:leader="none" w:pos="50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Landsittel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1."/>
      <w:numFmt w:val="decimal"/>
      <w:start w:val="1"/>
    </w:lvl>
    <w:lvl w:ilvl="1">
      <w:lvlJc w:val="left"/>
      <w:lvlText w:val="(%2)"/>
      <w:numFmt w:val="lowerLetter"/>
      <w:start w:val="1"/>
    </w:lvl>
  </w:abstractNum>
  <w:abstractNum w:abstractNumId="2">
    <w:nsid w:val="1190CDE7"/>
    <w:multiLevelType w:val="hybridMultilevel"/>
    <w:lvl w:ilvl="0">
      <w:lvlJc w:val="left"/>
      <w:lvlText w:val="(%1)"/>
      <w:numFmt w:val="lowerLetter"/>
      <w:start w:val="2"/>
    </w:lvl>
  </w:abstractNum>
  <w:abstractNum w:abstractNumId="3">
    <w:nsid w:val="66EF438D"/>
    <w:multiLevelType w:val="hybridMultilevel"/>
    <w:lvl w:ilvl="0">
      <w:lvlJc w:val="left"/>
      <w:lvlText w:val="%1"/>
      <w:numFmt w:val="decimal"/>
      <w:start w:val="1"/>
    </w:lvl>
    <w:lvl w:ilvl="1">
      <w:lvlJc w:val="left"/>
      <w:lvlText w:val="(%2)"/>
      <w:numFmt w:val="lowerLetter"/>
      <w:start w:val="3"/>
    </w:lvl>
  </w:abstractNum>
  <w:abstractNum w:abstractNumId="4">
    <w:nsid w:val="140E0F76"/>
    <w:multiLevelType w:val="hybridMultilevel"/>
    <w:lvl w:ilvl="0">
      <w:lvlJc w:val="left"/>
      <w:lvlText w:val="%1."/>
      <w:numFmt w:val="decimal"/>
      <w:start w:val="3"/>
    </w:lvl>
    <w:lvl w:ilvl="1">
      <w:lvlJc w:val="left"/>
      <w:lvlText w:val="(%2)"/>
      <w:numFmt w:val="lowerLetter"/>
      <w:start w:val="1"/>
    </w:lvl>
  </w:abstractNum>
  <w:abstractNum w:abstractNumId="5">
    <w:nsid w:val="3352255A"/>
    <w:multiLevelType w:val="hybridMultilevel"/>
    <w:lvl w:ilvl="0">
      <w:lvlJc w:val="left"/>
      <w:lvlText w:val="(%1)"/>
      <w:numFmt w:val="lowerLetter"/>
      <w:start w:val="22"/>
    </w:lvl>
    <w:lvl w:ilvl="1">
      <w:lvlJc w:val="left"/>
      <w:lvlText w:val="(%2)"/>
      <w:numFmt w:val="lowerLetter"/>
      <w:start w:val="4"/>
    </w:lvl>
  </w:abstractNum>
  <w:abstractNum w:abstractNumId="6">
    <w:nsid w:val="109CF92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7"/>
    </w:lvl>
    <w:lvl w:ilvl="3">
      <w:lvlJc w:val="left"/>
      <w:lvlText w:val="%4"/>
      <w:numFmt w:val="lowerRoman"/>
      <w:start w:val="1"/>
    </w:lvl>
  </w:abstractNum>
  <w:abstractNum w:abstractNumId="7">
    <w:nsid w:val="DED7263"/>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8">
    <w:nsid w:val="7FDCC233"/>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9">
    <w:nsid w:val="1BEFD79F"/>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0">
    <w:nsid w:val="41A7C4C9"/>
    <w:multiLevelType w:val="hybridMultilevel"/>
    <w:lvl w:ilvl="0">
      <w:lvlJc w:val="left"/>
      <w:lvlText w:val="(%1)"/>
      <w:numFmt w:val="lowerRoman"/>
      <w:start w:val="3"/>
    </w:lvl>
  </w:abstractNum>
  <w:abstractNum w:abstractNumId="11">
    <w:nsid w:val="6B68079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12">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3">
    <w:nsid w:val="25E45D32"/>
    <w:multiLevelType w:val="hybridMultilevel"/>
    <w:lvl w:ilvl="0">
      <w:lvlJc w:val="left"/>
      <w:lvlText w:val="%1"/>
      <w:numFmt w:val="lowerLetter"/>
      <w:start w:val="1"/>
    </w:lvl>
    <w:lvl w:ilvl="1">
      <w:lvlJc w:val="left"/>
      <w:lvlText w:val="(%2)"/>
      <w:numFmt w:val="lowerLetter"/>
      <w:start w:val="61"/>
    </w:lvl>
  </w:abstractNum>
  <w:abstractNum w:abstractNumId="14">
    <w:nsid w:val="519B500D"/>
    <w:multiLevelType w:val="hybridMultilevel"/>
    <w:lvl w:ilvl="0">
      <w:lvlJc w:val="left"/>
      <w:lvlText w:val="(%1)"/>
      <w:numFmt w:val="lowerLetter"/>
      <w:start w:val="3"/>
    </w:lvl>
    <w:lvl w:ilvl="1">
      <w:lvlJc w:val="left"/>
      <w:lvlText w:val="%2"/>
      <w:numFmt w:val="lowerLetter"/>
      <w:start w:val="1"/>
    </w:lvl>
  </w:abstractNum>
  <w:abstractNum w:abstractNumId="15">
    <w:nsid w:val="431BD7B7"/>
    <w:multiLevelType w:val="hybridMultilevel"/>
    <w:lvl w:ilvl="0">
      <w:lvlJc w:val="left"/>
      <w:lvlText w:val="%1."/>
      <w:numFmt w:val="decimal"/>
      <w:start w:val="6"/>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5"/>
    </w:lvl>
  </w:abstractNum>
  <w:abstractNum w:abstractNumId="17">
    <w:nsid w:val="7C83E458"/>
    <w:multiLevelType w:val="hybridMultilevel"/>
    <w:lvl w:ilvl="0">
      <w:lvlJc w:val="left"/>
      <w:lvlText w:val="%1."/>
      <w:numFmt w:val="decimal"/>
      <w:start w:val="7"/>
    </w:lvl>
    <w:lvl w:ilvl="1">
      <w:lvlJc w:val="left"/>
      <w:lvlText w:val="%2"/>
      <w:numFmt w:val="lowerLetter"/>
      <w:start w:val="1"/>
    </w:lvl>
  </w:abstractNum>
  <w:abstractNum w:abstractNumId="18">
    <w:nsid w:val="257130A3"/>
    <w:multiLevelType w:val="hybridMultilevel"/>
    <w:lvl w:ilvl="0">
      <w:lvlJc w:val="left"/>
      <w:lvlText w:val="%1."/>
      <w:numFmt w:val="decimal"/>
      <w:start w:val="12"/>
    </w:lvl>
  </w:abstractNum>
  <w:abstractNum w:abstractNumId="19">
    <w:nsid w:val="62BBD95A"/>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2019-12-29T02:42:31Z</dcterms:created>
  <dcterms:modified xsi:type="dcterms:W3CDTF">2019-12-29T02:42:31Z</dcterms:modified>
</cp:coreProperties>
</file>