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 PROSPECTUS SUPPLEMENT</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333-211266</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July 25, 2016.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selling 5,000,000 shares of our common stock.</w:t>
      </w:r>
    </w:p>
    <w:p>
      <w:pPr>
        <w:spacing w:after="0" w:line="212" w:lineRule="exact"/>
        <w:rPr>
          <w:sz w:val="24"/>
          <w:szCs w:val="24"/>
          <w:color w:val="auto"/>
        </w:rPr>
      </w:pPr>
    </w:p>
    <w:p>
      <w:pPr>
        <w:ind w:right="24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December 7, 2016 was $26.20 per share.</w:t>
      </w:r>
    </w:p>
    <w:p>
      <w:pPr>
        <w:spacing w:after="0" w:line="209" w:lineRule="exact"/>
        <w:rPr>
          <w:sz w:val="24"/>
          <w:szCs w:val="24"/>
          <w:color w:val="auto"/>
        </w:rPr>
      </w:pPr>
    </w:p>
    <w:p>
      <w:pPr>
        <w:ind w:right="40" w:firstLine="488"/>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S-15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Per share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r>
      <w:tr>
        <w:trPr>
          <w:trHeight w:val="205"/>
        </w:trPr>
        <w:tc>
          <w:tcPr>
            <w:tcW w:w="582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0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25.00</w:t>
            </w:r>
          </w:p>
        </w:tc>
        <w:tc>
          <w:tcPr>
            <w:tcW w:w="30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125,000,000</w:t>
            </w:r>
          </w:p>
        </w:tc>
      </w:tr>
      <w:tr>
        <w:trPr>
          <w:trHeight w:val="244"/>
        </w:trPr>
        <w:tc>
          <w:tcPr>
            <w:tcW w:w="582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1"/>
        </w:trPr>
        <w:tc>
          <w:tcPr>
            <w:tcW w:w="582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117,500,000</w:t>
            </w:r>
          </w:p>
        </w:tc>
      </w:tr>
      <w:tr>
        <w:trPr>
          <w:trHeight w:val="97"/>
        </w:trPr>
        <w:tc>
          <w:tcPr>
            <w:tcW w:w="9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r>
    </w:tbl>
    <w:p>
      <w:pPr>
        <w:spacing w:after="0" w:line="140"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S-24 of this prospectus supplement for additional information regarding underwriter compensation.</w:t>
      </w:r>
    </w:p>
    <w:p>
      <w:pPr>
        <w:spacing w:after="0" w:line="204" w:lineRule="exact"/>
        <w:rPr>
          <w:sz w:val="24"/>
          <w:szCs w:val="24"/>
          <w:color w:val="auto"/>
        </w:rPr>
      </w:pPr>
    </w:p>
    <w:p>
      <w:pPr>
        <w:ind w:right="600" w:firstLine="488"/>
        <w:spacing w:after="0" w:line="239"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750,000 shares of our common stock at the public offering price less the underwriting discounts and commissions.</w:t>
      </w:r>
    </w:p>
    <w:p>
      <w:pPr>
        <w:spacing w:after="0" w:line="20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December 13, 2016.</w:t>
      </w:r>
    </w:p>
    <w:p>
      <w:pPr>
        <w:spacing w:after="0" w:line="175" w:lineRule="exact"/>
        <w:rPr>
          <w:sz w:val="24"/>
          <w:szCs w:val="24"/>
          <w:color w:val="auto"/>
        </w:rPr>
      </w:pPr>
    </w:p>
    <w:p>
      <w:pPr>
        <w:ind w:left="1140"/>
        <w:spacing w:after="0"/>
        <w:tabs>
          <w:tab w:leader="none" w:pos="5120" w:val="left"/>
          <w:tab w:leader="none" w:pos="764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Cowen and Company</w:t>
      </w:r>
    </w:p>
    <w:p>
      <w:pPr>
        <w:spacing w:after="0" w:line="224" w:lineRule="exact"/>
        <w:rPr>
          <w:sz w:val="24"/>
          <w:szCs w:val="24"/>
          <w:color w:val="auto"/>
        </w:rPr>
      </w:pPr>
    </w:p>
    <w:p>
      <w:pPr>
        <w:ind w:left="1140"/>
        <w:spacing w:after="0"/>
        <w:tabs>
          <w:tab w:leader="none" w:pos="8040" w:val="left"/>
        </w:tabs>
        <w:rPr>
          <w:sz w:val="20"/>
          <w:szCs w:val="20"/>
          <w:color w:val="auto"/>
        </w:rPr>
      </w:pPr>
      <w:r>
        <w:rPr>
          <w:rFonts w:ascii="Arial" w:cs="Arial" w:eastAsia="Arial" w:hAnsi="Arial"/>
          <w:sz w:val="24"/>
          <w:szCs w:val="24"/>
          <w:b w:val="1"/>
          <w:bCs w:val="1"/>
          <w:color w:val="auto"/>
        </w:rPr>
        <w:t>JMP Securities</w:t>
      </w:r>
      <w:r>
        <w:rPr>
          <w:sz w:val="20"/>
          <w:szCs w:val="20"/>
          <w:color w:val="auto"/>
        </w:rPr>
        <w:tab/>
      </w:r>
      <w:r>
        <w:rPr>
          <w:rFonts w:ascii="Arial" w:cs="Arial" w:eastAsia="Arial" w:hAnsi="Arial"/>
          <w:sz w:val="24"/>
          <w:szCs w:val="24"/>
          <w:b w:val="1"/>
          <w:bCs w:val="1"/>
          <w:color w:val="auto"/>
        </w:rPr>
        <w:t>Wedbush PacGrow</w:t>
      </w:r>
    </w:p>
    <w:p>
      <w:pPr>
        <w:sectPr>
          <w:pgSz w:w="11900" w:h="16838" w:orient="portrait"/>
          <w:cols w:equalWidth="0" w:num="1">
            <w:col w:w="11420"/>
          </w:cols>
          <w:pgMar w:left="240" w:top="685" w:right="239" w:bottom="1440" w:gutter="0" w:footer="0" w:header="0"/>
        </w:sect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Prospectus Supplement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6"/>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S-13</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S-15</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S-19</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S-20</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S-22</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S-23</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S-35</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S-35</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RATIO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USE OF PROCEEDS</w:t>
              </w:r>
            </w:hyperlink>
          </w:p>
        </w:tc>
        <w:tc>
          <w:tcPr>
            <w:tcW w:w="3280" w:type="dxa"/>
            <w:vAlign w:val="bottom"/>
            <w:gridSpan w:val="12"/>
          </w:tcPr>
          <w:p>
            <w:pPr>
              <w:spacing w:after="0"/>
              <w:rPr>
                <w:sz w:val="15"/>
                <w:szCs w:val="15"/>
                <w:color w:val="auto"/>
              </w:rPr>
            </w:pPr>
          </w:p>
        </w:tc>
        <w:tc>
          <w:tcPr>
            <w:tcW w:w="348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21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91" w:lineRule="exact"/>
        <w:rPr>
          <w:sz w:val="20"/>
          <w:szCs w:val="20"/>
          <w:color w:val="auto"/>
        </w:rPr>
      </w:pPr>
    </w:p>
    <w:p>
      <w:pPr>
        <w:ind w:right="14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10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right="20" w:hanging="532"/>
        <w:spacing w:after="0" w:line="23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 including the information specifically incorporated by reference into the Annual Report on Form 10-K from our definitive proxy statement (other than information furnished rather than filed) for the 2016 Annual Meeting of Stockholders, which was filed with the SEC on April 28, 2016;</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quarters ended March 31, 2016, June 30, 2016 and September 30, 2016;</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6, 2016, February 8, 2016, March 7, 2016, March 18, 2016 (solely with respect to Items 1.01 and 8.01), April 15, 2016, June 24, 2016, August 23, 2016, September 6, 2016, November 14, 2016, December 1, 2016 (filed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at 6:09pm EST on November 30, 2016), December 1, 2016 (filed at 11:56am EST on December 1, 2016) and December 5, 2016 (filed at 6:06am EST on December 5, 2016); and</w:t>
      </w:r>
    </w:p>
    <w:p>
      <w:pPr>
        <w:spacing w:after="0" w:line="209" w:lineRule="exact"/>
        <w:rPr>
          <w:sz w:val="20"/>
          <w:szCs w:val="20"/>
          <w:color w:val="auto"/>
        </w:rPr>
      </w:pPr>
    </w:p>
    <w:p>
      <w:pPr>
        <w:ind w:left="1080" w:right="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Blueprint Medicines Corporation</w:t>
      </w:r>
    </w:p>
    <w:p>
      <w:pPr>
        <w:jc w:val="center"/>
        <w:ind w:right="-359"/>
        <w:spacing w:after="0" w:line="234" w:lineRule="auto"/>
        <w:rPr>
          <w:sz w:val="20"/>
          <w:szCs w:val="20"/>
          <w:color w:val="auto"/>
        </w:rPr>
      </w:pPr>
      <w:r>
        <w:rPr>
          <w:rFonts w:ascii="Arial" w:cs="Arial" w:eastAsia="Arial" w:hAnsi="Arial"/>
          <w:sz w:val="18"/>
          <w:szCs w:val="18"/>
          <w:color w:val="auto"/>
        </w:rPr>
        <w:t>38 Sidney Street, Suite 200</w:t>
      </w:r>
    </w:p>
    <w:p>
      <w:pPr>
        <w:jc w:val="center"/>
        <w:ind w:right="-35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359"/>
        <w:spacing w:after="0" w:line="235" w:lineRule="auto"/>
        <w:rPr>
          <w:sz w:val="20"/>
          <w:szCs w:val="20"/>
          <w:color w:val="auto"/>
        </w:rPr>
      </w:pPr>
      <w:r>
        <w:rPr>
          <w:rFonts w:ascii="Arial" w:cs="Arial" w:eastAsia="Arial" w:hAnsi="Arial"/>
          <w:sz w:val="18"/>
          <w:szCs w:val="18"/>
          <w:color w:val="auto"/>
        </w:rPr>
        <w:t>Attn: Investor Relations</w:t>
      </w:r>
    </w:p>
    <w:p>
      <w:pPr>
        <w:jc w:val="center"/>
        <w:ind w:right="-359"/>
        <w:spacing w:after="0" w:line="235" w:lineRule="auto"/>
        <w:rPr>
          <w:sz w:val="20"/>
          <w:szCs w:val="20"/>
          <w:color w:val="auto"/>
        </w:rPr>
      </w:pPr>
      <w:r>
        <w:rPr>
          <w:rFonts w:ascii="Arial" w:cs="Arial" w:eastAsia="Arial" w:hAnsi="Arial"/>
          <w:sz w:val="18"/>
          <w:szCs w:val="18"/>
          <w:color w:val="auto"/>
        </w:rPr>
        <w:t>Phone: (617) 714-6674</w:t>
      </w:r>
    </w:p>
    <w:p>
      <w:pPr>
        <w:jc w:val="center"/>
        <w:ind w:right="-359"/>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43" w:right="5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and BLU-554 and our anticipated Phase 1 clinical trial for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19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211" w:lineRule="exact"/>
        <w:rPr>
          <w:rFonts w:ascii="Arial" w:cs="Arial" w:eastAsia="Arial" w:hAnsi="Arial"/>
          <w:sz w:val="18"/>
          <w:szCs w:val="18"/>
          <w:color w:val="auto"/>
        </w:rPr>
      </w:pPr>
    </w:p>
    <w:p>
      <w:pPr>
        <w:ind w:left="1080" w:right="240" w:hanging="532"/>
        <w:spacing w:after="0" w:line="23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194"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 including our companion diagnostic with Ventana Medical Systems, Inc. for BLU-554 and our companion diagnostic with QIAGEN Manchester Limited for BLU-285;</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grant funding;</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documents incorporated by reference herein and therein, particularly in the "Risk factors" section, that could cause actual results or events to differ materially from the forward-looking statements that we make. Our forward-looking statements do not reflect the potential impact of any future acquisitions, mergers, dispositions, joint ventures or investments we may make or enter into.</w:t>
      </w:r>
    </w:p>
    <w:p>
      <w:pPr>
        <w:spacing w:after="0" w:line="208"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contains estimate,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784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6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S-15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We are currently evaluating our most advanced drug candidates, BLU-285 and BLU-554, in three ongoing Phase 1 clinical trials and recently presented preliminary data from the dose escalation stage of those clinical trials.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1 Clinical Programs</w:t>
      </w:r>
    </w:p>
    <w:p>
      <w:pPr>
        <w:spacing w:after="0" w:line="232" w:lineRule="exact"/>
        <w:rPr>
          <w:sz w:val="20"/>
          <w:szCs w:val="20"/>
          <w:color w:val="auto"/>
        </w:rPr>
      </w:pPr>
    </w:p>
    <w:p>
      <w:pPr>
        <w:ind w:left="240" w:firstLine="488"/>
        <w:spacing w:after="0" w:line="269" w:lineRule="auto"/>
        <w:rPr>
          <w:sz w:val="20"/>
          <w:szCs w:val="20"/>
          <w:color w:val="auto"/>
        </w:rPr>
      </w:pPr>
      <w:r>
        <w:rPr>
          <w:rFonts w:ascii="Arial" w:cs="Arial" w:eastAsia="Arial" w:hAnsi="Arial"/>
          <w:sz w:val="16"/>
          <w:szCs w:val="16"/>
          <w:color w:val="auto"/>
        </w:rPr>
        <w:t>One of our lead drug candidates is BLU-285, an orally available, potent and highly selective inhibitor that targets D842V mutant PDGFRa and Exon 17 mutant KIT, including the D816V mutation, abnormally active receptor tyrosine kinase mutants that are drivers of cancer and proliferative disorders. We are currently evaluating BLU-285 in ongoing Phase 1 clinical trials for defined subsets of patients with gastrointestinal stromal tumors, or GIST, and systemic mastocytosis, or SM. GIST is the most common sarcoma, or tumor of bone or connective tissue, of the gastrointestinal tract, and SM is a myeloproliferative disorder of the mast cells. In December 2016, we presented preliminary data from our ongoing Phase 1 clinical trial of BLU-285 in patients with PDGFRa-driven GIST and patients with relapsed or refractory KIT-driven GIST, which we collectively refer to as advanced GIST. The data showed that BLU-285 was observed to be well tolerated and had achieved proof-of-concept in these indications. In December 2016, we presented preliminary data from our ongoing Phase 1 clinical trial of BLU-285 in patients with advanced SM, including patients with aggressive SM, advanced SM with an associated hematologic neoplasm and mast cell leukemia. The data showed that BLU-285 was observed to be well tolerated and achieved proof-of-concept in advanced SM. Our other lead drug candidate is BLU-554, an orally available, potent and highly selective inhibitor that targets FGFR4, a kinase that is aberrantly activated in a defined subset of patients with hepatocellular carcinoma, or HCC, the most common type of liver cancer. In November 2016, we presented preliminary data from our ongoing Phase 1 clinical trial of BLU-554 in patients with advanced HCC. The data showed that BLU-554 had achieved proof-of concept in this indication and a maximum tolerated dose, or MTD, had been established for BLU-554. BLU-554 is currently being evaluated in the expansion stage of our ongoing Phase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35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380"/>
        <w:spacing w:after="0" w:line="239" w:lineRule="auto"/>
        <w:rPr>
          <w:sz w:val="20"/>
          <w:szCs w:val="20"/>
          <w:color w:val="auto"/>
        </w:rPr>
      </w:pPr>
      <w:r>
        <w:rPr>
          <w:rFonts w:ascii="Arial" w:cs="Arial" w:eastAsia="Arial" w:hAnsi="Arial"/>
          <w:sz w:val="18"/>
          <w:szCs w:val="18"/>
          <w:color w:val="auto"/>
        </w:rPr>
        <w:t>clinical trial in patients with advanced HCC, and enrollment is ongoing. We have worldwide development and commercialization rights to BLU-285 and BLU-554.</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Advanced GIST</w:t>
      </w:r>
    </w:p>
    <w:p>
      <w:pPr>
        <w:spacing w:after="0" w:line="230" w:lineRule="exact"/>
        <w:rPr>
          <w:sz w:val="20"/>
          <w:szCs w:val="20"/>
          <w:color w:val="auto"/>
        </w:rPr>
      </w:pPr>
    </w:p>
    <w:p>
      <w:pPr>
        <w:ind w:left="240" w:right="120" w:firstLine="488"/>
        <w:spacing w:after="0" w:line="218" w:lineRule="auto"/>
        <w:rPr>
          <w:sz w:val="20"/>
          <w:szCs w:val="20"/>
          <w:color w:val="auto"/>
        </w:rPr>
      </w:pPr>
      <w:r>
        <w:rPr>
          <w:rFonts w:ascii="Arial" w:cs="Arial" w:eastAsia="Arial" w:hAnsi="Arial"/>
          <w:sz w:val="17"/>
          <w:szCs w:val="17"/>
          <w:color w:val="auto"/>
        </w:rPr>
        <w:t>BLU-285 is currently being evaluated in the dose escalation stage of a Phase 1 clinical trial in patients with advanced GIST. We presented preliminary data from the dose escalation stage of this clinical trial in December 2016 at the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EORTC-NCI-AACR Symposium on Molecular Targets and Cancer Therapeutics. As of the data cutoff date of November 1, 2016, BLU-285 had been administered to</w:t>
      </w:r>
    </w:p>
    <w:p>
      <w:pPr>
        <w:spacing w:after="0" w:line="1" w:lineRule="exact"/>
        <w:rPr>
          <w:sz w:val="20"/>
          <w:szCs w:val="20"/>
          <w:color w:val="auto"/>
        </w:rPr>
      </w:pPr>
    </w:p>
    <w:p>
      <w:pPr>
        <w:ind w:left="240" w:right="140"/>
        <w:spacing w:after="0" w:line="241" w:lineRule="auto"/>
        <w:rPr>
          <w:sz w:val="20"/>
          <w:szCs w:val="20"/>
          <w:color w:val="auto"/>
        </w:rPr>
      </w:pPr>
      <w:r>
        <w:rPr>
          <w:rFonts w:ascii="Arial" w:cs="Arial" w:eastAsia="Arial" w:hAnsi="Arial"/>
          <w:sz w:val="18"/>
          <w:szCs w:val="18"/>
          <w:color w:val="auto"/>
        </w:rPr>
        <w:t>36 patients at seven dose levels ranging from 30 mg once daily, or QD, to 400 mg QD, including 18 patients with PDGFRa-driven GIST and 18 patients with KIT-driven GIST. The median age was 61 (ranging from 41 to 77), and the median number of prior treatment regimens was 3.5 (ranging from zero to 12). Preliminary pharmacokinetic, or PK, analysis at all dose levels demonstrated relatively rapid absorption of BLU-285 and a mean half-life of over 24 hours, which supports QD dosing.</w:t>
      </w:r>
    </w:p>
    <w:p>
      <w:pPr>
        <w:spacing w:after="0" w:line="191" w:lineRule="exact"/>
        <w:rPr>
          <w:sz w:val="20"/>
          <w:szCs w:val="20"/>
          <w:color w:val="auto"/>
        </w:rPr>
      </w:pPr>
    </w:p>
    <w:p>
      <w:pPr>
        <w:ind w:left="240" w:firstLine="488"/>
        <w:spacing w:after="0" w:line="274"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 2016, BLU-285 was observed to be well tolerated at all doses. No</w:t>
      </w:r>
      <w:r>
        <w:rPr>
          <w:rFonts w:ascii="Arial" w:cs="Arial" w:eastAsia="Arial" w:hAnsi="Arial"/>
          <w:sz w:val="16"/>
          <w:szCs w:val="16"/>
          <w:i w:val="1"/>
          <w:iCs w:val="1"/>
          <w:color w:val="auto"/>
        </w:rPr>
        <w:t xml:space="preserve"> </w:t>
      </w:r>
      <w:r>
        <w:rPr>
          <w:rFonts w:ascii="Arial" w:cs="Arial" w:eastAsia="Arial" w:hAnsi="Arial"/>
          <w:sz w:val="16"/>
          <w:szCs w:val="16"/>
          <w:color w:val="auto"/>
        </w:rPr>
        <w:t>dose-limiting toxicities or treatment-related Grade 4 or 5 adverse events were reported, and no patients discontinued treatment with BLU-285 due to treatment-related adverse events. The majority of adverse events reported by investigators were Grade 1 or 2. Across all grades, adverse events reported by investigators most commonly included nausea (42%), vomiting (33%), peripheral edema (31%), fatigue (28%) and constipation (22%). Investigators reported treatment-related Grade 3 adverse events in three patients: nausea and vomiting (one patient); anemia and intratumoral hemorrhage (one patient); and hypophosphatemia (one patient), a deficiency of phosphates in the blood. An MTD for BLU-285 has not been established in this clinical trial, and enrollment in the dose escalation stage is ongoing.</w:t>
      </w:r>
    </w:p>
    <w:p>
      <w:pPr>
        <w:spacing w:after="0" w:line="164" w:lineRule="exact"/>
        <w:rPr>
          <w:sz w:val="20"/>
          <w:szCs w:val="20"/>
          <w:color w:val="auto"/>
        </w:rPr>
      </w:pPr>
    </w:p>
    <w:p>
      <w:pPr>
        <w:ind w:left="240" w:right="360" w:firstLine="488"/>
        <w:spacing w:after="0" w:line="243"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1, 2016, 28 patients in the first six cohorts of the dose</w:t>
      </w:r>
      <w:r>
        <w:rPr>
          <w:rFonts w:ascii="Arial" w:cs="Arial" w:eastAsia="Arial" w:hAnsi="Arial"/>
          <w:sz w:val="18"/>
          <w:szCs w:val="18"/>
          <w:i w:val="1"/>
          <w:iCs w:val="1"/>
          <w:color w:val="auto"/>
        </w:rPr>
        <w:t xml:space="preserve"> </w:t>
      </w:r>
      <w:r>
        <w:rPr>
          <w:rFonts w:ascii="Arial" w:cs="Arial" w:eastAsia="Arial" w:hAnsi="Arial"/>
          <w:sz w:val="18"/>
          <w:szCs w:val="18"/>
          <w:color w:val="auto"/>
        </w:rPr>
        <w:t>escalation stage of the clinical trial at doses ranging from 30 mg QD to 300 mg QD had completed at least two 28-day dosing cycles and were evaluable for response assessment. Response assessments were based on CT and MRI imaging to measure clinical activity per Response Evaluation Criteria In Solid Tumors version 1.1, or RECIST.</w:t>
      </w:r>
    </w:p>
    <w:p>
      <w:pPr>
        <w:spacing w:after="0" w:line="208" w:lineRule="exact"/>
        <w:rPr>
          <w:sz w:val="20"/>
          <w:szCs w:val="20"/>
          <w:color w:val="auto"/>
        </w:rPr>
      </w:pPr>
    </w:p>
    <w:p>
      <w:pPr>
        <w:ind w:left="1320" w:right="120" w:hanging="538"/>
        <w:spacing w:after="0" w:line="243"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PDGFRa-driven GIST, investigators observed radiographic tumor reduction in 14 of 15 evaluable patients with six patients achieving a partial response, or PR, by RECIST (five confirmed, one unconfirmed). For a confirmed PR, the PR was maintained through two consecutive response assessments at least four weeks apart. For the unconfirmed PR, as of the data cutoff date, a second response assessment at least four weeks after the first response assessment was not available. Tumor reduction was observed at the first dose level in the PDGFRa-driven subgroup of advanced GIST.</w:t>
      </w:r>
    </w:p>
    <w:p>
      <w:pPr>
        <w:spacing w:after="0" w:line="206" w:lineRule="exact"/>
        <w:rPr>
          <w:rFonts w:ascii="Arial" w:cs="Arial" w:eastAsia="Arial" w:hAnsi="Arial"/>
          <w:sz w:val="18"/>
          <w:szCs w:val="18"/>
          <w:color w:val="auto"/>
        </w:rPr>
      </w:pPr>
    </w:p>
    <w:p>
      <w:pPr>
        <w:jc w:val="both"/>
        <w:ind w:left="1320" w:right="60" w:hanging="538"/>
        <w:spacing w:after="0" w:line="26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KIT-driven GIST, investigators observed radiographic tumor reduction in five of the 13 evaluable patients, including one who achieved a PR by RECIST (confirmed). At the higher dose levels (greater than or equal to 135 mg), four out of six patients had tumor reduction, including the patient with a PR, which we believe suggests increased clinical activity with increased dose.</w:t>
      </w:r>
    </w:p>
    <w:p>
      <w:pPr>
        <w:ind w:left="1320"/>
        <w:spacing w:after="0"/>
        <w:rPr>
          <w:rFonts w:ascii="Arial" w:cs="Arial" w:eastAsia="Arial" w:hAnsi="Arial"/>
          <w:sz w:val="16"/>
          <w:szCs w:val="16"/>
          <w:color w:val="auto"/>
        </w:rPr>
      </w:pPr>
      <w:r>
        <w:rPr>
          <w:rFonts w:ascii="Arial" w:cs="Arial" w:eastAsia="Arial" w:hAnsi="Arial"/>
          <w:sz w:val="18"/>
          <w:szCs w:val="18"/>
          <w:color w:val="auto"/>
        </w:rPr>
        <w:t>Tumor reduction was first observed at the fourth dose level in the KIT-driven subgroup of advanced GIST.</w:t>
      </w:r>
    </w:p>
    <w:p>
      <w:pPr>
        <w:spacing w:after="0" w:line="198" w:lineRule="exact"/>
        <w:rPr>
          <w:rFonts w:ascii="Arial" w:cs="Arial" w:eastAsia="Arial" w:hAnsi="Arial"/>
          <w:sz w:val="16"/>
          <w:szCs w:val="16"/>
          <w:color w:val="auto"/>
        </w:rPr>
      </w:pPr>
    </w:p>
    <w:p>
      <w:pPr>
        <w:ind w:left="1320" w:right="80" w:hanging="538"/>
        <w:spacing w:after="0" w:line="244"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among all 36 patients administered BLU-285 for the treatment of advanced GIST, 27 patients remained on BLU-285, including all 18 patients with PDGFRa-driven GIST. For these 36 patients, the treatment duration ranged from 0.8 months to 12.3 months. Nine patients discontinued treatment with BLU-285 due to progressive disease.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269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26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firstLine="488"/>
        <w:spacing w:after="0" w:line="276"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Based on the safety profile and clinical activity observed to date in this clinical trial, we will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enroll patients in the dose escalation stage of this clinical trial. Once the MTD is reached, or a lower recommended dose for further clinical evaluation has been established, we plan to open expansion cohorts for subsets of patients with advanced GIST. We expect enrollment for the expansion stage of this Phase 1 clinical trial would begin in the first half of 2017, and we plan to enroll approximately 35 patients with advanced GIST in the expansion stage. Based on these preliminary data, we also plan to increase the cohort size in the expansion stage to evaluate the potential of BLU-285 as a single agent therapy in PDGFRa-driven GIST and KIT-driven GIST and to accelerate our evaluation of expanded development options for BLU-285 in GIST, including opportunities to move to earlier lines of therapy and possible combinations.</w:t>
      </w:r>
    </w:p>
    <w:p>
      <w:pPr>
        <w:spacing w:after="0" w:line="185"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In January 2016, the U.S. Food and Drug Administration, or FDA, granted orphan drug designation to BLU-285 for the treatment of GIST.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We plan to seek regulatory guidance on potential pathways for expedited clinical development of BLU-285 for the treatment of advanced GIST. In addition, in August 2016, we and QIAGEN Manchester Limited entered into an agreement to develop and commercialize an assay as a companion diagnostic test to identify GIST patients with the PDGFRa D842V mutation for use with BLU-285.</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Advanced SM</w:t>
      </w:r>
    </w:p>
    <w:p>
      <w:pPr>
        <w:spacing w:after="0" w:line="230" w:lineRule="exact"/>
        <w:rPr>
          <w:sz w:val="20"/>
          <w:szCs w:val="20"/>
          <w:color w:val="auto"/>
        </w:rPr>
      </w:pPr>
    </w:p>
    <w:p>
      <w:pPr>
        <w:ind w:left="240" w:right="40" w:firstLine="488"/>
        <w:spacing w:after="0" w:line="270" w:lineRule="auto"/>
        <w:rPr>
          <w:sz w:val="20"/>
          <w:szCs w:val="20"/>
          <w:color w:val="auto"/>
        </w:rPr>
      </w:pPr>
      <w:r>
        <w:rPr>
          <w:rFonts w:ascii="Arial" w:cs="Arial" w:eastAsia="Arial" w:hAnsi="Arial"/>
          <w:sz w:val="16"/>
          <w:szCs w:val="16"/>
          <w:color w:val="auto"/>
        </w:rPr>
        <w:t>BLU-285 is also currently being evaluated in the dose escalation stage of a Phase 1 clinical trial in patients with advanced SM. We presented preliminary data from this ongoing clinical trial in December 2016 at the 2016 American Society of Hematology Annual Meeting. As of the data cutoff date of November 11, 2016, BLU-285 had been administered to 12 patients at three dose levels (30 mg, 60 mg and 100 mg QD). The median age was 61.5 (ranging from 39 to 82), and the KIT D816V mutation has been confirmed in bone marrow or blood from 11 of the 12 patients. Ten of the 12 patients remained on the clinical trial as of the data cutoff date. Preliminary PK analysis at all dose levels demonstrated relatively rapid absorption of BLU-285 and a mean half-life of over 19 hours, which supports QD dosing and is consistent with the initial data reported by us from the dose escalation stage of our Phase 1 clinical trial for BLU-285 in patients with advanced GIST.</w:t>
      </w:r>
    </w:p>
    <w:p>
      <w:pPr>
        <w:spacing w:after="0" w:line="167" w:lineRule="exact"/>
        <w:rPr>
          <w:sz w:val="20"/>
          <w:szCs w:val="20"/>
          <w:color w:val="auto"/>
        </w:rPr>
      </w:pPr>
    </w:p>
    <w:p>
      <w:pPr>
        <w:ind w:left="240" w:right="40" w:firstLine="488"/>
        <w:spacing w:after="0" w:line="271"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11, 2016, BLU-285 was observed to be well tolerated at all doses.</w:t>
      </w:r>
      <w:r>
        <w:rPr>
          <w:rFonts w:ascii="Arial" w:cs="Arial" w:eastAsia="Arial" w:hAnsi="Arial"/>
          <w:sz w:val="16"/>
          <w:szCs w:val="16"/>
          <w:i w:val="1"/>
          <w:iCs w:val="1"/>
          <w:color w:val="auto"/>
        </w:rPr>
        <w:t xml:space="preserve"> </w:t>
      </w:r>
      <w:r>
        <w:rPr>
          <w:rFonts w:ascii="Arial" w:cs="Arial" w:eastAsia="Arial" w:hAnsi="Arial"/>
          <w:sz w:val="16"/>
          <w:szCs w:val="16"/>
          <w:color w:val="auto"/>
        </w:rPr>
        <w:t>No patients discontinued treatment due to an adverse event, and no Grade 4 or worse treatment-related adverse events were reported. The majority of adverse events reported by investigators were Grade 1 or Grade 2, and adverse events that occurred in two or more patients included fatigue (four patients), anemia (three patients) and alkaline phosphatase elevation (three patients). All three cases of alkaline phosphatase elevation were Grade 3 but were asymptomatic and transient and occurred in the absence of transaminase or bilirubin elevations. In addition, the Grade 3 alkaline phosphatase elevations occurred in the three patients with the highest bone marrow mast cell burden at baseline, suggesting the transient alkaline phosphatase elevations may be consistent with a pharmacodynamic, or PD, effect of BLU-285 on mast cells in the bone. One of the three cases of alkaline phosphatase elevation was considered possibly treatment-related and defined as a dose-limiting toxicity at the 60 mg dose level. All three patients continued treatment with BLU-285 without a dose reduction. The MTD for BLU-285 has not been established in this clinical trial, and enrollment in the dose escalation stage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590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Preliminary Clinical Activity Data.</w:t>
      </w:r>
    </w:p>
    <w:p>
      <w:pPr>
        <w:spacing w:after="0" w:line="230" w:lineRule="exact"/>
        <w:rPr>
          <w:sz w:val="20"/>
          <w:szCs w:val="20"/>
          <w:color w:val="auto"/>
        </w:rPr>
      </w:pPr>
    </w:p>
    <w:p>
      <w:pPr>
        <w:ind w:left="240" w:firstLine="478"/>
        <w:spacing w:after="0" w:line="238" w:lineRule="auto"/>
        <w:rPr>
          <w:sz w:val="20"/>
          <w:szCs w:val="20"/>
          <w:color w:val="auto"/>
        </w:rPr>
      </w:pPr>
      <w:r>
        <w:rPr>
          <w:rFonts w:ascii="Arial" w:cs="Arial" w:eastAsia="Arial" w:hAnsi="Arial"/>
          <w:sz w:val="18"/>
          <w:szCs w:val="18"/>
          <w:color w:val="auto"/>
        </w:rPr>
        <w:t>As of the data cutoff date of November 11, 2016, all 12 patients in the first three cohorts of the dose escalation stage of the clinical trial at doses ranging from 30 mg QD to 100 mg QD had completed at least two 28-day dosing cycles and were evaluated for signs of clinical activity.</w:t>
      </w:r>
    </w:p>
    <w:p>
      <w:pPr>
        <w:spacing w:after="0" w:line="222" w:lineRule="exact"/>
        <w:rPr>
          <w:sz w:val="20"/>
          <w:szCs w:val="20"/>
          <w:color w:val="auto"/>
        </w:rPr>
      </w:pPr>
    </w:p>
    <w:p>
      <w:pPr>
        <w:ind w:left="1320" w:right="38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Investigators observed decreases in bone marrow mast cell infiltrate, measured by bone marrow biopsy, in six of the eight patients who had a bone marrow biopsy after starting treatment with BLU-285.</w:t>
      </w:r>
    </w:p>
    <w:p>
      <w:pPr>
        <w:spacing w:after="0" w:line="195" w:lineRule="exact"/>
        <w:rPr>
          <w:rFonts w:ascii="Arial" w:cs="Arial" w:eastAsia="Arial" w:hAnsi="Arial"/>
          <w:sz w:val="18"/>
          <w:szCs w:val="18"/>
          <w:color w:val="auto"/>
        </w:rPr>
      </w:pPr>
    </w:p>
    <w:p>
      <w:pPr>
        <w:ind w:left="1320" w:right="8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of the six patients had a decrease of bone marrow mast infiltrate of more than 50% from baseline, including one patient with no residual mast cells in the bone marrow.</w:t>
      </w:r>
    </w:p>
    <w:p>
      <w:pPr>
        <w:spacing w:after="0" w:line="195" w:lineRule="exact"/>
        <w:rPr>
          <w:rFonts w:ascii="Arial" w:cs="Arial" w:eastAsia="Arial" w:hAnsi="Arial"/>
          <w:sz w:val="18"/>
          <w:szCs w:val="18"/>
          <w:color w:val="auto"/>
        </w:rPr>
      </w:pPr>
    </w:p>
    <w:p>
      <w:pPr>
        <w:ind w:left="1320" w:right="10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measurements at a central laboratory, serum tryptase decreased in 10 of 12 patients. The serum tryptase decrease was greater than 50% in eight patients.</w:t>
      </w:r>
    </w:p>
    <w:p>
      <w:pPr>
        <w:spacing w:after="0" w:line="208" w:lineRule="exact"/>
        <w:rPr>
          <w:rFonts w:ascii="Arial" w:cs="Arial" w:eastAsia="Arial" w:hAnsi="Arial"/>
          <w:sz w:val="18"/>
          <w:szCs w:val="18"/>
          <w:color w:val="auto"/>
        </w:rPr>
      </w:pPr>
    </w:p>
    <w:p>
      <w:pPr>
        <w:ind w:left="1320" w:right="52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allele burden of D816V mutant KIT decreased within the first two treatment cycles in five of six evaluable patients in circulating tumor DNA and bone marrow.</w:t>
      </w:r>
    </w:p>
    <w:p>
      <w:pPr>
        <w:spacing w:after="0" w:line="195" w:lineRule="exact"/>
        <w:rPr>
          <w:rFonts w:ascii="Arial" w:cs="Arial" w:eastAsia="Arial" w:hAnsi="Arial"/>
          <w:sz w:val="18"/>
          <w:szCs w:val="18"/>
          <w:color w:val="auto"/>
        </w:rPr>
      </w:pPr>
    </w:p>
    <w:p>
      <w:pPr>
        <w:ind w:left="1320" w:right="84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Rash improved in five patients with urticaria pigmentosa from baseline based on investigator assessments. Urticaria pigmentosa is an allergy-mediated rash common in SM patients.</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Weight increased in 10 patients, and albumin increased in 11 patients, suggesting improvements in malabsorption.</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Ten of 12 patients remained on treatment with BLU-285, and the duration of treatment ranged from one month to 8.1 months.</w:t>
      </w:r>
    </w:p>
    <w:p>
      <w:pPr>
        <w:spacing w:after="0" w:line="217" w:lineRule="exact"/>
        <w:rPr>
          <w:sz w:val="20"/>
          <w:szCs w:val="20"/>
          <w:color w:val="auto"/>
        </w:rPr>
      </w:pPr>
    </w:p>
    <w:p>
      <w:pPr>
        <w:ind w:left="240" w:right="60" w:firstLine="488"/>
        <w:spacing w:after="0" w:line="271"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Based on the preliminary safety profile and clinical activity observed to date in this clinical trial, we plan</w:t>
      </w:r>
      <w:r>
        <w:rPr>
          <w:rFonts w:ascii="Arial" w:cs="Arial" w:eastAsia="Arial" w:hAnsi="Arial"/>
          <w:sz w:val="16"/>
          <w:szCs w:val="16"/>
          <w:i w:val="1"/>
          <w:iCs w:val="1"/>
          <w:color w:val="auto"/>
        </w:rPr>
        <w:t xml:space="preserve"> </w:t>
      </w:r>
      <w:r>
        <w:rPr>
          <w:rFonts w:ascii="Arial" w:cs="Arial" w:eastAsia="Arial" w:hAnsi="Arial"/>
          <w:sz w:val="16"/>
          <w:szCs w:val="16"/>
          <w:color w:val="auto"/>
        </w:rPr>
        <w:t>to continue to enroll patients in the dose escalation stage of this Phase 1 clinical trial until an MTD is reached or a recommended dose is established. We plan to open enrollment in expansion cohorts for specific subtypes of advanced SM to evaluate BLU-285 as a single agent in advanced SM once a recommended dose for further clinical evaluation has been determined or an MTD has been reached. We expect to initiate the expansion stage of this clinical trial in 2017 and plan to enroll approximately 35 patients with advanced SM in the expansion stage. We are also collaborating with a health research outcomes group to develop a disease-specific patient reported outcome tool to measure changes in total symptom burden in patients with advanced SM. Based on the preliminary safety and clinical activity data, we plan to evaluate options to expand the clinical development of BLU-285 in other KIT-driven diseases, including possible opportunities for the treatment of indolent SM and KIT-mutant acute myeloid leukemia, groups of patients in need of more effective treatments.</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addition, in January 2016, the FDA granted orphan drug designation to BLU-285 for the treatment of SM.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Advanced HCC</w:t>
      </w:r>
    </w:p>
    <w:p>
      <w:pPr>
        <w:spacing w:after="0" w:line="230" w:lineRule="exact"/>
        <w:rPr>
          <w:sz w:val="20"/>
          <w:szCs w:val="20"/>
          <w:color w:val="auto"/>
        </w:rPr>
      </w:pPr>
    </w:p>
    <w:p>
      <w:pPr>
        <w:ind w:left="240" w:right="20" w:firstLine="488"/>
        <w:spacing w:after="0" w:line="223" w:lineRule="auto"/>
        <w:rPr>
          <w:sz w:val="20"/>
          <w:szCs w:val="20"/>
          <w:color w:val="auto"/>
        </w:rPr>
      </w:pPr>
      <w:r>
        <w:rPr>
          <w:rFonts w:ascii="Arial" w:cs="Arial" w:eastAsia="Arial" w:hAnsi="Arial"/>
          <w:sz w:val="18"/>
          <w:szCs w:val="18"/>
          <w:color w:val="auto"/>
        </w:rPr>
        <w:t xml:space="preserve">BLU-554 is currently being evaluated in the expansion stage of a Phase 1 clinical trial in patients with advanced HCC, and enrollment is ongoing. We presented preliminary data from the dose escalation stage of this ongoing clinical trial in November 2016 at the 28 </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EORTC-NCI-AACR Symposium on Molecular Targets and Cancer Therapeutics. As of the data cutoff date of November 7, 2016, BLU-554 had been administered to 25 patients in the dose escalation stage of the clinical trial at five dose levels (ranging from 140 mg QD to 900 mg QD), with the majority of patients having previously received sorafenib. Ten patients had confirmed tumor FGF19 overexpression using an investigational immunohistochemistry, or IHC, assay. PK data across all dose levels showed rapid oral absorption, a mean half-life of approximately 10 hours and exposure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775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77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40"/>
        <w:spacing w:after="0" w:line="238" w:lineRule="auto"/>
        <w:rPr>
          <w:sz w:val="20"/>
          <w:szCs w:val="20"/>
          <w:color w:val="auto"/>
        </w:rPr>
      </w:pPr>
      <w:r>
        <w:rPr>
          <w:rFonts w:ascii="Arial" w:cs="Arial" w:eastAsia="Arial" w:hAnsi="Arial"/>
          <w:sz w:val="18"/>
          <w:szCs w:val="18"/>
          <w:color w:val="auto"/>
        </w:rPr>
        <w:t>in the expected therapeutic range as predicted by HCC xenograft models in mice. PD data suggested that treatment with BLU-554 inhibited the FGFR4 pathway, as evidenced by effects on metabolic pathways downstream of FGFR4, with increases in the bile acid precursor C4, decreases in cholesterol and feedback upregulation of the ligand FGF19 in blood.</w:t>
      </w:r>
    </w:p>
    <w:p>
      <w:pPr>
        <w:spacing w:after="0" w:line="190"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i w:val="1"/>
          <w:iCs w:val="1"/>
          <w:color w:val="auto"/>
        </w:rPr>
        <w:t xml:space="preserve">Preliminary Safety Data. </w:t>
      </w:r>
      <w:r>
        <w:rPr>
          <w:rFonts w:ascii="Arial" w:cs="Arial" w:eastAsia="Arial" w:hAnsi="Arial"/>
          <w:sz w:val="18"/>
          <w:szCs w:val="18"/>
          <w:color w:val="auto"/>
        </w:rPr>
        <w:t>As of the data cutoff date of November 7, 2016, the majority of adverse events reported by investigators</w:t>
      </w:r>
      <w:r>
        <w:rPr>
          <w:rFonts w:ascii="Arial" w:cs="Arial" w:eastAsia="Arial" w:hAnsi="Arial"/>
          <w:sz w:val="18"/>
          <w:szCs w:val="18"/>
          <w:i w:val="1"/>
          <w:iCs w:val="1"/>
          <w:color w:val="auto"/>
        </w:rPr>
        <w:t xml:space="preserve"> </w:t>
      </w:r>
      <w:r>
        <w:rPr>
          <w:rFonts w:ascii="Arial" w:cs="Arial" w:eastAsia="Arial" w:hAnsi="Arial"/>
          <w:sz w:val="18"/>
          <w:szCs w:val="18"/>
          <w:color w:val="auto"/>
        </w:rPr>
        <w:t>were Grade 1 or 2 and most commonly included diarrhea (72%), nausea (44%), abdominal pain (40%), vomiting (40%), fatigue (36%), transaminase elevation (alanine aminotransferase, or ALT (32%) and aspartate aminotransferase, or AST (28%)) and decreased appetite (24%). Investigators reported Grade 3 or higher adverse events in 17 patients. Grade 3 or worse adverse events occurring in three or more patients included anemia, elevated transaminases (AST and ALT), abdominal pain and decreased lymphocytes. The MTD for BLU-554 was identified to be 600 mg QD. Two patients experienced dose-limiting toxicities at 900 mg (Grade 3 abdominal pain and Grade 3 fatigue). Only two patients discontinued treatment with BLU-554 due to treatment-related toxicities (Grade 4 increased AST and Grade 3 hemorrhage). The case of Grade 3 hemorrhage occurred in a patient treated at 900 mg, which was above the MTD.</w:t>
      </w:r>
    </w:p>
    <w:p>
      <w:pPr>
        <w:spacing w:after="0" w:line="195" w:lineRule="exact"/>
        <w:rPr>
          <w:sz w:val="20"/>
          <w:szCs w:val="20"/>
          <w:color w:val="auto"/>
        </w:rPr>
      </w:pPr>
    </w:p>
    <w:p>
      <w:pPr>
        <w:ind w:left="240" w:right="440" w:firstLine="488"/>
        <w:spacing w:after="0" w:line="260"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7, 2016, 25 patients in the first five cohorts of the dose</w:t>
      </w:r>
      <w:r>
        <w:rPr>
          <w:rFonts w:ascii="Arial" w:cs="Arial" w:eastAsia="Arial" w:hAnsi="Arial"/>
          <w:sz w:val="18"/>
          <w:szCs w:val="18"/>
          <w:i w:val="1"/>
          <w:iCs w:val="1"/>
          <w:color w:val="auto"/>
        </w:rPr>
        <w:t xml:space="preserve"> </w:t>
      </w:r>
      <w:r>
        <w:rPr>
          <w:rFonts w:ascii="Arial" w:cs="Arial" w:eastAsia="Arial" w:hAnsi="Arial"/>
          <w:sz w:val="18"/>
          <w:szCs w:val="18"/>
          <w:color w:val="auto"/>
        </w:rPr>
        <w:t>escalation stage of the clinical trial (at doses ranging from 140 mg QD to 900 mg QD) were evaluable for clinical activity.</w:t>
      </w:r>
    </w:p>
    <w:p>
      <w:pPr>
        <w:spacing w:after="0" w:line="204" w:lineRule="exact"/>
        <w:rPr>
          <w:sz w:val="20"/>
          <w:szCs w:val="20"/>
          <w:color w:val="auto"/>
        </w:rPr>
      </w:pPr>
    </w:p>
    <w:p>
      <w:pPr>
        <w:ind w:left="1320" w:right="140" w:hanging="538"/>
        <w:spacing w:after="0" w:line="299"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Investigators observed one patient with a confirmed PR, who remained on the clinical trial for eight 28-day dosing cycles, and 12 patients with stable disease, or SD, including seven who had tumor reduction but did not reach the threshold for a PR.</w:t>
      </w:r>
    </w:p>
    <w:p>
      <w:pPr>
        <w:spacing w:after="0" w:line="149" w:lineRule="exact"/>
        <w:rPr>
          <w:rFonts w:ascii="Arial" w:cs="Arial" w:eastAsia="Arial" w:hAnsi="Arial"/>
          <w:sz w:val="16"/>
          <w:szCs w:val="16"/>
          <w:color w:val="auto"/>
        </w:rPr>
      </w:pPr>
    </w:p>
    <w:p>
      <w:pPr>
        <w:ind w:left="1320" w:right="18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10 evaluable patients with FGF19 overexpression in their tumors, five had radiographic tumor reduction, including one patient with a confirmed PR. Seven of the 10 patients with FGF19 overexpression remained on the clinical trial as of the data cutoff.</w:t>
      </w:r>
    </w:p>
    <w:p>
      <w:pPr>
        <w:spacing w:after="0" w:line="194" w:lineRule="exact"/>
        <w:rPr>
          <w:rFonts w:ascii="Arial" w:cs="Arial" w:eastAsia="Arial" w:hAnsi="Arial"/>
          <w:sz w:val="18"/>
          <w:szCs w:val="18"/>
          <w:color w:val="auto"/>
        </w:rPr>
      </w:pPr>
    </w:p>
    <w:p>
      <w:pPr>
        <w:ind w:left="1320" w:right="200" w:hanging="538"/>
        <w:spacing w:after="0" w:line="281"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Among all 25 evaluable patients, seven patients remained on treatment as of the data cutoff date, with treatment duration ranging from 0.8 to 7.6 months. Eighteen patients discontinued treatment with BLU-554, including 15 patients due to disease progression, two patients due to treatment-related adverse events and one patient due to the investigator's decision.</w:t>
      </w:r>
    </w:p>
    <w:p>
      <w:pPr>
        <w:spacing w:after="0" w:line="160" w:lineRule="exact"/>
        <w:rPr>
          <w:sz w:val="20"/>
          <w:szCs w:val="20"/>
          <w:color w:val="auto"/>
        </w:rPr>
      </w:pPr>
    </w:p>
    <w:p>
      <w:pPr>
        <w:ind w:left="240" w:firstLine="488"/>
        <w:spacing w:after="0" w:line="272" w:lineRule="auto"/>
        <w:rPr>
          <w:sz w:val="20"/>
          <w:szCs w:val="20"/>
          <w:color w:val="auto"/>
        </w:rPr>
      </w:pPr>
      <w:r>
        <w:rPr>
          <w:rFonts w:ascii="Arial" w:cs="Arial" w:eastAsia="Arial" w:hAnsi="Arial"/>
          <w:sz w:val="16"/>
          <w:szCs w:val="16"/>
          <w:i w:val="1"/>
          <w:iCs w:val="1"/>
          <w:color w:val="auto"/>
        </w:rPr>
        <w:t xml:space="preserve">Clinical Development Plans. </w:t>
      </w:r>
      <w:r>
        <w:rPr>
          <w:rFonts w:ascii="Arial" w:cs="Arial" w:eastAsia="Arial" w:hAnsi="Arial"/>
          <w:sz w:val="16"/>
          <w:szCs w:val="16"/>
          <w:color w:val="auto"/>
        </w:rPr>
        <w:t>We have initiated enrollment of the biomarker-selected expansion cohorts for this clinical trial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MTD of 600 mg QD. In the expansion stage of our Phase 1 clinical trial of BLU-554 in advanced HCC, patients are prospectively evaluated for tumor expression of FGF19 using an investigational IHC assay. We plan to enroll approximately 45 patients in three subsets with a range of tumors expressing FGF19. Two subsets of patients will be selected to have tumors that overexpress FGF19 (confirmed by the IHC assay), which is indicative of autocrine physiology where FGF19 is produced by the tumor cells in the liver. One of the patient subsets with tumors that overexpress FGF19 will have FGF19 gene amplification (confirmed by fluorescence in situ hybridization). The third subset of patients will be selected to have tumor FGF19 expression of less than 1% by the IHC assay, which is indicative of normal endocrine physiology, where FGF19 is produced by the intestines. Based on the preliminary data, we also plan to accelerate our evaluation of expanded development options for BLU-554 in HCC, including opportunities to move to earlier lines of therapy and possible combinations.</w:t>
      </w:r>
    </w:p>
    <w:p>
      <w:pPr>
        <w:spacing w:after="0" w:line="389" w:lineRule="exact"/>
        <w:rPr>
          <w:sz w:val="20"/>
          <w:szCs w:val="20"/>
          <w:color w:val="auto"/>
        </w:rPr>
      </w:pPr>
    </w:p>
    <w:p>
      <w:pPr>
        <w:ind w:left="240" w:right="140" w:firstLine="488"/>
        <w:spacing w:after="0" w:line="281" w:lineRule="auto"/>
        <w:rPr>
          <w:sz w:val="20"/>
          <w:szCs w:val="20"/>
          <w:color w:val="auto"/>
        </w:rPr>
      </w:pPr>
      <w:r>
        <w:rPr>
          <w:rFonts w:ascii="Arial" w:cs="Arial" w:eastAsia="Arial" w:hAnsi="Arial"/>
          <w:sz w:val="16"/>
          <w:szCs w:val="16"/>
          <w:color w:val="auto"/>
        </w:rPr>
        <w:t>In September 2015, the FDA granted orphan drug designation to BLU-554 for the treatment of HCC. In addition, in March 2015, we entered into an agreement with Ventana Medical Systems, Inc. to develop and commercialize an IHC assay as a companion diagnostic test for use with BLU-554 to identify HCC patients with aberrantly active FGFR4 signaling as indicated by FGF19 protein overexpression.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315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Development Programs</w:t>
      </w:r>
    </w:p>
    <w:p>
      <w:pPr>
        <w:spacing w:after="0" w:line="232"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also developing BLU-667, a drug candidate that targets RET, a receptor tyrosine kinase that is abnormally activated by mutations or translocations and RET resistant mutants that we predict will arise from treatment with first generation therapies. RET is a driver of disease in non-small cell lung cancer and cancers of the thyroid, and our research suggests that RET may be a driver of disease in subsets of colon and breast cancer. In November 2016, we filed an Investigational New Drug, or IND, application for BLU-667 with the FDA. Subject to the FDA approving our IND application for BLU-667 for the treatment of RET, we expect to initiate a Phase 1 clinical trial for BLU-667 in non-small cell lung cancer, thyroid cancer and other advanced solid tumors in the first half of 2017.</w:t>
      </w:r>
    </w:p>
    <w:p>
      <w:pPr>
        <w:spacing w:after="0" w:line="210" w:lineRule="exact"/>
        <w:rPr>
          <w:sz w:val="20"/>
          <w:szCs w:val="20"/>
          <w:color w:val="auto"/>
        </w:rPr>
      </w:pPr>
    </w:p>
    <w:p>
      <w:pPr>
        <w:ind w:left="240" w:right="260" w:firstLine="488"/>
        <w:spacing w:after="0" w:line="237" w:lineRule="auto"/>
        <w:rPr>
          <w:sz w:val="20"/>
          <w:szCs w:val="20"/>
          <w:color w:val="auto"/>
        </w:rPr>
      </w:pPr>
      <w:r>
        <w:rPr>
          <w:rFonts w:ascii="Arial" w:cs="Arial" w:eastAsia="Arial" w:hAnsi="Arial"/>
          <w:sz w:val="18"/>
          <w:szCs w:val="18"/>
          <w:color w:val="auto"/>
        </w:rPr>
        <w:t>In September 2015, we announced a new discovery program targeting protein kinase cAMP-activated catalytic subunit alpha, or PRKACA, fusions for the treatment of fibrolamellar carcinoma, or FLC, a rare and distinct subtype of liver cancer that typically arises in young adults. Currently, there are no approved therapies for FLC, and surgery is the only available treatment option for some patients, but most patients inevitably progress.</w:t>
      </w:r>
    </w:p>
    <w:p>
      <w:pPr>
        <w:spacing w:after="0" w:line="209"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We will continue to leverage our platform to systematically and reproducibly identify kinases that are drivers of diseases in genomically defined patient populations and craft drug candidates that potently and selectively target these kinases. Our goal is to file one IND application annually on average. We anticipate nominating at least one additional discovery program in 2017.</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 Programs</w:t>
      </w:r>
    </w:p>
    <w:p>
      <w:pPr>
        <w:spacing w:after="0" w:line="234" w:lineRule="exact"/>
        <w:rPr>
          <w:sz w:val="20"/>
          <w:szCs w:val="20"/>
          <w:color w:val="auto"/>
        </w:rPr>
      </w:pPr>
    </w:p>
    <w:p>
      <w:pPr>
        <w:ind w:left="240" w:right="20" w:firstLine="488"/>
        <w:spacing w:after="0" w:line="236" w:lineRule="auto"/>
        <w:rPr>
          <w:sz w:val="20"/>
          <w:szCs w:val="20"/>
          <w:color w:val="auto"/>
        </w:rPr>
      </w:pPr>
      <w:r>
        <w:rPr>
          <w:rFonts w:ascii="Arial" w:cs="Arial" w:eastAsia="Arial" w:hAnsi="Arial"/>
          <w:sz w:val="18"/>
          <w:szCs w:val="18"/>
          <w:color w:val="auto"/>
        </w:rPr>
        <w:t>In addition to our wholly-owned clinical and preclinical programs, we have leveraged our platform to enter into collaboration programs with Alexion Pharma Holding, or Alexion, and F. Hoffmann-La Roche Ltd and Hoffmann-La Roche Inc., which we refer to collectively as Roche. In March 2015, we entered into an agreement with Alexion to discover, develop and commercialize one or more drug candidates targeting an undisclosed rare genetic disease. In March 2016, we entered into an agreement with Roche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ind w:left="240" w:right="100" w:firstLine="478"/>
        <w:spacing w:after="0" w:line="238" w:lineRule="auto"/>
        <w:rPr>
          <w:sz w:val="20"/>
          <w:szCs w:val="20"/>
          <w:color w:val="auto"/>
        </w:rPr>
      </w:pPr>
      <w:r>
        <w:rPr>
          <w:rFonts w:ascii="Arial" w:cs="Arial" w:eastAsia="Arial" w:hAnsi="Arial"/>
          <w:sz w:val="18"/>
          <w:szCs w:val="18"/>
          <w:color w:val="auto"/>
        </w:rPr>
        <w:t>As of September 30, 2016, we had cash, cash equivalents and investments of $152.5 million. We expect that our cash, cash equivalents and investments balance will be at least $125 million at December 31, 2016, before giving effect to the sale of 5,000,000 shares of common stock in this offering.</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right="100" w:firstLine="488"/>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June 30th of the previous year. For so long as we remain an emerging growth company, we 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66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spacing w:after="0" w:line="239" w:lineRule="auto"/>
        <w:rPr>
          <w:sz w:val="20"/>
          <w:szCs w:val="20"/>
          <w:color w:val="auto"/>
        </w:rPr>
      </w:pPr>
      <w:r>
        <w:rPr>
          <w:rFonts w:ascii="Arial" w:cs="Arial" w:eastAsia="Arial" w:hAnsi="Arial"/>
          <w:sz w:val="18"/>
          <w:szCs w:val="18"/>
          <w:color w:val="auto"/>
        </w:rPr>
        <w:t>permitted and intend to rely on exemptions from certain disclosure requirements that are applicable to other public companies that are not emerging growth companies.</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73" w:lineRule="auto"/>
        <w:rPr>
          <w:sz w:val="20"/>
          <w:szCs w:val="20"/>
          <w:color w:val="auto"/>
        </w:rPr>
      </w:pPr>
      <w:r>
        <w:rPr>
          <w:rFonts w:ascii="Arial" w:cs="Arial" w:eastAsia="Arial" w:hAnsi="Arial"/>
          <w:sz w:val="16"/>
          <w:szCs w:val="16"/>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83"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7593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59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60"/>
          </w:cols>
          <w:pgMar w:left="240" w:top="143" w:right="599" w:bottom="1440" w:gutter="0" w:footer="0" w:header="0"/>
        </w:sectPr>
      </w:pPr>
    </w:p>
    <w:p>
      <w:pPr>
        <w:spacing w:after="0" w:line="25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5,000,000 shares</w:t>
      </w:r>
    </w:p>
    <w:p>
      <w:pPr>
        <w:spacing w:after="0" w:line="200" w:lineRule="exact"/>
        <w:rPr>
          <w:sz w:val="20"/>
          <w:szCs w:val="20"/>
          <w:color w:val="auto"/>
        </w:rPr>
      </w:pPr>
    </w:p>
    <w:p>
      <w:pPr>
        <w:sectPr>
          <w:pgSz w:w="11900" w:h="16838" w:orient="portrait"/>
          <w:cols w:equalWidth="0" w:num="2">
            <w:col w:w="5160" w:space="720"/>
            <w:col w:w="5180"/>
          </w:cols>
          <w:pgMar w:left="240" w:top="143" w:right="599" w:bottom="1440" w:gutter="0" w:footer="0" w:header="0"/>
          <w:type w:val="continuous"/>
        </w:sectPr>
      </w:pPr>
    </w:p>
    <w:p>
      <w:pPr>
        <w:spacing w:after="0" w:line="3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520"/>
        <w:spacing w:after="0" w:line="238" w:lineRule="auto"/>
        <w:rPr>
          <w:sz w:val="20"/>
          <w:szCs w:val="20"/>
          <w:color w:val="auto"/>
        </w:rPr>
      </w:pPr>
      <w:r>
        <w:rPr>
          <w:rFonts w:ascii="Arial" w:cs="Arial" w:eastAsia="Arial" w:hAnsi="Arial"/>
          <w:sz w:val="18"/>
          <w:szCs w:val="18"/>
          <w:color w:val="auto"/>
        </w:rPr>
        <w:t>32,307,556 shares (or 33,057,556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5160" w:space="720"/>
            <w:col w:w="5180"/>
          </w:cols>
          <w:pgMar w:left="240" w:top="143" w:right="599" w:bottom="1440" w:gutter="0" w:footer="0" w:header="0"/>
          <w:type w:val="continuous"/>
        </w:sectPr>
      </w:pPr>
    </w:p>
    <w:p>
      <w:pPr>
        <w:spacing w:after="0" w:line="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ind w:right="1020"/>
        <w:spacing w:after="0" w:line="236" w:lineRule="auto"/>
        <w:rPr>
          <w:sz w:val="20"/>
          <w:szCs w:val="20"/>
          <w:color w:val="auto"/>
        </w:rPr>
      </w:pPr>
      <w:r>
        <w:rPr>
          <w:rFonts w:ascii="Arial" w:cs="Arial" w:eastAsia="Arial" w:hAnsi="Arial"/>
          <w:sz w:val="18"/>
          <w:szCs w:val="18"/>
          <w:color w:val="auto"/>
        </w:rPr>
        <w:t>We have granted the underwriters an option to purchase up to an additional 750,000 shares of common stock. The underwriters can exercise this option at any time within 30 days from the date of this prospectus supplement.</w:t>
      </w:r>
    </w:p>
    <w:p>
      <w:pPr>
        <w:spacing w:after="0" w:line="200" w:lineRule="exact"/>
        <w:rPr>
          <w:sz w:val="20"/>
          <w:szCs w:val="20"/>
          <w:color w:val="auto"/>
        </w:rPr>
      </w:pPr>
    </w:p>
    <w:p>
      <w:pPr>
        <w:sectPr>
          <w:pgSz w:w="11900" w:h="16838" w:orient="portrait"/>
          <w:cols w:equalWidth="0" w:num="2">
            <w:col w:w="5240" w:space="640"/>
            <w:col w:w="5180"/>
          </w:cols>
          <w:pgMar w:left="240" w:top="143" w:right="599" w:bottom="1440" w:gutter="0" w:footer="0" w:header="0"/>
          <w:type w:val="continuous"/>
        </w:sectPr>
      </w:pPr>
    </w:p>
    <w:p>
      <w:pPr>
        <w:spacing w:after="0" w:line="1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expect to receive net proceeds from this offering</w:t>
      </w:r>
    </w:p>
    <w:p>
      <w:pPr>
        <w:spacing w:after="0" w:line="234" w:lineRule="auto"/>
        <w:rPr>
          <w:sz w:val="20"/>
          <w:szCs w:val="20"/>
          <w:color w:val="auto"/>
        </w:rPr>
      </w:pPr>
      <w:r>
        <w:rPr>
          <w:rFonts w:ascii="Arial" w:cs="Arial" w:eastAsia="Arial" w:hAnsi="Arial"/>
          <w:sz w:val="18"/>
          <w:szCs w:val="18"/>
          <w:color w:val="auto"/>
        </w:rPr>
        <w:t>of approximately $116.9 million (or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$134.5 million if the underwriters exercise their option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purchase additional shares in full), after deducting</w:t>
      </w:r>
    </w:p>
    <w:p>
      <w:pPr>
        <w:spacing w:after="0" w:line="234" w:lineRule="auto"/>
        <w:rPr>
          <w:sz w:val="20"/>
          <w:szCs w:val="20"/>
          <w:color w:val="auto"/>
        </w:rPr>
      </w:pPr>
      <w:r>
        <w:rPr>
          <w:rFonts w:ascii="Arial" w:cs="Arial" w:eastAsia="Arial" w:hAnsi="Arial"/>
          <w:sz w:val="18"/>
          <w:szCs w:val="18"/>
          <w:color w:val="auto"/>
        </w:rPr>
        <w:t>underwriting discounts and commissions and</w:t>
      </w:r>
    </w:p>
    <w:p>
      <w:pPr>
        <w:spacing w:after="0" w:line="235" w:lineRule="auto"/>
        <w:rPr>
          <w:sz w:val="20"/>
          <w:szCs w:val="20"/>
          <w:color w:val="auto"/>
        </w:rPr>
      </w:pPr>
      <w:r>
        <w:rPr>
          <w:rFonts w:ascii="Arial" w:cs="Arial" w:eastAsia="Arial" w:hAnsi="Arial"/>
          <w:sz w:val="18"/>
          <w:szCs w:val="18"/>
          <w:color w:val="auto"/>
        </w:rPr>
        <w:t>estimated offering expenses payable by us. We</w:t>
      </w:r>
    </w:p>
    <w:p>
      <w:pPr>
        <w:spacing w:after="0" w:line="235" w:lineRule="auto"/>
        <w:rPr>
          <w:sz w:val="20"/>
          <w:szCs w:val="20"/>
          <w:color w:val="auto"/>
        </w:rPr>
      </w:pPr>
      <w:r>
        <w:rPr>
          <w:rFonts w:ascii="Arial" w:cs="Arial" w:eastAsia="Arial" w:hAnsi="Arial"/>
          <w:sz w:val="18"/>
          <w:szCs w:val="18"/>
          <w:color w:val="auto"/>
        </w:rPr>
        <w:t>intend to use the net proceeds from this offering to</w:t>
      </w:r>
    </w:p>
    <w:p>
      <w:pPr>
        <w:spacing w:after="0" w:line="235" w:lineRule="auto"/>
        <w:rPr>
          <w:sz w:val="20"/>
          <w:szCs w:val="20"/>
          <w:color w:val="auto"/>
        </w:rPr>
      </w:pPr>
      <w:r>
        <w:rPr>
          <w:rFonts w:ascii="Arial" w:cs="Arial" w:eastAsia="Arial" w:hAnsi="Arial"/>
          <w:sz w:val="18"/>
          <w:szCs w:val="18"/>
          <w:color w:val="auto"/>
        </w:rPr>
        <w:t>fund the initiation of additional clinical trials of BLU-</w:t>
      </w:r>
    </w:p>
    <w:p>
      <w:pPr>
        <w:spacing w:after="0" w:line="235" w:lineRule="auto"/>
        <w:rPr>
          <w:sz w:val="20"/>
          <w:szCs w:val="20"/>
          <w:color w:val="auto"/>
        </w:rPr>
      </w:pPr>
      <w:r>
        <w:rPr>
          <w:rFonts w:ascii="Arial" w:cs="Arial" w:eastAsia="Arial" w:hAnsi="Arial"/>
          <w:sz w:val="18"/>
          <w:szCs w:val="18"/>
          <w:color w:val="auto"/>
        </w:rPr>
        <w:t>285 in advanced GIST and complete the expansion</w:t>
      </w:r>
    </w:p>
    <w:p>
      <w:pPr>
        <w:spacing w:after="0"/>
        <w:rPr>
          <w:sz w:val="20"/>
          <w:szCs w:val="20"/>
          <w:color w:val="auto"/>
        </w:rPr>
      </w:pPr>
      <w:r>
        <w:rPr>
          <w:rFonts w:ascii="Arial" w:cs="Arial" w:eastAsia="Arial" w:hAnsi="Arial"/>
          <w:sz w:val="16"/>
          <w:szCs w:val="16"/>
          <w:color w:val="auto"/>
        </w:rPr>
        <w:t>stage of our ongoing Phase 1 clinical trial for BLU-285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advanced SM; to fund the initiation of additional</w:t>
      </w:r>
    </w:p>
    <w:p>
      <w:pPr>
        <w:spacing w:after="0" w:line="234" w:lineRule="auto"/>
        <w:rPr>
          <w:sz w:val="20"/>
          <w:szCs w:val="20"/>
          <w:color w:val="auto"/>
        </w:rPr>
      </w:pPr>
      <w:r>
        <w:rPr>
          <w:rFonts w:ascii="Arial" w:cs="Arial" w:eastAsia="Arial" w:hAnsi="Arial"/>
          <w:sz w:val="18"/>
          <w:szCs w:val="18"/>
          <w:color w:val="auto"/>
        </w:rPr>
        <w:t>clinical trials of BLU-554 in advanced HCC; to</w:t>
      </w:r>
    </w:p>
    <w:p>
      <w:pPr>
        <w:spacing w:after="0" w:line="235" w:lineRule="auto"/>
        <w:rPr>
          <w:sz w:val="20"/>
          <w:szCs w:val="20"/>
          <w:color w:val="auto"/>
        </w:rPr>
      </w:pPr>
      <w:r>
        <w:rPr>
          <w:rFonts w:ascii="Arial" w:cs="Arial" w:eastAsia="Arial" w:hAnsi="Arial"/>
          <w:sz w:val="18"/>
          <w:szCs w:val="18"/>
          <w:color w:val="auto"/>
        </w:rPr>
        <w:t>partially fund the clinical development of BLU-667 in</w:t>
      </w:r>
    </w:p>
    <w:p>
      <w:pPr>
        <w:spacing w:after="0" w:line="235" w:lineRule="auto"/>
        <w:rPr>
          <w:sz w:val="20"/>
          <w:szCs w:val="20"/>
          <w:color w:val="auto"/>
        </w:rPr>
      </w:pPr>
      <w:r>
        <w:rPr>
          <w:rFonts w:ascii="Arial" w:cs="Arial" w:eastAsia="Arial" w:hAnsi="Arial"/>
          <w:sz w:val="18"/>
          <w:szCs w:val="18"/>
          <w:color w:val="auto"/>
        </w:rPr>
        <w:t>RET-driven cancers; to fund new and ongoing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activities; and the balance,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if any, to fund working capital, capital expenditures</w:t>
      </w:r>
    </w:p>
    <w:p>
      <w:pPr>
        <w:spacing w:after="0" w:line="234" w:lineRule="auto"/>
        <w:rPr>
          <w:sz w:val="20"/>
          <w:szCs w:val="20"/>
          <w:color w:val="auto"/>
        </w:rPr>
      </w:pPr>
      <w:r>
        <w:rPr>
          <w:rFonts w:ascii="Arial" w:cs="Arial" w:eastAsia="Arial" w:hAnsi="Arial"/>
          <w:sz w:val="18"/>
          <w:szCs w:val="18"/>
          <w:color w:val="auto"/>
        </w:rPr>
        <w:t>and other general corporate purposes. See "Use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for additional information.</w:t>
      </w:r>
    </w:p>
    <w:p>
      <w:pPr>
        <w:spacing w:after="0" w:line="200" w:lineRule="exact"/>
        <w:rPr>
          <w:sz w:val="20"/>
          <w:szCs w:val="20"/>
          <w:color w:val="auto"/>
        </w:rPr>
      </w:pPr>
    </w:p>
    <w:p>
      <w:pPr>
        <w:sectPr>
          <w:pgSz w:w="11900" w:h="16838" w:orient="portrait"/>
          <w:cols w:equalWidth="0" w:num="2">
            <w:col w:w="5160" w:space="720"/>
            <w:col w:w="5180"/>
          </w:cols>
          <w:pgMar w:left="240" w:top="143" w:right="599" w:bottom="1440" w:gutter="0" w:footer="0" w:header="0"/>
          <w:type w:val="continuous"/>
        </w:sectPr>
      </w:pPr>
    </w:p>
    <w:p>
      <w:pPr>
        <w:spacing w:after="0" w:line="1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Investing in our common stock involves risks. See</w:t>
      </w:r>
    </w:p>
    <w:p>
      <w:pPr>
        <w:spacing w:after="0" w:line="234" w:lineRule="auto"/>
        <w:rPr>
          <w:sz w:val="20"/>
          <w:szCs w:val="20"/>
          <w:color w:val="auto"/>
        </w:rPr>
      </w:pPr>
      <w:r>
        <w:rPr>
          <w:rFonts w:ascii="Arial" w:cs="Arial" w:eastAsia="Arial" w:hAnsi="Arial"/>
          <w:sz w:val="18"/>
          <w:szCs w:val="18"/>
          <w:color w:val="auto"/>
        </w:rPr>
        <w:t>"Risk Factors" beginning on page S-15 of this</w:t>
      </w:r>
    </w:p>
    <w:p>
      <w:pPr>
        <w:spacing w:after="0" w:line="235" w:lineRule="auto"/>
        <w:rPr>
          <w:sz w:val="20"/>
          <w:szCs w:val="20"/>
          <w:color w:val="auto"/>
        </w:rPr>
      </w:pPr>
      <w:r>
        <w:rPr>
          <w:rFonts w:ascii="Arial" w:cs="Arial" w:eastAsia="Arial" w:hAnsi="Arial"/>
          <w:sz w:val="18"/>
          <w:szCs w:val="18"/>
          <w:color w:val="auto"/>
        </w:rPr>
        <w:t>prospectus supplement and other information</w:t>
      </w:r>
    </w:p>
    <w:p>
      <w:pPr>
        <w:spacing w:after="0" w:line="235" w:lineRule="auto"/>
        <w:rPr>
          <w:sz w:val="20"/>
          <w:szCs w:val="20"/>
          <w:color w:val="auto"/>
        </w:rPr>
      </w:pPr>
      <w:r>
        <w:rPr>
          <w:rFonts w:ascii="Arial" w:cs="Arial" w:eastAsia="Arial" w:hAnsi="Arial"/>
          <w:sz w:val="18"/>
          <w:szCs w:val="18"/>
          <w:color w:val="auto"/>
        </w:rPr>
        <w:t>included or incorporated by reference into this</w:t>
      </w:r>
    </w:p>
    <w:p>
      <w:pPr>
        <w:spacing w:after="0" w:line="235" w:lineRule="auto"/>
        <w:rPr>
          <w:sz w:val="20"/>
          <w:szCs w:val="20"/>
          <w:color w:val="auto"/>
        </w:rPr>
      </w:pPr>
      <w:r>
        <w:rPr>
          <w:rFonts w:ascii="Arial" w:cs="Arial" w:eastAsia="Arial" w:hAnsi="Arial"/>
          <w:sz w:val="18"/>
          <w:szCs w:val="18"/>
          <w:color w:val="auto"/>
        </w:rPr>
        <w:t>prospectus supplement and the accompanying</w:t>
      </w:r>
    </w:p>
    <w:p>
      <w:pPr>
        <w:spacing w:after="0"/>
        <w:rPr>
          <w:sz w:val="20"/>
          <w:szCs w:val="20"/>
          <w:color w:val="auto"/>
        </w:rPr>
      </w:pPr>
      <w:r>
        <w:rPr>
          <w:rFonts w:ascii="Arial" w:cs="Arial" w:eastAsia="Arial" w:hAnsi="Arial"/>
          <w:sz w:val="16"/>
          <w:szCs w:val="16"/>
          <w:color w:val="auto"/>
        </w:rPr>
        <w:t>prospectus for a discussion of the factors you should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carefully consider before deciding to invest in our</w:t>
      </w:r>
    </w:p>
    <w:p>
      <w:pPr>
        <w:spacing w:after="0"/>
        <w:rPr>
          <w:sz w:val="20"/>
          <w:szCs w:val="20"/>
          <w:color w:val="auto"/>
        </w:rPr>
      </w:pPr>
      <w:r>
        <w:rPr>
          <w:rFonts w:ascii="Arial" w:cs="Arial" w:eastAsia="Arial" w:hAnsi="Arial"/>
          <w:sz w:val="18"/>
          <w:szCs w:val="18"/>
          <w:color w:val="auto"/>
        </w:rPr>
        <w:t>securities.</w:t>
      </w:r>
    </w:p>
    <w:p>
      <w:pPr>
        <w:spacing w:after="0" w:line="200" w:lineRule="exact"/>
        <w:rPr>
          <w:sz w:val="20"/>
          <w:szCs w:val="20"/>
          <w:color w:val="auto"/>
        </w:rPr>
      </w:pPr>
    </w:p>
    <w:p>
      <w:pPr>
        <w:sectPr>
          <w:pgSz w:w="11900" w:h="16838" w:orient="portrait"/>
          <w:cols w:equalWidth="0" w:num="2">
            <w:col w:w="5160" w:space="720"/>
            <w:col w:w="5180"/>
          </w:cols>
          <w:pgMar w:left="240" w:top="143" w:right="599" w:bottom="1440" w:gutter="0" w:footer="0" w:header="0"/>
          <w:type w:val="continuous"/>
        </w:sectPr>
      </w:pPr>
    </w:p>
    <w:p>
      <w:pPr>
        <w:spacing w:after="0" w:line="1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5160" w:space="720"/>
            <w:col w:w="5180"/>
          </w:cols>
          <w:pgMar w:left="240" w:top="143" w:right="599" w:bottom="1440" w:gutter="0" w:footer="0" w:header="0"/>
          <w:type w:val="continuous"/>
        </w:sectPr>
      </w:pPr>
    </w:p>
    <w:p>
      <w:pPr>
        <w:spacing w:after="0" w:line="35" w:lineRule="exact"/>
        <w:rPr>
          <w:sz w:val="20"/>
          <w:szCs w:val="20"/>
          <w:color w:val="auto"/>
        </w:rPr>
      </w:pPr>
    </w:p>
    <w:p>
      <w:pPr>
        <w:ind w:left="240" w:firstLine="485"/>
        <w:spacing w:after="0" w:line="238" w:lineRule="auto"/>
        <w:rPr>
          <w:sz w:val="20"/>
          <w:szCs w:val="20"/>
          <w:color w:val="auto"/>
        </w:rPr>
      </w:pPr>
      <w:r>
        <w:rPr>
          <w:rFonts w:ascii="Arial" w:cs="Arial" w:eastAsia="Arial" w:hAnsi="Arial"/>
          <w:sz w:val="18"/>
          <w:szCs w:val="18"/>
          <w:color w:val="auto"/>
        </w:rPr>
        <w:t>The number of shares of our common stock to be outstanding after the offering is based on 27,307,556 shares of common stock outstanding as of September 30, 2016, including 13,633 shares that are subject to repurchase by us and are not considered outstanding for accounting purposes until vested, and excludes:</w:t>
      </w:r>
    </w:p>
    <w:p>
      <w:pPr>
        <w:spacing w:after="0" w:line="222" w:lineRule="exact"/>
        <w:rPr>
          <w:sz w:val="20"/>
          <w:szCs w:val="20"/>
          <w:color w:val="auto"/>
        </w:rPr>
      </w:pPr>
    </w:p>
    <w:p>
      <w:pPr>
        <w:ind w:left="1320" w:right="20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2,457,260 shares of common stock issuable upon the exercise of stock options outstanding as of September 30, 2016, at a weighted average exercise price of $9.52 per share;</w:t>
      </w:r>
    </w:p>
    <w:p>
      <w:pPr>
        <w:spacing w:after="0" w:line="195" w:lineRule="exact"/>
        <w:rPr>
          <w:rFonts w:ascii="Arial" w:cs="Arial" w:eastAsia="Arial" w:hAnsi="Arial"/>
          <w:sz w:val="18"/>
          <w:szCs w:val="18"/>
          <w:color w:val="auto"/>
        </w:rPr>
      </w:pPr>
    </w:p>
    <w:p>
      <w:pPr>
        <w:ind w:left="1320" w:hanging="538"/>
        <w:spacing w:after="0" w:line="23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1,773,024 shares of common stock reserved for future issuance under our 2015 Stock Option and Incentive Plan, or the 2015 Plan, as of September 30, 2016, plus any future increases in the number of shares of common stock reserved for issuance under the 2015 Plan pursuant to the evergreen provision of the 2015 Plan;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3" w:right="5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762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82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503,881 shares of common stock reserved for future issuance under our 2015 Employee Stock Purchase Plan as of September 30, 2016.</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750,000 shares of common stock in this offering; and</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0" w:firstLine="488"/>
        <w:spacing w:after="0" w:line="272"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2015, filed with the SEC on March 11, 2016, and in our Quarterly Report on Form 10-Q for the quarter ended September 30, 2016, filed with the SEC on November 10, 2016,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$38.33 and a low price of $13.04 per share for the period beginning on April 30, 2015, our first day of trading on The NASDAQ Global Select Market, through December 7, 2016.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50% of our common stock, based on the number of shares of our common stock outstanding as September 30, 2016.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44% of our common stock (approximately 43% if the underwriters exercise in full their option to purchase additional shares), based on the number of shares of our common stock outstanding as September 30,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1960" w:hanging="4972"/>
        <w:spacing w:after="0" w:line="48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September 30, 2016 after subtracting our liabilities. As a result, investors purchasing shares of common stock in this offering will incur immediate dilution of $18.36 per share, based on the difference between the public offering price of $25.00 per share and the as adjusted net tangible book value per share of our outstanding common stock as of September 30, 2016.</w:t>
      </w:r>
    </w:p>
    <w:p>
      <w:pPr>
        <w:spacing w:after="0" w:line="209"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2016, options to purchase 2,457,260 shares of our common stock at a weighted average exercise price of $9.52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2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2016, 29,764,816 shares of our common stock were outstanding, including 13,633 shares that are subject to repurchase by us and are not considered outstanding for accounting purposes until vested and options to purchase 2,457,260 shares of our common stock, of which 779,807 were exercisable as of that date. The sale or the availability for sale of a large number of shares of our common stock in the public market could cause the price of our common stock to decline.</w:t>
      </w:r>
    </w:p>
    <w:p>
      <w:pPr>
        <w:spacing w:after="0" w:line="211" w:lineRule="exact"/>
        <w:rPr>
          <w:sz w:val="20"/>
          <w:szCs w:val="20"/>
          <w:color w:val="auto"/>
        </w:rPr>
      </w:pPr>
    </w:p>
    <w:p>
      <w:pPr>
        <w:ind w:right="120" w:firstLine="488"/>
        <w:spacing w:after="0" w:line="271" w:lineRule="auto"/>
        <w:rPr>
          <w:sz w:val="20"/>
          <w:szCs w:val="20"/>
          <w:color w:val="auto"/>
        </w:rPr>
      </w:pPr>
      <w:r>
        <w:rPr>
          <w:rFonts w:ascii="Arial" w:cs="Arial" w:eastAsia="Arial" w:hAnsi="Arial"/>
          <w:sz w:val="16"/>
          <w:szCs w:val="16"/>
          <w:color w:val="auto"/>
        </w:rPr>
        <w:t>We, along with our directors and executive officers, have agreed that for a period of 90 days after the date of this prospectus supplement,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Holders of 5,453,753 shares of our common stock have agreed to such restrictions for a period of 60 days after the date of this prospectus supplement. These lock-up periods affect approximately 6,140,383 shares of our common stock as of September 30, 2016. Sales of stock by any of our directors, executive officers or principal stockholders could have a material adverse effect on the trading price of our common stock.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The overall weakness in the economy has recently contributed to the extreme volatility of the markets which may have an effect on the market price of our common stock.</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We expect to receive net proceeds of approximately $116.9 million from this offering, after deducting underwriting discounts and commissions and estimated offering expenses payable by us, or approximately $134.5 million if the underwriters exercise in full their option to purchase up to an additional 750,000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2016, we had cash, cash equivalents and investments of $152.5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62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$30.0 million to $35.0 million to fund the initiation of additional clinical trials of BLU-285 in advanced GIST and complete the expansion stage of our ongoing Phase 1 clinical trial for BLU-285 in advanced SM, including clinical research outsourcing, drug manufacturing, companion diagnostic development and internal personnel costs;</w:t>
      </w:r>
    </w:p>
    <w:p>
      <w:pPr>
        <w:spacing w:after="0" w:line="208"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$15.0 million to $20.0 million to fund the initiation of additional clinical trials of BLU-554 in advanced HCC, including clinical research outsourcing, drug manufacturing, companion diagnostic development and internal personnel costs;</w:t>
      </w:r>
    </w:p>
    <w:p>
      <w:pPr>
        <w:spacing w:after="0" w:line="195"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$15.0 million to $20.0 million to partially fund the clinical development of BLU-667 in RET-driven cancers, including clinical research outsourcing, drug manufacturing, companion diagnostic development and internal personnel costs;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$25.0 million to $30.0 million to fund new and ongoing research and development activities;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balance, if any, to fund working capital, capital expenditures and other general corporate purposes.</w:t>
      </w:r>
    </w:p>
    <w:p>
      <w:pPr>
        <w:spacing w:after="0" w:line="21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will be sufficient to enable us to fund our operating expenses and capital expenditure requirements into the fourth quarter of 2018.</w:t>
      </w:r>
    </w:p>
    <w:p>
      <w:pPr>
        <w:spacing w:after="0" w:line="20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As of September 30, 2016, we had net tangible book value of approximately $97.7 million, or $3.58 per share of our common stock, based upon 27,307,556 shares of our common stock outstanding as of that date (which includes 13,633 shares of unvested restricted stock subject to repurchase by us and are not considered outstanding for accounting purposes until vested).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0" w:lineRule="exact"/>
        <w:rPr>
          <w:sz w:val="20"/>
          <w:szCs w:val="20"/>
          <w:color w:val="auto"/>
        </w:rPr>
      </w:pPr>
    </w:p>
    <w:p>
      <w:pPr>
        <w:ind w:right="100" w:firstLine="478"/>
        <w:spacing w:after="0" w:line="236" w:lineRule="auto"/>
        <w:rPr>
          <w:sz w:val="20"/>
          <w:szCs w:val="20"/>
          <w:color w:val="auto"/>
        </w:rPr>
      </w:pPr>
      <w:r>
        <w:rPr>
          <w:rFonts w:ascii="Arial" w:cs="Arial" w:eastAsia="Arial" w:hAnsi="Arial"/>
          <w:sz w:val="18"/>
          <w:szCs w:val="18"/>
          <w:color w:val="auto"/>
        </w:rPr>
        <w:t>After giving effect to the sale of 5,000,000 shares of common stock in this offering at the public offering price of $25.00 per share, and after deducting underwriting discounts and commissions and estimated offering expenses payable by us, our as adjusted net tangible book value as of September 30, 2016 would have been approximately $214.6 million, or approximately $6.64 per share of common stock. This represents an immediate increase in as adjusted net tangible book value of $3.06 per share to our existing stockholders and an immediate dilution of $18.36 per share to investors participating in this offering at the public offering price of $25.00.</w:t>
      </w:r>
    </w:p>
    <w:p>
      <w:pPr>
        <w:spacing w:after="0" w:line="211"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6.64</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18.36</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foregoing table and discussion is based on 27,307,556 shares of common stock outstanding as of September 30, 2016, including</w:t>
      </w:r>
    </w:p>
    <w:p>
      <w:pPr>
        <w:spacing w:after="0"/>
        <w:rPr>
          <w:sz w:val="20"/>
          <w:szCs w:val="20"/>
          <w:color w:val="auto"/>
        </w:rPr>
      </w:pPr>
      <w:r>
        <w:rPr>
          <w:rFonts w:ascii="Arial" w:cs="Arial" w:eastAsia="Arial" w:hAnsi="Arial"/>
          <w:sz w:val="18"/>
          <w:szCs w:val="18"/>
          <w:color w:val="auto"/>
        </w:rPr>
        <w:t>13,633 shares that are subject to repurchase by us and are not considered outstanding for accounting purposes until vested, and excludes:</w:t>
      </w:r>
    </w:p>
    <w:p>
      <w:pPr>
        <w:spacing w:after="0" w:line="212" w:lineRule="exact"/>
        <w:rPr>
          <w:sz w:val="20"/>
          <w:szCs w:val="20"/>
          <w:color w:val="auto"/>
        </w:rPr>
      </w:pPr>
    </w:p>
    <w:p>
      <w:pPr>
        <w:ind w:left="1080" w:right="2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2,457,260 shares of common stock issuable upon the exercise of stock options outstanding as of September 30, 2016, at a weighted average exercise price of $9.52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1,773,024 shares of common stock reserved for future issuance under the 2015 Plan as of September 30, 2016; and</w:t>
      </w:r>
    </w:p>
    <w:p>
      <w:pPr>
        <w:spacing w:after="0" w:line="198"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503,881 shares of common stock reserved for future issuance under our 2015 Employee Stock Purchase Plan as of September 30, 2016.</w:t>
      </w:r>
    </w:p>
    <w:p>
      <w:pPr>
        <w:spacing w:after="0" w:line="209" w:lineRule="exact"/>
        <w:rPr>
          <w:sz w:val="20"/>
          <w:szCs w:val="20"/>
          <w:color w:val="auto"/>
        </w:rPr>
      </w:pPr>
    </w:p>
    <w:p>
      <w:pPr>
        <w:ind w:right="160" w:firstLine="488"/>
        <w:spacing w:after="0" w:line="237" w:lineRule="auto"/>
        <w:rPr>
          <w:sz w:val="20"/>
          <w:szCs w:val="20"/>
          <w:color w:val="auto"/>
        </w:rPr>
      </w:pPr>
      <w:r>
        <w:rPr>
          <w:rFonts w:ascii="Arial" w:cs="Arial" w:eastAsia="Arial" w:hAnsi="Arial"/>
          <w:sz w:val="18"/>
          <w:szCs w:val="18"/>
          <w:color w:val="auto"/>
        </w:rPr>
        <w:t>If the underwriters exercise in full their option to purchase up to an additional 750,000 shares of our common stock at the public offering price of $25.00 per share, the as adjusted net tangible book value after this offering would be $7.02 per share, representing an increase in net tangible book value of $3.44 per share to existing stockholders and immediate dilution in net tangible book value of $17.98 per share to investors purchasing our common stock in this offering at the public offering price of $25.00.</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40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37.17</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33.10</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27.00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25.99</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22.48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29.90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12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(through December 7, 2016)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38.33</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25.08</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firstLine="478"/>
        <w:spacing w:after="0" w:line="299" w:lineRule="auto"/>
        <w:rPr>
          <w:sz w:val="20"/>
          <w:szCs w:val="20"/>
          <w:color w:val="auto"/>
        </w:rPr>
      </w:pPr>
      <w:r>
        <w:rPr>
          <w:rFonts w:ascii="Arial" w:cs="Arial" w:eastAsia="Arial" w:hAnsi="Arial"/>
          <w:sz w:val="16"/>
          <w:szCs w:val="16"/>
          <w:color w:val="auto"/>
        </w:rPr>
        <w:t>As of December 7, 2016, there were 53 record holders of our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and Morgan Stanley &amp; Co. LLC are acting as representatives of the underwriters.</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Underwriters</w:t>
            </w:r>
          </w:p>
        </w:tc>
        <w:tc>
          <w:tcPr>
            <w:tcW w:w="1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Number of Shares</w:t>
            </w:r>
          </w:p>
        </w:tc>
        <w:tc>
          <w:tcPr>
            <w:tcW w:w="160" w:type="dxa"/>
            <w:vAlign w:val="bottom"/>
          </w:tcPr>
          <w:p>
            <w:pPr>
              <w:spacing w:after="0"/>
              <w:rPr>
                <w:sz w:val="18"/>
                <w:szCs w:val="18"/>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1,875,000</w:t>
            </w:r>
          </w:p>
        </w:tc>
        <w:tc>
          <w:tcPr>
            <w:tcW w:w="1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Morgan Stanley &amp; Co. LLC</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1,625,000</w:t>
            </w:r>
          </w:p>
        </w:tc>
        <w:tc>
          <w:tcPr>
            <w:tcW w:w="16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JMP Securities LLC</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Wedbush Securities Inc.</w:t>
            </w:r>
          </w:p>
        </w:tc>
        <w:tc>
          <w:tcPr>
            <w:tcW w:w="16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7"/>
                <w:szCs w:val="17"/>
                <w:color w:val="auto"/>
              </w:rPr>
            </w:pPr>
          </w:p>
        </w:tc>
      </w:tr>
      <w:tr>
        <w:trPr>
          <w:trHeight w:val="196"/>
        </w:trPr>
        <w:tc>
          <w:tcPr>
            <w:tcW w:w="610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1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4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jc w:val="both"/>
        <w:ind w:firstLine="485"/>
        <w:spacing w:after="0" w:line="281" w:lineRule="auto"/>
        <w:rPr>
          <w:sz w:val="20"/>
          <w:szCs w:val="20"/>
          <w:color w:val="auto"/>
        </w:rPr>
      </w:pPr>
      <w:r>
        <w:rPr>
          <w:rFonts w:ascii="Arial" w:cs="Arial" w:eastAsia="Arial" w:hAnsi="Arial"/>
          <w:sz w:val="16"/>
          <w:szCs w:val="16"/>
          <w:color w:val="auto"/>
        </w:rPr>
        <w:t>The underwriters have an option to buy up to 750,000 additional shares of our common stock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w:t>
      </w:r>
    </w:p>
    <w:p>
      <w:pPr>
        <w:spacing w:after="0" w:line="178" w:lineRule="exact"/>
        <w:rPr>
          <w:sz w:val="20"/>
          <w:szCs w:val="20"/>
          <w:color w:val="auto"/>
        </w:rPr>
      </w:pPr>
    </w:p>
    <w:p>
      <w:pPr>
        <w:ind w:right="40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750,000 additional shares of our common stock.</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233"/>
        </w:trPr>
        <w:tc>
          <w:tcPr>
            <w:tcW w:w="1940" w:type="dxa"/>
            <w:vAlign w:val="bottom"/>
          </w:tcPr>
          <w:p>
            <w:pPr>
              <w:spacing w:after="0"/>
              <w:rPr>
                <w:sz w:val="20"/>
                <w:szCs w:val="20"/>
                <w:color w:val="auto"/>
              </w:rPr>
            </w:pPr>
          </w:p>
        </w:tc>
        <w:tc>
          <w:tcPr>
            <w:tcW w:w="3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Paid by the Company</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w:t>
            </w:r>
          </w:p>
        </w:tc>
      </w:t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7,500,000</w:t>
            </w:r>
          </w:p>
        </w:tc>
        <w:tc>
          <w:tcPr>
            <w:tcW w:w="16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8,625,000</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80" w:firstLine="488"/>
        <w:spacing w:after="0" w:line="275" w:lineRule="auto"/>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supplement. Any shares sold by the underwriters to securities dealers may be sold at a discount of up to $0.90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right="160" w:firstLine="488"/>
        <w:spacing w:after="0" w:line="271" w:lineRule="auto"/>
        <w:rPr>
          <w:sz w:val="20"/>
          <w:szCs w:val="20"/>
          <w:color w:val="auto"/>
        </w:rPr>
      </w:pPr>
      <w:r>
        <w:rPr>
          <w:rFonts w:ascii="Arial" w:cs="Arial" w:eastAsia="Arial" w:hAnsi="Arial"/>
          <w:sz w:val="16"/>
          <w:szCs w:val="16"/>
          <w:color w:val="auto"/>
        </w:rPr>
        <w:t>We and our officers and directors have agreed with the underwriters, subject to certain exceptions, not to dispose of or hedge any common stock or securities convertible into or exchangeable for shares of common stock during the period from the date of this prospectus supplement continuing through the date 90 days after the date of this prospectus supplement, except with the prior written consent of the representatives. Holders of 5,453,753 shares of our common stock have agreed to such restrictions for a period of 60 days. The lock-up restrictions are subject to certain exceptions, including transfers of shares of our common stock (i) acquired in this offering, except for shares acquired by our directors or officers; (ii) acquired in the open market following the completion of this offering; (iii) as a bona fide gift, to a trust for the benefit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holder or his or her immediate family, by will or intestate succession, or by operation of law; (iv) to an affiliate of the holder or as part of a distribution without consideration to a holder's stockholders, partners, members or other equity holders; (v) in connection with an exercise for cash of options to purchase our common stock, the "net exercise" or "cashless" exercise of such options within 90 days of the expiration of such options, and any transfer for the payment of taxes due as result of such exercise; and (vi) in connection with establishing a trading plan pursuant to</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Rule 10b5-1 under the Securities Exchange Act of 1934, as amended. The representatives, in their sole discretion, may release the common stock and other securities subject to the lock-up agreements described above in whole or in part at any time.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60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2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$650,000. We have agreed to reimburse the underwriters for certain of their expenses in an amount up to $50,000.</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jc w:val="both"/>
        <w:ind w:right="200" w:firstLine="488"/>
        <w:spacing w:after="0" w:line="23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00" w:hanging="532"/>
        <w:spacing w:after="0" w:line="28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4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14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4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18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68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4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jc w:val="both"/>
        <w:ind w:right="180" w:firstLine="488"/>
        <w:spacing w:after="0" w:line="281"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 partnership. Accordingly, partnerships that hold our common stock, and partners in such partnerships, should consult their tax advisors.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420" w:firstLine="488"/>
        <w:spacing w:after="0" w:line="244"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$250,000,000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21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of up to $250,000,000 in aggregate dollar amount.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30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date of this prospectus is 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8"/>
        </w:trPr>
        <w:tc>
          <w:tcPr>
            <w:tcW w:w="82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140" w:type="dxa"/>
            <w:vAlign w:val="bottom"/>
          </w:tcPr>
          <w:p>
            <w:pPr>
              <w:spacing w:after="0"/>
              <w:rPr>
                <w:sz w:val="19"/>
                <w:szCs w:val="19"/>
                <w:color w:val="auto"/>
              </w:rPr>
            </w:pP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2</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5</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6</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7</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8</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9</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17</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34</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35</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36</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38</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41</w:t>
            </w:r>
          </w:p>
        </w:tc>
      </w:tr>
      <w:tr>
        <w:trPr>
          <w:trHeight w:val="432"/>
        </w:trPr>
        <w:tc>
          <w:tcPr>
            <w:tcW w:w="828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140" w:type="dxa"/>
            <w:vAlign w:val="bottom"/>
          </w:tcPr>
          <w:p>
            <w:pPr>
              <w:jc w:val="right"/>
              <w:ind w:right="1212"/>
              <w:spacing w:after="0"/>
              <w:rPr>
                <w:sz w:val="20"/>
                <w:szCs w:val="20"/>
                <w:color w:val="auto"/>
              </w:rPr>
            </w:pPr>
            <w:r>
              <w:rPr>
                <w:rFonts w:ascii="Arial" w:cs="Arial" w:eastAsia="Arial" w:hAnsi="Arial"/>
                <w:sz w:val="18"/>
                <w:szCs w:val="18"/>
                <w:color w:val="auto"/>
              </w:rPr>
              <w:t>41</w:t>
            </w:r>
          </w:p>
        </w:tc>
      </w:tr>
      <w:tr>
        <w:trPr>
          <w:trHeight w:val="120"/>
        </w:trPr>
        <w:tc>
          <w:tcPr>
            <w:tcW w:w="828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2015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87" w:lineRule="exact"/>
        <w:rPr>
          <w:sz w:val="20"/>
          <w:szCs w:val="20"/>
          <w:color w:val="auto"/>
        </w:rPr>
      </w:pPr>
    </w:p>
    <w:p>
      <w:pPr>
        <w:ind w:left="1080" w:right="10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2015, including the information specifically incorporated by reference into the Annual Report on Form 10-K from our definitive proxy statement (other than information furnished rather than filed) for the 2016 Annual Meeting of Stockholders, which was filed with the SEC on April 28, 2016;</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2016;</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Reports on Form 8-K filed on January 6, 2016, February 8, 2016, March 7, 2016, March 18, 2016 (solely with respect to Items 1.01 and 8.01) and April 15, 2016;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and BLU-554, and our research and development programs; our ability to advance drug candidates into, and successfully complete, clinical trials; the accuracy of our estimates regarding expenses, future revenues and capital requirements;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our ability to maintain and establish collaborations or obtain additional grant funding;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3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Year Ended</w:t>
            </w:r>
          </w:p>
        </w:tc>
        <w:tc>
          <w:tcPr>
            <w:tcW w:w="3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center"/>
              <w:ind w:right="242"/>
              <w:spacing w:after="0" w:line="129" w:lineRule="exact"/>
              <w:rPr>
                <w:sz w:val="20"/>
                <w:szCs w:val="20"/>
                <w:color w:val="auto"/>
              </w:rPr>
            </w:pPr>
            <w:r>
              <w:rPr>
                <w:rFonts w:ascii="Arial" w:cs="Arial" w:eastAsia="Arial" w:hAnsi="Arial"/>
                <w:sz w:val="14"/>
                <w:szCs w:val="14"/>
                <w:b w:val="1"/>
                <w:bCs w:val="1"/>
                <w:color w:val="auto"/>
                <w:w w:val="85"/>
              </w:rPr>
              <w:t>December 31,</w:t>
            </w:r>
          </w:p>
        </w:tc>
      </w:tr>
      <w:tr>
        <w:trPr>
          <w:trHeight w:val="143"/>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Consolidated ratios of earnings to fixed charges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N/A</w:t>
            </w:r>
          </w:p>
        </w:tc>
      </w:tr>
    </w:tbl>
    <w:p>
      <w:pPr>
        <w:spacing w:after="0" w:line="208" w:lineRule="exact"/>
        <w:rPr>
          <w:sz w:val="20"/>
          <w:szCs w:val="20"/>
          <w:color w:val="auto"/>
        </w:rPr>
      </w:pPr>
    </w:p>
    <w:p>
      <w:pPr>
        <w:ind w:right="46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Our earnings were insufficient to cover fixed charges by $15.5 million for the three months ended March 31, 2016, $52.8 million for the year ended December 31, 2015, $40.3 million for the year ended December 31, 2014 and $20.9 million for the year ended December 31, 2013.</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May 6, 2016, 27,238,661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2" w:name="page53"/>
    <w:bookmarkEnd w:id="52"/>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1933, as amended, or the Securities 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left="540" w:right="28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8" w:name="page59"/>
    <w:bookmarkEnd w:id="58"/>
    <w:p>
      <w:pPr>
        <w:ind w:left="1080" w:right="6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2" w:name="page63"/>
    <w:bookmarkEnd w:id="62"/>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5" w:name="page66"/>
    <w:bookmarkEnd w:id="65"/>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7" w:name="page68"/>
    <w:bookmarkEnd w:id="67"/>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or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9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77" w:name="page78"/>
    <w:bookmarkEnd w:id="77"/>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jc w:val="both"/>
        <w:spacing w:after="0" w:line="306" w:lineRule="auto"/>
        <w:rPr>
          <w:sz w:val="20"/>
          <w:szCs w:val="20"/>
          <w:color w:val="auto"/>
        </w:rPr>
      </w:pPr>
      <w:r>
        <w:rPr>
          <w:rFonts w:ascii="Arial" w:cs="Arial" w:eastAsia="Arial" w:hAnsi="Arial"/>
          <w:sz w:val="16"/>
          <w:szCs w:val="16"/>
          <w:color w:val="auto"/>
        </w:rPr>
        <w:t>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5,000,000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33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24"/>
                <w:szCs w:val="24"/>
                <w:b w:val="1"/>
                <w:bCs w:val="1"/>
                <w:color w:val="auto"/>
              </w:rPr>
              <w:t>PROSPECTUS SUPPLEMENT</w:t>
            </w:r>
          </w:p>
        </w:tc>
        <w:tc>
          <w:tcPr>
            <w:tcW w:w="3240" w:type="dxa"/>
            <w:vAlign w:val="bottom"/>
          </w:tcPr>
          <w:p>
            <w:pPr>
              <w:spacing w:after="0"/>
              <w:rPr>
                <w:sz w:val="24"/>
                <w:szCs w:val="24"/>
                <w:color w:val="auto"/>
              </w:rPr>
            </w:pPr>
          </w:p>
        </w:tc>
      </w:tr>
      <w:tr>
        <w:trPr>
          <w:trHeight w:val="461"/>
        </w:trPr>
        <w:tc>
          <w:tcPr>
            <w:tcW w:w="3320" w:type="dxa"/>
            <w:vAlign w:val="bottom"/>
          </w:tcPr>
          <w:p>
            <w:pPr>
              <w:spacing w:after="0"/>
              <w:rPr>
                <w:sz w:val="20"/>
                <w:szCs w:val="20"/>
                <w:color w:val="auto"/>
              </w:rPr>
            </w:pPr>
            <w:r>
              <w:rPr>
                <w:rFonts w:ascii="Arial" w:cs="Arial" w:eastAsia="Arial" w:hAnsi="Arial"/>
                <w:sz w:val="24"/>
                <w:szCs w:val="24"/>
                <w:b w:val="1"/>
                <w:bCs w:val="1"/>
                <w:color w:val="auto"/>
              </w:rPr>
              <w:t>Goldman, Sachs &amp; Co.</w:t>
            </w:r>
          </w:p>
        </w:tc>
        <w:tc>
          <w:tcPr>
            <w:tcW w:w="4860" w:type="dxa"/>
            <w:vAlign w:val="bottom"/>
          </w:tcPr>
          <w:p>
            <w:pPr>
              <w:ind w:left="1560"/>
              <w:spacing w:after="0"/>
              <w:rPr>
                <w:sz w:val="20"/>
                <w:szCs w:val="20"/>
                <w:color w:val="auto"/>
              </w:rPr>
            </w:pPr>
            <w:r>
              <w:rPr>
                <w:rFonts w:ascii="Arial" w:cs="Arial" w:eastAsia="Arial" w:hAnsi="Arial"/>
                <w:sz w:val="24"/>
                <w:szCs w:val="24"/>
                <w:b w:val="1"/>
                <w:bCs w:val="1"/>
                <w:color w:val="auto"/>
              </w:rPr>
              <w:t>Morgan Stanley</w:t>
            </w: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Cowen and Company</w:t>
            </w:r>
          </w:p>
        </w:tc>
      </w:tr>
      <w:tr>
        <w:trPr>
          <w:trHeight w:val="322"/>
        </w:trPr>
        <w:tc>
          <w:tcPr>
            <w:tcW w:w="3320" w:type="dxa"/>
            <w:vAlign w:val="bottom"/>
          </w:tcPr>
          <w:p>
            <w:pPr>
              <w:spacing w:after="0"/>
              <w:rPr>
                <w:sz w:val="20"/>
                <w:szCs w:val="20"/>
                <w:color w:val="auto"/>
              </w:rPr>
            </w:pPr>
            <w:r>
              <w:rPr>
                <w:rFonts w:ascii="Arial" w:cs="Arial" w:eastAsia="Arial" w:hAnsi="Arial"/>
                <w:sz w:val="24"/>
                <w:szCs w:val="24"/>
                <w:b w:val="1"/>
                <w:bCs w:val="1"/>
                <w:color w:val="auto"/>
              </w:rPr>
              <w:t>JMP Securities</w:t>
            </w:r>
          </w:p>
        </w:tc>
        <w:tc>
          <w:tcPr>
            <w:tcW w:w="486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24"/>
                <w:szCs w:val="24"/>
                <w:b w:val="1"/>
                <w:bCs w:val="1"/>
                <w:color w:val="auto"/>
              </w:rPr>
              <w:t>Wedbush PacGrow</w:t>
            </w:r>
          </w:p>
        </w:tc>
      </w:tr>
      <w:tr>
        <w:trPr>
          <w:trHeight w:val="426"/>
        </w:trPr>
        <w:tc>
          <w:tcPr>
            <w:tcW w:w="33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December 7, 2016</w:t>
            </w:r>
          </w:p>
        </w:tc>
        <w:tc>
          <w:tcPr>
            <w:tcW w:w="3240" w:type="dxa"/>
            <w:vAlign w:val="bottom"/>
          </w:tcPr>
          <w:p>
            <w:pPr>
              <w:spacing w:after="0"/>
              <w:rPr>
                <w:sz w:val="24"/>
                <w:szCs w:val="24"/>
                <w:color w:val="auto"/>
              </w:rPr>
            </w:pPr>
          </w:p>
        </w:tc>
      </w:tr>
      <w:tr>
        <w:trPr>
          <w:trHeight w:val="488"/>
        </w:trPr>
        <w:tc>
          <w:tcPr>
            <w:tcW w:w="33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41"/>
        </w:trPr>
        <w:tc>
          <w:tcPr>
            <w:tcW w:w="33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lvl w:ilvl="1">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lvl w:ilvl="1">
      <w:lvlJc w:val="left"/>
      <w:lvlText w:val="(%2)"/>
      <w:numFmt w:val="lowerRoman"/>
      <w:start w:val="2"/>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2019-12-08T23:57:54Z</dcterms:created>
  <dcterms:modified xsi:type="dcterms:W3CDTF">2019-12-08T23:57:54Z</dcterms:modified>
</cp:coreProperties>
</file>