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10</w:t>
      </w:r>
    </w:p>
    <w:p>
      <w:pPr>
        <w:spacing w:after="0" w:line="238" w:lineRule="auto"/>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#09627Y109</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629,489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2,348,452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2,348,452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3.991%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2,348,452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2,348,452</w:t>
      </w:r>
    </w:p>
    <w:p>
      <w:pPr>
        <w:spacing w:after="0" w:line="237" w:lineRule="auto"/>
        <w:rPr>
          <w:sz w:val="20"/>
          <w:szCs w:val="20"/>
          <w:color w:val="auto"/>
        </w:rPr>
      </w:pPr>
      <w:r>
        <w:rPr>
          <w:rFonts w:ascii="Courier New" w:cs="Courier New" w:eastAsia="Courier New" w:hAnsi="Courier New"/>
          <w:sz w:val="18"/>
          <w:szCs w:val="18"/>
          <w:color w:val="auto"/>
        </w:rPr>
        <w:t>Item 11: 3.991%</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 SIDNEY STREET</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2,348,452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3.991%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629,489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2,348,452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33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BLUEPRINT MEDICINES CORP. No one other person's interest in the COMMON STOCK of BLUEPRINT MEDICINES CORP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39" w:right="1440" w:bottom="0" w:gutter="0" w:footer="0" w:header="0"/>
          <w:type w:val="continuous"/>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9"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COMMON STOCK of BLUEPRINT MEDICINES CORP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2022-02-09T08:16:36Z</dcterms:created>
  <dcterms:modified xsi:type="dcterms:W3CDTF">2022-02-09T08:16:36Z</dcterms:modified>
</cp:coreProperties>
</file>