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3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UNITED STATES</w:t>
      </w:r>
    </w:p>
    <w:p>
      <w:pPr>
        <w:jc w:val="center"/>
        <w:ind w:right="-219"/>
        <w:spacing w:after="0" w:line="215" w:lineRule="auto"/>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26"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3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27" w:lineRule="exact"/>
        <w:rPr>
          <w:sz w:val="24"/>
          <w:szCs w:val="24"/>
          <w:color w:val="auto"/>
        </w:rPr>
      </w:pPr>
    </w:p>
    <w:p>
      <w:pPr>
        <w:ind w:left="260"/>
        <w:spacing w:after="0" w:line="242" w:lineRule="exact"/>
        <w:rPr>
          <w:sz w:val="24"/>
          <w:szCs w:val="24"/>
          <w:color w:val="auto"/>
        </w:rPr>
      </w:pPr>
      <w:r>
        <w:rPr>
          <w:rFonts w:ascii="Arial Unicode MS" w:cs="Arial Unicode MS" w:eastAsia="Arial Unicode MS" w:hAnsi="Arial Unicode MS"/>
          <w:sz w:val="18"/>
          <w:szCs w:val="18"/>
          <w:color w:val="auto"/>
        </w:rPr>
        <w:t>☒</w:t>
      </w:r>
      <w:r>
        <w:rPr>
          <w:rFonts w:ascii="Times New Roman" w:cs="Times New Roman" w:eastAsia="Times New Roman" w:hAnsi="Times New Roman"/>
          <w:sz w:val="18"/>
          <w:szCs w:val="18"/>
          <w:b w:val="1"/>
          <w:bCs w:val="1"/>
          <w:color w:val="auto"/>
        </w:rPr>
        <w:t xml:space="preserve">  QUARTERLY REPORT PURSUANT TO SECTION 13 OR 15(d) OF THE SECURITIES EXCHANGE ACT OF 1934</w:t>
      </w:r>
    </w:p>
    <w:p>
      <w:pPr>
        <w:spacing w:after="0" w:line="13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2016</w:t>
      </w:r>
    </w:p>
    <w:p>
      <w:pPr>
        <w:spacing w:after="0" w:line="15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1" w:lineRule="exact"/>
        <w:rPr>
          <w:sz w:val="24"/>
          <w:szCs w:val="24"/>
          <w:color w:val="auto"/>
        </w:rPr>
      </w:pPr>
    </w:p>
    <w:p>
      <w:pPr>
        <w:ind w:left="260"/>
        <w:spacing w:after="0"/>
        <w:rPr>
          <w:sz w:val="24"/>
          <w:szCs w:val="24"/>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68" w:lineRule="exact"/>
        <w:rPr>
          <w:sz w:val="24"/>
          <w:szCs w:val="24"/>
          <w:color w:val="auto"/>
        </w:rPr>
      </w:pPr>
    </w:p>
    <w:p>
      <w:pPr>
        <w:ind w:left="3680"/>
        <w:spacing w:after="0"/>
        <w:rPr>
          <w:sz w:val="24"/>
          <w:szCs w:val="24"/>
          <w:color w:val="auto"/>
        </w:rPr>
      </w:pPr>
      <w:r>
        <w:rPr>
          <w:rFonts w:ascii="Times New Roman" w:cs="Times New Roman" w:eastAsia="Times New Roman" w:hAnsi="Times New Roman"/>
          <w:sz w:val="18"/>
          <w:szCs w:val="18"/>
          <w:b w:val="1"/>
          <w:bCs w:val="1"/>
          <w:color w:val="auto"/>
        </w:rPr>
        <w:t>Commission file number 001-37359</w:t>
      </w:r>
    </w:p>
    <w:p>
      <w:pPr>
        <w:spacing w:after="0" w:line="375"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jc w:val="center"/>
        <w:ind w:right="-2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341" w:lineRule="exact"/>
        <w:rPr>
          <w:sz w:val="24"/>
          <w:szCs w:val="24"/>
          <w:color w:val="auto"/>
        </w:rPr>
      </w:pPr>
    </w:p>
    <w:tbl>
      <w:tblPr>
        <w:tblLayout w:type="fixed"/>
        <w:tblInd w:w="1500" w:type="dxa"/>
        <w:tblCellMar>
          <w:top w:w="0" w:type="dxa"/>
          <w:left w:w="0" w:type="dxa"/>
          <w:bottom w:w="0" w:type="dxa"/>
          <w:right w:w="0" w:type="dxa"/>
        </w:tblCellMar>
      </w:tblPr>
      <w:tr>
        <w:trPr>
          <w:trHeight w:val="207"/>
        </w:trPr>
        <w:tc>
          <w:tcPr>
            <w:tcW w:w="5640" w:type="dxa"/>
            <w:vAlign w:val="bottom"/>
          </w:tcPr>
          <w:p>
            <w:pPr>
              <w:jc w:val="center"/>
              <w:ind w:right="349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26-3632015</w:t>
            </w: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8" w:lineRule="exact"/>
              <w:rPr>
                <w:sz w:val="20"/>
                <w:szCs w:val="20"/>
                <w:color w:val="auto"/>
              </w:rPr>
            </w:pPr>
            <w:r>
              <w:rPr>
                <w:rFonts w:ascii="Times New Roman" w:cs="Times New Roman" w:eastAsia="Times New Roman" w:hAnsi="Times New Roman"/>
                <w:sz w:val="11"/>
                <w:szCs w:val="11"/>
                <w:b w:val="1"/>
                <w:bCs w:val="1"/>
                <w:color w:val="auto"/>
                <w:w w:val="98"/>
              </w:rPr>
              <w:t>(State or Other Jurisdiction of</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8"/>
              </w:rPr>
              <w:t>(I.R.S. Employer</w:t>
            </w:r>
          </w:p>
        </w:tc>
        <w:tc>
          <w:tcPr>
            <w:tcW w:w="0" w:type="dxa"/>
            <w:vAlign w:val="bottom"/>
          </w:tcPr>
          <w:p>
            <w:pPr>
              <w:spacing w:after="0"/>
              <w:rPr>
                <w:sz w:val="1"/>
                <w:szCs w:val="1"/>
                <w:color w:val="auto"/>
              </w:rPr>
            </w:pPr>
          </w:p>
        </w:tc>
      </w:tr>
      <w:tr>
        <w:trPr>
          <w:trHeight w:val="142"/>
        </w:trPr>
        <w:tc>
          <w:tcPr>
            <w:tcW w:w="5640" w:type="dxa"/>
            <w:vAlign w:val="bottom"/>
          </w:tcPr>
          <w:p>
            <w:pPr>
              <w:jc w:val="center"/>
              <w:ind w:right="3490"/>
              <w:spacing w:after="0"/>
              <w:rPr>
                <w:sz w:val="20"/>
                <w:szCs w:val="20"/>
                <w:color w:val="auto"/>
              </w:rPr>
            </w:pPr>
            <w:r>
              <w:rPr>
                <w:rFonts w:ascii="Times New Roman" w:cs="Times New Roman" w:eastAsia="Times New Roman" w:hAnsi="Times New Roman"/>
                <w:sz w:val="11"/>
                <w:szCs w:val="11"/>
                <w:b w:val="1"/>
                <w:bCs w:val="1"/>
                <w:color w:val="auto"/>
                <w:w w:val="97"/>
              </w:rPr>
              <w:t>Incorporation or Organization)</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Identification No.)</w:t>
            </w:r>
          </w:p>
        </w:tc>
        <w:tc>
          <w:tcPr>
            <w:tcW w:w="0" w:type="dxa"/>
            <w:vAlign w:val="bottom"/>
          </w:tcPr>
          <w:p>
            <w:pPr>
              <w:spacing w:after="0"/>
              <w:rPr>
                <w:sz w:val="1"/>
                <w:szCs w:val="1"/>
                <w:color w:val="auto"/>
              </w:rPr>
            </w:pPr>
          </w:p>
        </w:tc>
      </w:tr>
      <w:tr>
        <w:trPr>
          <w:trHeight w:val="249"/>
        </w:trPr>
        <w:tc>
          <w:tcPr>
            <w:tcW w:w="5640" w:type="dxa"/>
            <w:vAlign w:val="bottom"/>
          </w:tcPr>
          <w:p>
            <w:pPr>
              <w:jc w:val="center"/>
              <w:ind w:right="3490"/>
              <w:spacing w:after="0"/>
              <w:rPr>
                <w:sz w:val="20"/>
                <w:szCs w:val="20"/>
                <w:color w:val="auto"/>
              </w:rPr>
            </w:pPr>
            <w:r>
              <w:rPr>
                <w:rFonts w:ascii="Times New Roman" w:cs="Times New Roman" w:eastAsia="Times New Roman" w:hAnsi="Times New Roman"/>
                <w:sz w:val="18"/>
                <w:szCs w:val="18"/>
                <w:b w:val="1"/>
                <w:bCs w:val="1"/>
                <w:color w:val="auto"/>
                <w:w w:val="99"/>
              </w:rPr>
              <w:t>38 Sidney Street, Suite 200</w:t>
            </w:r>
          </w:p>
        </w:tc>
        <w:tc>
          <w:tcPr>
            <w:tcW w:w="920" w:type="dxa"/>
            <w:vAlign w:val="bottom"/>
            <w:vMerge w:val="restart"/>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02139</w:t>
            </w:r>
          </w:p>
        </w:tc>
        <w:tc>
          <w:tcPr>
            <w:tcW w:w="0" w:type="dxa"/>
            <w:vAlign w:val="bottom"/>
          </w:tcPr>
          <w:p>
            <w:pPr>
              <w:spacing w:after="0"/>
              <w:rPr>
                <w:sz w:val="1"/>
                <w:szCs w:val="1"/>
                <w:color w:val="auto"/>
              </w:rPr>
            </w:pPr>
          </w:p>
        </w:tc>
      </w:tr>
      <w:tr>
        <w:trPr>
          <w:trHeight w:val="176"/>
        </w:trPr>
        <w:tc>
          <w:tcPr>
            <w:tcW w:w="5640" w:type="dxa"/>
            <w:vAlign w:val="bottom"/>
          </w:tcPr>
          <w:p>
            <w:pPr>
              <w:jc w:val="center"/>
              <w:ind w:right="3490"/>
              <w:spacing w:after="0" w:line="176" w:lineRule="exact"/>
              <w:rPr>
                <w:sz w:val="20"/>
                <w:szCs w:val="20"/>
                <w:color w:val="auto"/>
              </w:rPr>
            </w:pPr>
            <w:r>
              <w:rPr>
                <w:rFonts w:ascii="Times New Roman" w:cs="Times New Roman" w:eastAsia="Times New Roman" w:hAnsi="Times New Roman"/>
                <w:sz w:val="18"/>
                <w:szCs w:val="18"/>
                <w:b w:val="1"/>
                <w:bCs w:val="1"/>
                <w:color w:val="auto"/>
              </w:rPr>
              <w:t>Cambridge, Massachusetts</w:t>
            </w: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8"/>
        </w:trPr>
        <w:tc>
          <w:tcPr>
            <w:tcW w:w="5640" w:type="dxa"/>
            <w:vAlign w:val="bottom"/>
          </w:tcPr>
          <w:p>
            <w:pPr>
              <w:jc w:val="center"/>
              <w:ind w:right="3490"/>
              <w:spacing w:after="0" w:line="108" w:lineRule="exact"/>
              <w:rPr>
                <w:sz w:val="20"/>
                <w:szCs w:val="20"/>
                <w:color w:val="auto"/>
              </w:rPr>
            </w:pPr>
            <w:r>
              <w:rPr>
                <w:rFonts w:ascii="Times New Roman" w:cs="Times New Roman" w:eastAsia="Times New Roman" w:hAnsi="Times New Roman"/>
                <w:sz w:val="11"/>
                <w:szCs w:val="11"/>
                <w:b w:val="1"/>
                <w:bCs w:val="1"/>
                <w:color w:val="auto"/>
                <w:w w:val="97"/>
              </w:rPr>
              <w:t>(Address of Principal Executive Offices)</w:t>
            </w:r>
          </w:p>
        </w:tc>
        <w:tc>
          <w:tcPr>
            <w:tcW w:w="920" w:type="dxa"/>
            <w:vAlign w:val="bottom"/>
          </w:tcPr>
          <w:p>
            <w:pPr>
              <w:jc w:val="center"/>
              <w:spacing w:after="0" w:line="108" w:lineRule="exact"/>
              <w:rPr>
                <w:sz w:val="20"/>
                <w:szCs w:val="20"/>
                <w:color w:val="auto"/>
              </w:rPr>
            </w:pPr>
            <w:r>
              <w:rPr>
                <w:rFonts w:ascii="Times New Roman" w:cs="Times New Roman" w:eastAsia="Times New Roman" w:hAnsi="Times New Roman"/>
                <w:sz w:val="11"/>
                <w:szCs w:val="11"/>
                <w:b w:val="1"/>
                <w:bCs w:val="1"/>
                <w:color w:val="auto"/>
                <w:w w:val="97"/>
              </w:rPr>
              <w:t>(Zip Code)</w:t>
            </w:r>
          </w:p>
        </w:tc>
        <w:tc>
          <w:tcPr>
            <w:tcW w:w="0" w:type="dxa"/>
            <w:vAlign w:val="bottom"/>
          </w:tcPr>
          <w:p>
            <w:pPr>
              <w:spacing w:after="0"/>
              <w:rPr>
                <w:sz w:val="1"/>
                <w:szCs w:val="1"/>
                <w:color w:val="auto"/>
              </w:rPr>
            </w:pPr>
          </w:p>
        </w:tc>
      </w:tr>
      <w:tr>
        <w:trPr>
          <w:trHeight w:val="176"/>
        </w:trPr>
        <w:tc>
          <w:tcPr>
            <w:tcW w:w="5640" w:type="dxa"/>
            <w:vAlign w:val="bottom"/>
          </w:tcPr>
          <w:p>
            <w:pPr>
              <w:jc w:val="center"/>
              <w:ind w:left="1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(617) 374-7580</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tcPr>
          <w:p>
            <w:pPr>
              <w:jc w:val="center"/>
              <w:ind w:left="1350"/>
              <w:spacing w:after="0"/>
              <w:rPr>
                <w:sz w:val="20"/>
                <w:szCs w:val="20"/>
                <w:color w:val="auto"/>
              </w:rPr>
            </w:pPr>
            <w:r>
              <w:rPr>
                <w:rFonts w:ascii="Times New Roman" w:cs="Times New Roman" w:eastAsia="Times New Roman" w:hAnsi="Times New Roman"/>
                <w:sz w:val="11"/>
                <w:szCs w:val="11"/>
                <w:b w:val="1"/>
                <w:bCs w:val="1"/>
                <w:color w:val="auto"/>
                <w:w w:val="96"/>
              </w:rPr>
              <w:t>(Registrant’s Telephone Number, Including Area Code)</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24"/>
        </w:trPr>
        <w:tc>
          <w:tcPr>
            <w:tcW w:w="5640" w:type="dxa"/>
            <w:vAlign w:val="bottom"/>
          </w:tcPr>
          <w:p>
            <w:pPr>
              <w:jc w:val="center"/>
              <w:ind w:left="1350"/>
              <w:spacing w:after="0"/>
              <w:rPr>
                <w:sz w:val="20"/>
                <w:szCs w:val="20"/>
                <w:color w:val="auto"/>
              </w:rPr>
            </w:pPr>
            <w:r>
              <w:rPr>
                <w:rFonts w:ascii="Times New Roman" w:cs="Times New Roman" w:eastAsia="Times New Roman" w:hAnsi="Times New Roman"/>
                <w:sz w:val="11"/>
                <w:szCs w:val="11"/>
                <w:b w:val="1"/>
                <w:bCs w:val="1"/>
                <w:color w:val="auto"/>
                <w:w w:val="97"/>
              </w:rPr>
              <w:t>(Former Name, Former Address and Former Fiscal Year, if Changed Since Last Report)</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04" w:lineRule="exact"/>
        <w:rPr>
          <w:sz w:val="24"/>
          <w:szCs w:val="24"/>
          <w:color w:val="auto"/>
        </w:rPr>
      </w:pPr>
    </w:p>
    <w:p>
      <w:pPr>
        <w:ind w:right="20"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09" w:lineRule="exact"/>
        <w:rPr>
          <w:sz w:val="24"/>
          <w:szCs w:val="24"/>
          <w:color w:val="auto"/>
        </w:rPr>
      </w:pPr>
    </w:p>
    <w:p>
      <w:pPr>
        <w:ind w:right="60" w:firstLine="415"/>
        <w:spacing w:after="0" w:line="158"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w:t>
      </w:r>
    </w:p>
    <w:p>
      <w:pPr>
        <w:spacing w:after="0" w:line="123" w:lineRule="exact"/>
        <w:rPr>
          <w:sz w:val="24"/>
          <w:szCs w:val="24"/>
          <w:color w:val="auto"/>
        </w:rPr>
      </w:pPr>
    </w:p>
    <w:p>
      <w:pPr>
        <w:ind w:right="400" w:firstLine="415"/>
        <w:spacing w:after="0" w:line="24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640" w:type="dxa"/>
            <w:vAlign w:val="bottom"/>
          </w:tcPr>
          <w:p>
            <w:pPr>
              <w:spacing w:after="0"/>
              <w:rPr>
                <w:sz w:val="19"/>
                <w:szCs w:val="19"/>
                <w:color w:val="auto"/>
              </w:rPr>
            </w:pPr>
          </w:p>
        </w:tc>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Accelerated filer</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20" w:type="dxa"/>
            <w:vAlign w:val="bottom"/>
          </w:tcPr>
          <w:p>
            <w:pPr>
              <w:spacing w:after="0"/>
              <w:rPr>
                <w:sz w:val="21"/>
                <w:szCs w:val="21"/>
                <w:color w:val="auto"/>
              </w:rPr>
            </w:pPr>
          </w:p>
        </w:tc>
        <w:tc>
          <w:tcPr>
            <w:tcW w:w="2640" w:type="dxa"/>
            <w:vAlign w:val="bottom"/>
          </w:tcPr>
          <w:p>
            <w:pPr>
              <w:ind w:left="740"/>
              <w:spacing w:after="0" w:line="188" w:lineRule="exact"/>
              <w:rPr>
                <w:sz w:val="20"/>
                <w:szCs w:val="20"/>
                <w:color w:val="auto"/>
              </w:rPr>
            </w:pP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(Do not check if a smaller</w:t>
            </w:r>
          </w:p>
        </w:tc>
        <w:tc>
          <w:tcPr>
            <w:tcW w:w="2860" w:type="dxa"/>
            <w:vAlign w:val="bottom"/>
          </w:tcPr>
          <w:p>
            <w:pPr>
              <w:spacing w:after="0"/>
              <w:rPr>
                <w:sz w:val="21"/>
                <w:szCs w:val="21"/>
                <w:color w:val="auto"/>
              </w:rPr>
            </w:pPr>
          </w:p>
        </w:tc>
        <w:tc>
          <w:tcPr>
            <w:tcW w:w="54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640" w:type="dxa"/>
            <w:vAlign w:val="bottom"/>
          </w:tcPr>
          <w:p>
            <w:pPr>
              <w:ind w:left="740"/>
              <w:spacing w:after="0"/>
              <w:rPr>
                <w:sz w:val="20"/>
                <w:szCs w:val="20"/>
                <w:color w:val="auto"/>
              </w:rPr>
            </w:pPr>
            <w:r>
              <w:rPr>
                <w:rFonts w:ascii="Times New Roman" w:cs="Times New Roman" w:eastAsia="Times New Roman" w:hAnsi="Times New Roman"/>
                <w:sz w:val="14"/>
                <w:szCs w:val="14"/>
                <w:color w:val="auto"/>
              </w:rPr>
              <w:t>reporting company)</w:t>
            </w:r>
          </w:p>
        </w:tc>
        <w:tc>
          <w:tcPr>
            <w:tcW w:w="28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5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7520" w:type="dxa"/>
            <w:vAlign w:val="bottom"/>
            <w:gridSpan w:val="3"/>
          </w:tcPr>
          <w:p>
            <w:pPr>
              <w:ind w:left="420"/>
              <w:spacing w:after="0"/>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  Yes</w:t>
            </w:r>
          </w:p>
        </w:tc>
        <w:tc>
          <w:tcPr>
            <w:tcW w:w="540" w:type="dxa"/>
            <w:vAlign w:val="bottom"/>
          </w:tcPr>
          <w:p>
            <w:pPr>
              <w:ind w:left="160"/>
              <w:spacing w:after="0" w:line="188" w:lineRule="exact"/>
              <w:rPr>
                <w:sz w:val="20"/>
                <w:szCs w:val="20"/>
                <w:color w:val="auto"/>
              </w:rPr>
            </w:pPr>
            <w:r>
              <w:rPr>
                <w:rFonts w:ascii="Times New Roman" w:cs="Times New Roman" w:eastAsia="Times New Roman" w:hAnsi="Times New Roman"/>
                <w:sz w:val="14"/>
                <w:szCs w:val="14"/>
                <w:color w:val="auto"/>
              </w:rPr>
              <w:t xml:space="preserve">No </w:t>
            </w:r>
            <w:r>
              <w:rPr>
                <w:rFonts w:ascii="Arial Unicode MS" w:cs="Arial Unicode MS" w:eastAsia="Arial Unicode MS" w:hAnsi="Arial Unicode MS"/>
                <w:sz w:val="14"/>
                <w:szCs w:val="14"/>
                <w:color w:val="auto"/>
              </w:rPr>
              <w:t>☒</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20"/>
        <w:spacing w:after="0"/>
        <w:rPr>
          <w:sz w:val="20"/>
          <w:szCs w:val="20"/>
          <w:color w:val="auto"/>
        </w:rPr>
      </w:pPr>
      <w:r>
        <w:rPr>
          <w:rFonts w:ascii="Times New Roman" w:cs="Times New Roman" w:eastAsia="Times New Roman" w:hAnsi="Times New Roman"/>
          <w:sz w:val="14"/>
          <w:szCs w:val="14"/>
          <w:color w:val="auto"/>
        </w:rPr>
        <w:t>Number of shares of the registrant’s common stock, $0.001 par value, outstanding on August 8, 2016: 27,281,750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829945</wp:posOffset>
            </wp:positionV>
            <wp:extent cx="6388735"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40"/>
          </w:cols>
          <w:pgMar w:left="920" w:top="216" w:right="11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580" w:type="dxa"/>
            <w:vAlign w:val="bottom"/>
            <w:gridSpan w:val="12"/>
            <w:vMerge w:val="restart"/>
          </w:tcPr>
          <w:p>
            <w:pPr>
              <w:jc w:val="center"/>
              <w:ind w:right="2440"/>
              <w:spacing w:after="0"/>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PART I – FINANCIAL INFORMATION</w:t>
              </w:r>
            </w:hyperlink>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54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14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vMerge w:val="restart"/>
          </w:tcPr>
          <w:p>
            <w:pPr>
              <w:spacing w:after="0"/>
              <w:rPr>
                <w:sz w:val="2"/>
                <w:szCs w:val="2"/>
                <w:color w:val="auto"/>
              </w:rPr>
            </w:pPr>
          </w:p>
        </w:tc>
        <w:tc>
          <w:tcPr>
            <w:tcW w:w="300" w:type="dxa"/>
            <w:vAlign w:val="bottom"/>
            <w:vMerge w:val="restart"/>
          </w:tcPr>
          <w:p>
            <w:pPr>
              <w:spacing w:after="0"/>
              <w:rPr>
                <w:sz w:val="2"/>
                <w:szCs w:val="2"/>
                <w:color w:val="auto"/>
              </w:rPr>
            </w:pPr>
          </w:p>
        </w:tc>
        <w:tc>
          <w:tcPr>
            <w:tcW w:w="440" w:type="dxa"/>
            <w:vAlign w:val="bottom"/>
            <w:vMerge w:val="restart"/>
          </w:tcPr>
          <w:p>
            <w:pPr>
              <w:spacing w:after="0"/>
              <w:rPr>
                <w:sz w:val="2"/>
                <w:szCs w:val="2"/>
                <w:color w:val="auto"/>
              </w:rPr>
            </w:pPr>
          </w:p>
        </w:tc>
        <w:tc>
          <w:tcPr>
            <w:tcW w:w="500" w:type="dxa"/>
            <w:vAlign w:val="bottom"/>
            <w:vMerge w:val="restart"/>
          </w:tcPr>
          <w:p>
            <w:pPr>
              <w:spacing w:after="0"/>
              <w:rPr>
                <w:sz w:val="2"/>
                <w:szCs w:val="2"/>
                <w:color w:val="auto"/>
              </w:rPr>
            </w:pPr>
          </w:p>
        </w:tc>
        <w:tc>
          <w:tcPr>
            <w:tcW w:w="5580" w:type="dxa"/>
            <w:vAlign w:val="bottom"/>
            <w:gridSpan w:val="1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5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420" w:type="dxa"/>
            <w:vAlign w:val="bottom"/>
            <w:vMerge w:val="continue"/>
          </w:tcPr>
          <w:p>
            <w:pPr>
              <w:spacing w:after="0"/>
              <w:rPr>
                <w:sz w:val="12"/>
                <w:szCs w:val="12"/>
                <w:color w:val="auto"/>
              </w:rPr>
            </w:pPr>
          </w:p>
        </w:tc>
        <w:tc>
          <w:tcPr>
            <w:tcW w:w="30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500" w:type="dxa"/>
            <w:vAlign w:val="bottom"/>
            <w:vMerge w:val="continue"/>
          </w:tcPr>
          <w:p>
            <w:pPr>
              <w:spacing w:after="0"/>
              <w:rPr>
                <w:sz w:val="12"/>
                <w:szCs w:val="12"/>
                <w:color w:val="auto"/>
              </w:rPr>
            </w:pPr>
          </w:p>
        </w:tc>
        <w:tc>
          <w:tcPr>
            <w:tcW w:w="5580" w:type="dxa"/>
            <w:vAlign w:val="bottom"/>
            <w:gridSpan w:val="12"/>
            <w:vMerge w:val="continue"/>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4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Item 1. Financial Statements (unaudited)</w:t>
              </w:r>
            </w:hyperlink>
          </w:p>
        </w:tc>
        <w:tc>
          <w:tcPr>
            <w:tcW w:w="5460" w:type="dxa"/>
            <w:vAlign w:val="bottom"/>
            <w:gridSpan w:val="11"/>
          </w:tcPr>
          <w:p>
            <w:pPr>
              <w:spacing w:after="0"/>
              <w:rPr>
                <w:sz w:val="18"/>
                <w:szCs w:val="18"/>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14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Condensed Consolidated Balance Sheets as of June 30, 2016 and December 31, 2015</w:t>
              </w:r>
            </w:hyperlink>
          </w:p>
        </w:tc>
        <w:tc>
          <w:tcPr>
            <w:tcW w:w="1640" w:type="dxa"/>
            <w:vAlign w:val="bottom"/>
            <w:gridSpan w:val="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8"/>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Statements of Operations and Comprehensive Loss for the three and six months</w:t>
              </w:r>
            </w:hyperlink>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56"/>
        </w:trPr>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0" w:type="dxa"/>
            <w:vAlign w:val="bottom"/>
            <w:tcBorders>
              <w:top w:val="single" w:sz="8" w:color="0000EE"/>
              <w:bottom w:val="single" w:sz="8" w:color="0000EE"/>
            </w:tcBorders>
            <w:gridSpan w:val="6"/>
          </w:tcPr>
          <w:p>
            <w:pPr>
              <w:spacing w:after="0" w:line="15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ended June 30, 2016 and 2015</w:t>
              </w:r>
            </w:hyperlink>
          </w:p>
        </w:tc>
        <w:tc>
          <w:tcPr>
            <w:tcW w:w="5380" w:type="dxa"/>
            <w:vAlign w:val="bottom"/>
            <w:tcBorders>
              <w:top w:val="single" w:sz="8" w:color="0000EE"/>
            </w:tcBorders>
            <w:gridSpan w:val="11"/>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780" w:type="dxa"/>
            <w:vAlign w:val="bottom"/>
            <w:gridSpan w:val="18"/>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 for the six months ended June 30, 2016 and 2015</w:t>
              </w:r>
            </w:hyperlink>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w:anchor="page8">
              <w:r>
                <w:rPr>
                  <w:rFonts w:ascii="Times New Roman" w:cs="Times New Roman" w:eastAsia="Times New Roman" w:hAnsi="Times New Roman"/>
                  <w:sz w:val="18"/>
                  <w:szCs w:val="18"/>
                  <w:color w:val="0000EE"/>
                  <w:w w:val="99"/>
                </w:rPr>
                <w:t>Notes to Condensed Consolidated Financial Statements</w:t>
              </w:r>
            </w:hyperlink>
          </w:p>
        </w:tc>
        <w:tc>
          <w:tcPr>
            <w:tcW w:w="3300" w:type="dxa"/>
            <w:vAlign w:val="bottom"/>
            <w:tcBorders>
              <w:top w:val="single" w:sz="8" w:color="0000EE"/>
            </w:tcBorders>
            <w:gridSpan w:val="7"/>
          </w:tcPr>
          <w:p>
            <w:pPr>
              <w:spacing w:after="0"/>
              <w:rPr>
                <w:sz w:val="17"/>
                <w:szCs w:val="17"/>
                <w:color w:val="auto"/>
              </w:rPr>
            </w:pPr>
          </w:p>
        </w:tc>
        <w:tc>
          <w:tcPr>
            <w:tcW w:w="480" w:type="dxa"/>
            <w:vAlign w:val="bottom"/>
            <w:gridSpan w:val="2"/>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702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w:anchor="page19">
              <w:r>
                <w:rPr>
                  <w:rFonts w:ascii="Times New Roman" w:cs="Times New Roman" w:eastAsia="Times New Roman" w:hAnsi="Times New Roman"/>
                  <w:sz w:val="18"/>
                  <w:szCs w:val="18"/>
                  <w:color w:val="0000EE"/>
                  <w:w w:val="99"/>
                </w:rPr>
                <w:t>Item 2. Management’s Discussion and Analysis of Financial Condition and Results of Operations</w:t>
              </w:r>
            </w:hyperlink>
          </w:p>
        </w:tc>
        <w:tc>
          <w:tcPr>
            <w:tcW w:w="1380" w:type="dxa"/>
            <w:vAlign w:val="bottom"/>
            <w:gridSpan w:val="3"/>
          </w:tcPr>
          <w:p>
            <w:pPr>
              <w:spacing w:after="0"/>
              <w:rPr>
                <w:sz w:val="24"/>
                <w:szCs w:val="24"/>
                <w:color w:val="auto"/>
              </w:rPr>
            </w:pPr>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49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Item 3. Quantitative and Qualitative Disclosures About Market Risk</w:t>
              </w:r>
            </w:hyperlink>
          </w:p>
        </w:tc>
        <w:tc>
          <w:tcPr>
            <w:tcW w:w="3480" w:type="dxa"/>
            <w:vAlign w:val="bottom"/>
            <w:gridSpan w:val="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540" w:type="dxa"/>
            <w:vAlign w:val="bottom"/>
          </w:tcPr>
          <w:p>
            <w:pPr>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Item 4.</w:t>
              </w:r>
            </w:hyperlink>
          </w:p>
        </w:tc>
        <w:tc>
          <w:tcPr>
            <w:tcW w:w="7860" w:type="dxa"/>
            <w:vAlign w:val="bottom"/>
            <w:gridSpan w:val="19"/>
          </w:tcPr>
          <w:p>
            <w:pPr>
              <w:ind w:left="20"/>
              <w:spacing w:after="0" w:line="19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Controls and Procedures</w:t>
              </w:r>
            </w:hyperlink>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372"/>
        </w:trPr>
        <w:tc>
          <w:tcPr>
            <w:tcW w:w="5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60" w:type="dxa"/>
            <w:vAlign w:val="bottom"/>
            <w:tcBorders>
              <w:bottom w:val="single" w:sz="8" w:color="0000EE"/>
            </w:tcBorders>
            <w:gridSpan w:val="4"/>
          </w:tcPr>
          <w:p>
            <w:pPr>
              <w:jc w:val="center"/>
              <w:spacing w:after="0"/>
              <w:rPr>
                <w:rFonts w:ascii="Times New Roman" w:cs="Times New Roman" w:eastAsia="Times New Roman" w:hAnsi="Times New Roman"/>
                <w:sz w:val="18"/>
                <w:szCs w:val="18"/>
                <w:b w:val="1"/>
                <w:bCs w:val="1"/>
                <w:color w:val="0000EE"/>
                <w:w w:val="98"/>
              </w:rPr>
            </w:pPr>
            <w:hyperlink w:anchor="page34">
              <w:r>
                <w:rPr>
                  <w:rFonts w:ascii="Times New Roman" w:cs="Times New Roman" w:eastAsia="Times New Roman" w:hAnsi="Times New Roman"/>
                  <w:sz w:val="18"/>
                  <w:szCs w:val="18"/>
                  <w:b w:val="1"/>
                  <w:bCs w:val="1"/>
                  <w:color w:val="0000EE"/>
                  <w:w w:val="98"/>
                </w:rPr>
                <w:t>PART II – OTHER INFORMATION</w:t>
              </w:r>
            </w:hyperlink>
          </w:p>
        </w:tc>
        <w:tc>
          <w:tcPr>
            <w:tcW w:w="2580" w:type="dxa"/>
            <w:vAlign w:val="bottom"/>
            <w:gridSpan w:val="6"/>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40" w:type="dxa"/>
            <w:vAlign w:val="bottom"/>
          </w:tcPr>
          <w:p>
            <w:pPr>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w:t>
              </w:r>
            </w:hyperlink>
          </w:p>
        </w:tc>
        <w:tc>
          <w:tcPr>
            <w:tcW w:w="7860" w:type="dxa"/>
            <w:vAlign w:val="bottom"/>
            <w:gridSpan w:val="19"/>
          </w:tcPr>
          <w:p>
            <w:pPr>
              <w:ind w:left="2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Legal Proceedings</w:t>
              </w:r>
            </w:hyperlink>
          </w:p>
        </w:tc>
        <w:tc>
          <w:tcPr>
            <w:tcW w:w="5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18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Item 1A. Risk Factors</w:t>
              </w:r>
            </w:hyperlink>
          </w:p>
        </w:tc>
        <w:tc>
          <w:tcPr>
            <w:tcW w:w="6520" w:type="dxa"/>
            <w:vAlign w:val="bottom"/>
            <w:gridSpan w:val="14"/>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320" w:type="dxa"/>
            <w:vAlign w:val="bottom"/>
            <w:gridSpan w:val="7"/>
          </w:tcPr>
          <w:p>
            <w:pPr>
              <w:spacing w:after="0" w:line="20" w:lineRule="exact"/>
              <w:rPr>
                <w:sz w:val="1"/>
                <w:szCs w:val="1"/>
                <w:color w:val="auto"/>
              </w:rPr>
            </w:pPr>
          </w:p>
        </w:tc>
        <w:tc>
          <w:tcPr>
            <w:tcW w:w="3500" w:type="dxa"/>
            <w:vAlign w:val="bottom"/>
            <w:gridSpan w:val="8"/>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0" w:type="dxa"/>
            <w:vAlign w:val="bottom"/>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Item 2.</w:t>
              </w:r>
            </w:hyperlink>
          </w:p>
        </w:tc>
        <w:tc>
          <w:tcPr>
            <w:tcW w:w="7860" w:type="dxa"/>
            <w:vAlign w:val="bottom"/>
            <w:gridSpan w:val="19"/>
          </w:tcPr>
          <w:p>
            <w:pPr>
              <w:ind w:left="20"/>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Unregistered Sales of Equity Securities and Use of Proceeds</w:t>
              </w:r>
            </w:hyperlink>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196"/>
        </w:trPr>
        <w:tc>
          <w:tcPr>
            <w:tcW w:w="54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rPr>
            </w:pPr>
            <w:hyperlink w:anchor="page71">
              <w:r>
                <w:rPr>
                  <w:rFonts w:ascii="Times New Roman" w:cs="Times New Roman" w:eastAsia="Times New Roman" w:hAnsi="Times New Roman"/>
                  <w:sz w:val="18"/>
                  <w:szCs w:val="18"/>
                  <w:color w:val="0000EE"/>
                </w:rPr>
                <w:t>Item 6.</w:t>
              </w:r>
            </w:hyperlink>
          </w:p>
        </w:tc>
        <w:tc>
          <w:tcPr>
            <w:tcW w:w="620" w:type="dxa"/>
            <w:vAlign w:val="bottom"/>
            <w:tcBorders>
              <w:top w:val="single" w:sz="8" w:color="0000EE"/>
              <w:bottom w:val="single" w:sz="8" w:color="0000EE"/>
            </w:tcBorders>
            <w:gridSpan w:val="3"/>
          </w:tcPr>
          <w:p>
            <w:pPr>
              <w:ind w:left="20"/>
              <w:spacing w:after="0" w:line="196" w:lineRule="exact"/>
              <w:rPr>
                <w:rFonts w:ascii="Times New Roman" w:cs="Times New Roman" w:eastAsia="Times New Roman" w:hAnsi="Times New Roman"/>
                <w:sz w:val="18"/>
                <w:szCs w:val="18"/>
                <w:color w:val="0000EE"/>
                <w:w w:val="96"/>
              </w:rPr>
            </w:pPr>
            <w:hyperlink w:anchor="page71">
              <w:r>
                <w:rPr>
                  <w:rFonts w:ascii="Times New Roman" w:cs="Times New Roman" w:eastAsia="Times New Roman" w:hAnsi="Times New Roman"/>
                  <w:sz w:val="18"/>
                  <w:szCs w:val="18"/>
                  <w:color w:val="0000EE"/>
                  <w:w w:val="96"/>
                </w:rPr>
                <w:t>Exhibits</w:t>
              </w:r>
            </w:hyperlink>
          </w:p>
        </w:tc>
        <w:tc>
          <w:tcPr>
            <w:tcW w:w="3740" w:type="dxa"/>
            <w:vAlign w:val="bottom"/>
            <w:tcBorders>
              <w:top w:val="single" w:sz="8" w:color="0000EE"/>
            </w:tcBorders>
            <w:gridSpan w:val="8"/>
          </w:tcPr>
          <w:p>
            <w:pPr>
              <w:spacing w:after="0"/>
              <w:rPr>
                <w:sz w:val="17"/>
                <w:szCs w:val="17"/>
                <w:color w:val="auto"/>
              </w:rPr>
            </w:pPr>
          </w:p>
        </w:tc>
        <w:tc>
          <w:tcPr>
            <w:tcW w:w="3500" w:type="dxa"/>
            <w:vAlign w:val="bottom"/>
            <w:gridSpan w:val="8"/>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196"/>
        </w:trPr>
        <w:tc>
          <w:tcPr>
            <w:tcW w:w="7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72">
              <w:r>
                <w:rPr>
                  <w:rFonts w:ascii="Times New Roman" w:cs="Times New Roman" w:eastAsia="Times New Roman" w:hAnsi="Times New Roman"/>
                  <w:sz w:val="18"/>
                  <w:szCs w:val="18"/>
                  <w:color w:val="0000EE"/>
                  <w:w w:val="97"/>
                </w:rPr>
                <w:t>Signatures</w:t>
              </w:r>
            </w:hyperlink>
          </w:p>
        </w:tc>
        <w:tc>
          <w:tcPr>
            <w:tcW w:w="7640" w:type="dxa"/>
            <w:vAlign w:val="bottom"/>
            <w:gridSpan w:val="17"/>
          </w:tcPr>
          <w:p>
            <w:pPr>
              <w:spacing w:after="0"/>
              <w:rPr>
                <w:sz w:val="17"/>
                <w:szCs w:val="17"/>
                <w:color w:val="auto"/>
              </w:rPr>
            </w:pPr>
          </w:p>
        </w:tc>
        <w:tc>
          <w:tcPr>
            <w:tcW w:w="540" w:type="dxa"/>
            <w:vAlign w:val="bottom"/>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34" w:lineRule="exact"/>
        <w:rPr>
          <w:sz w:val="20"/>
          <w:szCs w:val="20"/>
          <w:color w:val="auto"/>
        </w:rPr>
      </w:pPr>
    </w:p>
    <w:p>
      <w:pPr>
        <w:ind w:right="39" w:firstLine="648"/>
        <w:spacing w:after="0" w:line="227" w:lineRule="auto"/>
        <w:rPr>
          <w:sz w:val="20"/>
          <w:szCs w:val="20"/>
          <w:color w:val="auto"/>
        </w:rPr>
      </w:pPr>
      <w:r>
        <w:rPr>
          <w:rFonts w:ascii="Times New Roman" w:cs="Times New Roman" w:eastAsia="Times New Roman" w:hAnsi="Times New Roman"/>
          <w:sz w:val="18"/>
          <w:szCs w:val="18"/>
          <w:i w:val="1"/>
          <w:iCs w:val="1"/>
          <w:color w:val="auto"/>
        </w:rPr>
        <w:t>Unless otherwise stated, all references to “us,” “our,” “Blueprint,” “Blueprint Medicines,” “we,” the “Company” and similar designations in this Quarterly Report on Form 10-Q refer to Blueprint Medicines Corporation and its consolidated subsidiary, Blueprint Medicines Security Corporation.</w:t>
      </w:r>
    </w:p>
    <w:p>
      <w:pPr>
        <w:spacing w:after="0" w:line="1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35" w:lineRule="exact"/>
        <w:rPr>
          <w:sz w:val="20"/>
          <w:szCs w:val="20"/>
          <w:color w:val="auto"/>
        </w:rPr>
      </w:pPr>
    </w:p>
    <w:p>
      <w:pPr>
        <w:ind w:right="179" w:firstLine="648"/>
        <w:spacing w:after="0" w:line="214"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involve substantial risks and uncertainties. All statements, other than statements of historical facts, contained in this Quarterly Report on Form 10-Q are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11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forward-looking statements in this Quarterly Report on Form 10-Q include, but are not limited to, statements</w:t>
      </w:r>
    </w:p>
    <w:p>
      <w:pPr>
        <w:spacing w:after="0"/>
        <w:rPr>
          <w:sz w:val="20"/>
          <w:szCs w:val="20"/>
          <w:color w:val="auto"/>
        </w:rPr>
      </w:pPr>
      <w:r>
        <w:rPr>
          <w:rFonts w:ascii="Times New Roman" w:cs="Times New Roman" w:eastAsia="Times New Roman" w:hAnsi="Times New Roman"/>
          <w:sz w:val="18"/>
          <w:szCs w:val="18"/>
          <w:color w:val="auto"/>
        </w:rPr>
        <w:t>about:</w:t>
      </w:r>
    </w:p>
    <w:p>
      <w:pPr>
        <w:spacing w:after="0" w:line="138" w:lineRule="exact"/>
        <w:rPr>
          <w:sz w:val="20"/>
          <w:szCs w:val="20"/>
          <w:color w:val="auto"/>
        </w:rPr>
      </w:pPr>
    </w:p>
    <w:p>
      <w:pPr>
        <w:ind w:left="1060" w:right="159" w:hanging="85"/>
        <w:spacing w:after="0" w:line="23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timing, progress and results of our pre-clinical studies and clinical trials, including our Phase 1 clinical trials for BLU-285 and BLU-554, and our research and development programs;</w:t>
      </w:r>
    </w:p>
    <w:p>
      <w:pPr>
        <w:spacing w:after="0" w:line="9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advance drug candidates into, and successfully complete, clinical trials;</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of our estimates regarding expenses, future revenues and capital requirements;</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or likelihood of regulatory filings and approvals;</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commercialization of our drug candidates, if approved;</w:t>
      </w:r>
    </w:p>
    <w:p>
      <w:pPr>
        <w:spacing w:after="0" w:line="117"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pricing and reimbursement of our drug candidates, if approved;</w:t>
      </w:r>
    </w:p>
    <w:p>
      <w:pPr>
        <w:spacing w:after="0" w:line="117"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business model, strategic plans for our business, drug candidates and technology;</w:t>
      </w:r>
    </w:p>
    <w:p>
      <w:pPr>
        <w:spacing w:after="0" w:line="117" w:lineRule="exact"/>
        <w:rPr>
          <w:rFonts w:ascii="Times New Roman" w:cs="Times New Roman" w:eastAsia="Times New Roman" w:hAnsi="Times New Roman"/>
          <w:sz w:val="18"/>
          <w:szCs w:val="18"/>
          <w:color w:val="auto"/>
        </w:rPr>
      </w:pPr>
    </w:p>
    <w:p>
      <w:pPr>
        <w:ind w:left="1060" w:right="99" w:hanging="85"/>
        <w:spacing w:after="0" w:line="23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of protection we are able to establish and maintain for intellectual property rights covering our drug candidates and technology;</w:t>
      </w:r>
    </w:p>
    <w:p>
      <w:pPr>
        <w:spacing w:after="0" w:line="9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estimates of our expenses, future revenues, capital requirements and our needs for additional financing;</w:t>
      </w:r>
    </w:p>
    <w:p>
      <w:pPr>
        <w:spacing w:after="0" w:line="117" w:lineRule="exact"/>
        <w:rPr>
          <w:rFonts w:ascii="Times New Roman" w:cs="Times New Roman" w:eastAsia="Times New Roman" w:hAnsi="Times New Roman"/>
          <w:sz w:val="18"/>
          <w:szCs w:val="18"/>
          <w:color w:val="auto"/>
        </w:rPr>
      </w:pPr>
    </w:p>
    <w:p>
      <w:pPr>
        <w:jc w:val="both"/>
        <w:ind w:left="1060" w:right="119" w:hanging="85"/>
        <w:spacing w:after="0" w:line="226"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benefits of our existing rare genetic disease collaboration with Alexion Pharma Holding and our existing cancer immunotherapy collaboration with F. Hoffmann-La Roche Ltd and Hoffmann-La Roche Inc., as well as our ability to enter into other strategic arrangements;</w:t>
      </w:r>
    </w:p>
    <w:p>
      <w:pPr>
        <w:spacing w:after="0" w:line="90" w:lineRule="exact"/>
        <w:rPr>
          <w:rFonts w:ascii="Times New Roman" w:cs="Times New Roman" w:eastAsia="Times New Roman" w:hAnsi="Times New Roman"/>
          <w:sz w:val="18"/>
          <w:szCs w:val="18"/>
          <w:color w:val="auto"/>
        </w:rPr>
      </w:pPr>
    </w:p>
    <w:p>
      <w:pPr>
        <w:ind w:left="1060" w:right="199" w:hanging="85"/>
        <w:spacing w:after="0" w:line="237" w:lineRule="auto"/>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of companion diagnostic tests for our drug candidates, including our companion diagnostic with Ventana Medical Systems, Inc. for BLU-554;</w:t>
      </w:r>
    </w:p>
    <w:p>
      <w:pPr>
        <w:spacing w:after="0" w:line="90"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establish collaborations or obtain additional grant funding;</w:t>
      </w:r>
    </w:p>
    <w:p>
      <w:pPr>
        <w:spacing w:after="0" w:line="117"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w:t>
      </w:r>
    </w:p>
    <w:p>
      <w:pPr>
        <w:spacing w:after="0" w:line="117"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relating to our competitors and our industry.</w:t>
      </w:r>
    </w:p>
    <w:p>
      <w:pPr>
        <w:spacing w:after="0" w:line="171" w:lineRule="exact"/>
        <w:rPr>
          <w:sz w:val="20"/>
          <w:szCs w:val="20"/>
          <w:color w:val="auto"/>
        </w:rPr>
      </w:pPr>
    </w:p>
    <w:p>
      <w:pPr>
        <w:ind w:right="19" w:firstLine="648"/>
        <w:spacing w:after="0" w:line="213" w:lineRule="auto"/>
        <w:rPr>
          <w:sz w:val="20"/>
          <w:szCs w:val="20"/>
          <w:color w:val="auto"/>
        </w:rPr>
      </w:pPr>
      <w:r>
        <w:rPr>
          <w:rFonts w:ascii="Times New Roman" w:cs="Times New Roman" w:eastAsia="Times New Roman" w:hAnsi="Times New Roman"/>
          <w:sz w:val="18"/>
          <w:szCs w:val="18"/>
          <w:color w:val="auto"/>
        </w:rPr>
        <w:t>Any forward-looking statements in this Quarterly Report on Form 10-Q reflect our current views with respect to future events or to our future financial performance and involve known and unknown risks, uncertainties and other important factors that may cause our actual results, performance or achievements to be materially different from any future results, performance or achievements expressed or implied by these forward-looking statements. We have included important factors in the cautionary statements included in this Quarterly Report on Form 10-Q, particularly in the “Risk Factors” section, that could cause actual results or events to differ materially from the forward-looking statements that we make. Given these uncertainties, you should not place undue reliance on these forward-looking</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9"/>
        <w:spacing w:after="0" w:line="237" w:lineRule="auto"/>
        <w:rPr>
          <w:sz w:val="20"/>
          <w:szCs w:val="20"/>
          <w:color w:val="auto"/>
        </w:rPr>
      </w:pPr>
      <w:r>
        <w:rPr>
          <w:rFonts w:ascii="Times New Roman" w:cs="Times New Roman" w:eastAsia="Times New Roman" w:hAnsi="Times New Roman"/>
          <w:sz w:val="18"/>
          <w:szCs w:val="18"/>
          <w:color w:val="auto"/>
        </w:rPr>
        <w:t>statements. Our forward-looking statements do not reflect the potential impact of any future acquisitions, mergers, dispositions, joint ventures or investments we may make or enter into.</w:t>
      </w:r>
    </w:p>
    <w:p>
      <w:pPr>
        <w:spacing w:after="0" w:line="118" w:lineRule="exact"/>
        <w:rPr>
          <w:sz w:val="20"/>
          <w:szCs w:val="20"/>
          <w:color w:val="auto"/>
        </w:rPr>
      </w:pPr>
    </w:p>
    <w:p>
      <w:pPr>
        <w:ind w:right="199" w:firstLine="648"/>
        <w:spacing w:after="0" w:line="220"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have filed as exhibits to this Quarterly Report on Form 10-Q completely and with the understanding that our actual future results, performance or achievements may be materially different from what we expect. Except as required by law, we assume no obligation to update or revise these forward-looking statements for any reason, even if new information becomes available in the future.</w:t>
      </w:r>
    </w:p>
    <w:p>
      <w:pPr>
        <w:spacing w:after="0" w:line="3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6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ind w:right="12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jc w:val="center"/>
        <w:ind w:right="12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jc w:val="cente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00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56"/>
        </w:trPr>
        <w:tc>
          <w:tcPr>
            <w:tcW w:w="692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 w:type="dxa"/>
            <w:vAlign w:val="bottom"/>
            <w:tcBorders>
              <w:top w:val="single" w:sz="8" w:color="auto"/>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92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Assets</w:t>
            </w: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assets: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109,386</w:t>
            </w:r>
          </w:p>
        </w:tc>
        <w:tc>
          <w:tcPr>
            <w:tcW w:w="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available-for-sale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63,167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178,120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170,416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Current liabilities: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Restricted stock liability</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Current portion of lease incentive obligation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Current portion of term loan payable</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18,640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rent,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liability,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incentive obligation, net of current portion</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Term loan payable, net of current portion</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 term liabilities</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69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Commitments (Note 11)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Stockholders’ equity:</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920" w:type="dxa"/>
            <w:vAlign w:val="bottom"/>
          </w:tcPr>
          <w:p>
            <w:pPr>
              <w:spacing w:after="0" w:line="149" w:lineRule="exact"/>
              <w:rPr>
                <w:sz w:val="20"/>
                <w:szCs w:val="20"/>
                <w:color w:val="auto"/>
              </w:rPr>
            </w:pPr>
            <w:r>
              <w:rPr>
                <w:rFonts w:ascii="Times New Roman" w:cs="Times New Roman" w:eastAsia="Times New Roman" w:hAnsi="Times New Roman"/>
                <w:sz w:val="17"/>
                <w:szCs w:val="17"/>
                <w:color w:val="auto"/>
              </w:rPr>
              <w:t>Preferred stock, $0.001 par value; 5,000,000 shares authorized; no shares issued and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6920" w:type="dxa"/>
            <w:vAlign w:val="bottom"/>
          </w:tcPr>
          <w:p>
            <w:pPr>
              <w:ind w:left="140"/>
              <w:spacing w:after="0" w:line="202" w:lineRule="exact"/>
              <w:rPr>
                <w:sz w:val="20"/>
                <w:szCs w:val="20"/>
                <w:color w:val="auto"/>
              </w:rPr>
            </w:pPr>
            <w:r>
              <w:rPr>
                <w:rFonts w:ascii="Times New Roman" w:cs="Times New Roman" w:eastAsia="Times New Roman" w:hAnsi="Times New Roman"/>
                <w:sz w:val="18"/>
                <w:szCs w:val="18"/>
                <w:color w:val="auto"/>
              </w:rPr>
              <w:t>outstanding</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auto"/>
              </w:rPr>
              <w:t>Common stock, $0.001 par value; 120,000,000 shares authorized; 27,276,990 and 27,196,053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shares issued at June 30, 2016 and December 31, 2015, respectively, and 27,227,415 and</w:t>
            </w: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920" w:type="dxa"/>
            <w:vAlign w:val="bottom"/>
            <w:shd w:val="clear" w:color="auto" w:fill="CCEEFF"/>
          </w:tcPr>
          <w:p>
            <w:pPr>
              <w:ind w:left="140"/>
              <w:spacing w:after="0" w:line="202" w:lineRule="exact"/>
              <w:rPr>
                <w:sz w:val="20"/>
                <w:szCs w:val="20"/>
                <w:color w:val="auto"/>
              </w:rPr>
            </w:pPr>
            <w:r>
              <w:rPr>
                <w:rFonts w:ascii="Times New Roman" w:cs="Times New Roman" w:eastAsia="Times New Roman" w:hAnsi="Times New Roman"/>
                <w:sz w:val="18"/>
                <w:szCs w:val="18"/>
                <w:color w:val="auto"/>
              </w:rPr>
              <w:t>27,065,558 shares outstanding at June 30, 2016 and December 31, 2015, respectively</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281,853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278,927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(169,373)</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(134,975)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112,562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143,979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20" w:type="dxa"/>
            <w:vAlign w:val="bottom"/>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186,520</w:t>
            </w:r>
          </w:p>
        </w:tc>
        <w:tc>
          <w:tcPr>
            <w:tcW w:w="3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178,898</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9"/>
        </w:trPr>
        <w:tc>
          <w:tcPr>
            <w:tcW w:w="692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80"/>
          </w:cols>
          <w:pgMar w:left="1420" w:top="108" w:right="129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ind w:right="140"/>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jc w:val="center"/>
        <w:ind w:right="140"/>
        <w:spacing w:after="0" w:line="204" w:lineRule="auto"/>
        <w:rPr>
          <w:sz w:val="20"/>
          <w:szCs w:val="20"/>
          <w:color w:val="auto"/>
        </w:rPr>
      </w:pPr>
      <w:r>
        <w:rPr>
          <w:rFonts w:ascii="Times New Roman" w:cs="Times New Roman" w:eastAsia="Times New Roman" w:hAnsi="Times New Roman"/>
          <w:sz w:val="18"/>
          <w:szCs w:val="18"/>
          <w:b w:val="1"/>
          <w:bCs w:val="1"/>
          <w:color w:val="auto"/>
        </w:rPr>
        <w:t>(in thousands, except per share data)</w:t>
      </w:r>
    </w:p>
    <w:p>
      <w:pPr>
        <w:jc w:val="center"/>
        <w:ind w:right="1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2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5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524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73"/>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52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(12,980)</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524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Other comprehensive income (loss):</w:t>
            </w:r>
          </w:p>
        </w:tc>
        <w:tc>
          <w:tcPr>
            <w:tcW w:w="1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8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Unrealized gain on investments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(34,343)</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3"/>
        </w:trPr>
        <w:tc>
          <w:tcPr>
            <w:tcW w:w="5240" w:type="dxa"/>
            <w:vAlign w:val="bottom"/>
            <w:tcBorders>
              <w:top w:val="single" w:sz="8" w:color="CCEEFF"/>
            </w:tcBorders>
          </w:tcPr>
          <w:p>
            <w:pPr>
              <w:spacing w:after="0" w:line="163" w:lineRule="exact"/>
              <w:rPr>
                <w:sz w:val="20"/>
                <w:szCs w:val="20"/>
                <w:color w:val="auto"/>
              </w:rPr>
            </w:pPr>
            <w:r>
              <w:rPr>
                <w:rFonts w:ascii="Times New Roman" w:cs="Times New Roman" w:eastAsia="Times New Roman" w:hAnsi="Times New Roman"/>
                <w:sz w:val="18"/>
                <w:szCs w:val="18"/>
                <w:color w:val="auto"/>
              </w:rPr>
              <w:t>Reconciliation of net loss applicable to common stockholders:</w:t>
            </w:r>
          </w:p>
        </w:tc>
        <w:tc>
          <w:tcPr>
            <w:tcW w:w="12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CCEEFF"/>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Borders>
              <w:top w:val="single" w:sz="8" w:color="CCEEFF"/>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40" w:type="dxa"/>
            <w:vAlign w:val="bottom"/>
            <w:tcBorders>
              <w:top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(12,980)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Convertible preferred stock dividends</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applicable to common stockholders</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(18,894)</w:t>
            </w:r>
          </w:p>
        </w:tc>
        <w:tc>
          <w:tcPr>
            <w:tcW w:w="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(13,863)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Borders>
              <w:top w:val="single" w:sz="8" w:color="CCEEFF"/>
            </w:tcBorders>
            <w:vMerge w:val="restart"/>
          </w:tcPr>
          <w:p>
            <w:pPr>
              <w:spacing w:after="0" w:line="142" w:lineRule="exact"/>
              <w:rPr>
                <w:sz w:val="20"/>
                <w:szCs w:val="20"/>
                <w:color w:val="auto"/>
              </w:rPr>
            </w:pPr>
            <w:r>
              <w:rPr>
                <w:rFonts w:ascii="Times New Roman" w:cs="Times New Roman" w:eastAsia="Times New Roman" w:hAnsi="Times New Roman"/>
                <w:sz w:val="16"/>
                <w:szCs w:val="16"/>
                <w:color w:val="auto"/>
              </w:rPr>
              <w:t>Net loss per share applicable to common stockholders — basic and</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5240" w:type="dxa"/>
            <w:vAlign w:val="bottom"/>
            <w:vMerge w:val="continue"/>
          </w:tcPr>
          <w:p>
            <w:pPr>
              <w:spacing w:after="0"/>
              <w:rPr>
                <w:sz w:val="10"/>
                <w:szCs w:val="10"/>
                <w:color w:val="auto"/>
              </w:rPr>
            </w:pPr>
          </w:p>
        </w:tc>
        <w:tc>
          <w:tcPr>
            <w:tcW w:w="120" w:type="dxa"/>
            <w:vAlign w:val="bottom"/>
            <w:vMerge w:val="restart"/>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70)</w:t>
            </w:r>
          </w:p>
        </w:tc>
        <w:tc>
          <w:tcPr>
            <w:tcW w:w="3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w:t>
            </w:r>
            <w:r>
              <w:rPr>
                <w:rFonts w:ascii="Times New Roman" w:cs="Times New Roman" w:eastAsia="Times New Roman" w:hAnsi="Times New Roman"/>
                <w:sz w:val="18"/>
                <w:szCs w:val="18"/>
                <w:u w:val="single" w:color="auto"/>
                <w:color w:val="auto"/>
              </w:rPr>
              <w:t>81)</w:t>
            </w:r>
          </w:p>
        </w:tc>
        <w:tc>
          <w:tcPr>
            <w:tcW w:w="2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8"/>
                <w:szCs w:val="18"/>
                <w:u w:val="single" w:color="auto"/>
                <w:color w:val="auto"/>
              </w:rPr>
              <w:t>27)</w:t>
            </w:r>
          </w:p>
        </w:tc>
        <w:tc>
          <w:tcPr>
            <w:tcW w:w="3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u w:val="single" w:color="auto"/>
                <w:color w:val="auto"/>
              </w:rPr>
              <w:t>94)</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24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vMerge w:val="continue"/>
          </w:tcPr>
          <w:p>
            <w:pPr>
              <w:spacing w:after="0"/>
              <w:rPr>
                <w:sz w:val="17"/>
                <w:szCs w:val="17"/>
                <w:color w:val="auto"/>
              </w:rPr>
            </w:pPr>
          </w:p>
        </w:tc>
        <w:tc>
          <w:tcPr>
            <w:tcW w:w="16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620" w:type="dxa"/>
            <w:vAlign w:val="bottom"/>
            <w:vMerge w:val="continue"/>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240" w:type="dxa"/>
            <w:vAlign w:val="bottom"/>
            <w:tcBorders>
              <w:top w:val="single" w:sz="8" w:color="CCEEFF"/>
            </w:tcBorders>
            <w:shd w:val="clear" w:color="auto" w:fill="CCEEFF"/>
          </w:tcPr>
          <w:p>
            <w:pPr>
              <w:spacing w:after="0" w:line="135" w:lineRule="exact"/>
              <w:rPr>
                <w:sz w:val="20"/>
                <w:szCs w:val="20"/>
                <w:color w:val="auto"/>
              </w:rPr>
            </w:pPr>
            <w:r>
              <w:rPr>
                <w:rFonts w:ascii="Times New Roman" w:cs="Times New Roman" w:eastAsia="Times New Roman" w:hAnsi="Times New Roman"/>
                <w:sz w:val="15"/>
                <w:szCs w:val="15"/>
                <w:color w:val="auto"/>
              </w:rPr>
              <w:t>Weighted-average number of common shares used in net loss per share</w:t>
            </w:r>
          </w:p>
        </w:tc>
        <w:tc>
          <w:tcPr>
            <w:tcW w:w="1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27,170</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6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17,093</w:t>
            </w:r>
          </w:p>
        </w:tc>
        <w:tc>
          <w:tcPr>
            <w:tcW w:w="1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27,129</w:t>
            </w: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9,430</w:t>
            </w:r>
          </w:p>
        </w:tc>
        <w:tc>
          <w:tcPr>
            <w:tcW w:w="14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5240" w:type="dxa"/>
            <w:vAlign w:val="bottom"/>
            <w:tcBorders>
              <w:bottom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applicable to common stockholders — basic and diluted</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200"/>
          </w:cols>
          <w:pgMar w:left="1420" w:top="108" w:right="127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line="204" w:lineRule="auto"/>
        <w:rPr>
          <w:sz w:val="20"/>
          <w:szCs w:val="20"/>
          <w:color w:val="auto"/>
        </w:rPr>
      </w:pPr>
      <w:r>
        <w:rPr>
          <w:rFonts w:ascii="Times New Roman" w:cs="Times New Roman" w:eastAsia="Times New Roman" w:hAnsi="Times New Roman"/>
          <w:sz w:val="18"/>
          <w:szCs w:val="18"/>
          <w:b w:val="1"/>
          <w:bCs w:val="1"/>
          <w:color w:val="auto"/>
        </w:rPr>
        <w:t>(in thousands)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6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2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60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56"/>
        </w:trPr>
        <w:tc>
          <w:tcPr>
            <w:tcW w:w="6060" w:type="dxa"/>
            <w:vAlign w:val="bottom"/>
            <w:tcBorders>
              <w:bottom w:val="single" w:sz="8" w:color="CCEEFF"/>
            </w:tcBorders>
          </w:tcPr>
          <w:p>
            <w:pPr>
              <w:spacing w:after="0"/>
              <w:rPr>
                <w:sz w:val="13"/>
                <w:szCs w:val="13"/>
                <w:color w:val="auto"/>
              </w:rPr>
            </w:pPr>
          </w:p>
        </w:tc>
        <w:tc>
          <w:tcPr>
            <w:tcW w:w="8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32"/>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191"/>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00" w:type="dxa"/>
            <w:vAlign w:val="bottom"/>
            <w:tcBorders>
              <w:bottom w:val="single" w:sz="8" w:color="CCEEFF"/>
            </w:tcBorders>
          </w:tcPr>
          <w:p>
            <w:pPr>
              <w:spacing w:after="0"/>
              <w:rPr>
                <w:sz w:val="13"/>
                <w:szCs w:val="13"/>
                <w:color w:val="auto"/>
              </w:rPr>
            </w:pPr>
          </w:p>
        </w:tc>
      </w:tr>
      <w:tr>
        <w:trPr>
          <w:trHeight w:val="169"/>
        </w:trPr>
        <w:tc>
          <w:tcPr>
            <w:tcW w:w="6060" w:type="dxa"/>
            <w:vAlign w:val="bottom"/>
            <w:shd w:val="clear" w:color="auto" w:fill="CCEEFF"/>
          </w:tcPr>
          <w:p>
            <w:pPr>
              <w:spacing w:after="0" w:line="170" w:lineRule="exact"/>
              <w:rPr>
                <w:sz w:val="20"/>
                <w:szCs w:val="20"/>
                <w:color w:val="auto"/>
              </w:rPr>
            </w:pPr>
            <w:r>
              <w:rPr>
                <w:rFonts w:ascii="Times New Roman" w:cs="Times New Roman" w:eastAsia="Times New Roman" w:hAnsi="Times New Roman"/>
                <w:sz w:val="18"/>
                <w:szCs w:val="18"/>
                <w:b w:val="1"/>
                <w:bCs w:val="1"/>
                <w:color w:val="auto"/>
              </w:rPr>
              <w:t>Operating activities</w:t>
            </w:r>
          </w:p>
        </w:tc>
        <w:tc>
          <w:tcPr>
            <w:tcW w:w="8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(34,398)</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(24,552)</w:t>
            </w:r>
          </w:p>
        </w:tc>
        <w:tc>
          <w:tcPr>
            <w:tcW w:w="200" w:type="dxa"/>
            <w:vAlign w:val="bottom"/>
          </w:tcPr>
          <w:p>
            <w:pPr>
              <w:spacing w:after="0"/>
              <w:rPr>
                <w:sz w:val="18"/>
                <w:szCs w:val="18"/>
                <w:color w:val="auto"/>
              </w:rPr>
            </w:pPr>
          </w:p>
        </w:tc>
      </w:tr>
      <w:tr>
        <w:trPr>
          <w:trHeight w:val="176"/>
        </w:trPr>
        <w:tc>
          <w:tcPr>
            <w:tcW w:w="60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Change in fair value of warrant liability</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3,014</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Accretion of premiums and discounts on investments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606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Changes in assets and liabilities:</w:t>
            </w:r>
          </w:p>
        </w:tc>
        <w:tc>
          <w:tcPr>
            <w:tcW w:w="8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(1,923)</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 assets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Accrued expenses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revenue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Deferred rent</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Borders>
              <w:bottom w:val="single" w:sz="8" w:color="CCEEFF"/>
            </w:tcBorders>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00" w:type="dxa"/>
            <w:vAlign w:val="bottom"/>
            <w:shd w:val="clear" w:color="auto" w:fill="CCEEFF"/>
          </w:tcPr>
          <w:p>
            <w:pPr>
              <w:spacing w:after="0"/>
              <w:rPr>
                <w:sz w:val="18"/>
                <w:szCs w:val="18"/>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Investing activities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 of investments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investments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(64,917)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00" w:type="dxa"/>
            <w:vAlign w:val="bottom"/>
            <w:tcBorders>
              <w:top w:val="single" w:sz="8" w:color="CCEEFF"/>
            </w:tcBorders>
            <w:shd w:val="clear" w:color="auto" w:fill="CCEEFF"/>
          </w:tcPr>
          <w:p>
            <w:pPr>
              <w:spacing w:after="0"/>
              <w:rPr>
                <w:sz w:val="18"/>
                <w:szCs w:val="18"/>
                <w:color w:val="auto"/>
              </w:rPr>
            </w:pPr>
          </w:p>
        </w:tc>
      </w:tr>
      <w:tr>
        <w:trPr>
          <w:trHeight w:val="176"/>
        </w:trPr>
        <w:tc>
          <w:tcPr>
            <w:tcW w:w="606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Financing activities</w:t>
            </w: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on loan payable</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IPO, net of commissions and underwriting discounts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156,815</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of offering costs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repurchases</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00" w:type="dxa"/>
            <w:vAlign w:val="bottom"/>
            <w:tcBorders>
              <w:bottom w:val="single" w:sz="8" w:color="CCEEFF"/>
            </w:tcBorders>
          </w:tcPr>
          <w:p>
            <w:pPr>
              <w:spacing w:after="0"/>
              <w:rPr>
                <w:sz w:val="18"/>
                <w:szCs w:val="18"/>
                <w:color w:val="auto"/>
              </w:rPr>
            </w:pPr>
          </w:p>
        </w:tc>
      </w:tr>
      <w:tr>
        <w:trPr>
          <w:trHeight w:val="210"/>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154,085</w:t>
            </w:r>
          </w:p>
        </w:tc>
        <w:tc>
          <w:tcPr>
            <w:tcW w:w="200" w:type="dxa"/>
            <w:vAlign w:val="bottom"/>
            <w:shd w:val="clear" w:color="auto" w:fill="CCEEFF"/>
          </w:tcPr>
          <w:p>
            <w:pPr>
              <w:spacing w:after="0"/>
              <w:rPr>
                <w:sz w:val="18"/>
                <w:szCs w:val="18"/>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146,347</w:t>
            </w:r>
          </w:p>
        </w:tc>
        <w:tc>
          <w:tcPr>
            <w:tcW w:w="200" w:type="dxa"/>
            <w:vAlign w:val="bottom"/>
          </w:tcPr>
          <w:p>
            <w:pPr>
              <w:spacing w:after="0"/>
              <w:rPr>
                <w:sz w:val="18"/>
                <w:szCs w:val="18"/>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8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162,707</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47,240</w:t>
            </w:r>
          </w:p>
        </w:tc>
        <w:tc>
          <w:tcPr>
            <w:tcW w:w="200" w:type="dxa"/>
            <w:vAlign w:val="bottom"/>
            <w:shd w:val="clear" w:color="auto" w:fill="CCEEFF"/>
          </w:tcPr>
          <w:p>
            <w:pPr>
              <w:spacing w:after="0"/>
              <w:rPr>
                <w:sz w:val="18"/>
                <w:szCs w:val="18"/>
                <w:color w:val="auto"/>
              </w:rPr>
            </w:pPr>
          </w:p>
        </w:tc>
      </w:tr>
      <w:tr>
        <w:trPr>
          <w:trHeight w:val="217"/>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109,386</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193,587</w:t>
            </w:r>
          </w:p>
        </w:tc>
        <w:tc>
          <w:tcPr>
            <w:tcW w:w="200" w:type="dxa"/>
            <w:vAlign w:val="bottom"/>
          </w:tcPr>
          <w:p>
            <w:pPr>
              <w:spacing w:after="0"/>
              <w:rPr>
                <w:sz w:val="18"/>
                <w:szCs w:val="18"/>
                <w:color w:val="auto"/>
              </w:rPr>
            </w:pPr>
          </w:p>
        </w:tc>
      </w:tr>
      <w:tr>
        <w:trPr>
          <w:trHeight w:val="176"/>
        </w:trPr>
        <w:tc>
          <w:tcPr>
            <w:tcW w:w="6060" w:type="dxa"/>
            <w:vAlign w:val="bottom"/>
            <w:tcBorders>
              <w:top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8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00" w:type="dxa"/>
            <w:vAlign w:val="bottom"/>
          </w:tcPr>
          <w:p>
            <w:pPr>
              <w:spacing w:after="0"/>
              <w:rPr>
                <w:sz w:val="18"/>
                <w:szCs w:val="18"/>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purchases incurred but unpaid at period end</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CEEFF"/>
          </w:tcPr>
          <w:p>
            <w:pPr>
              <w:spacing w:after="0"/>
              <w:rPr>
                <w:sz w:val="18"/>
                <w:szCs w:val="18"/>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Conversion of convertible preferred stock into common stock</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114,808</w:t>
            </w:r>
          </w:p>
        </w:tc>
        <w:tc>
          <w:tcPr>
            <w:tcW w:w="200" w:type="dxa"/>
            <w:vAlign w:val="bottom"/>
          </w:tcPr>
          <w:p>
            <w:pPr>
              <w:spacing w:after="0"/>
              <w:rPr>
                <w:sz w:val="18"/>
                <w:szCs w:val="18"/>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16"/>
        </w:trPr>
        <w:tc>
          <w:tcPr>
            <w:tcW w:w="6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Reclassification of warrant liability to additional paid-in-capital</w:t>
            </w:r>
          </w:p>
        </w:tc>
        <w:tc>
          <w:tcPr>
            <w:tcW w:w="9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w:t>
            </w:r>
          </w:p>
        </w:tc>
        <w:tc>
          <w:tcPr>
            <w:tcW w:w="200" w:type="dxa"/>
            <w:vAlign w:val="bottom"/>
            <w:shd w:val="clear" w:color="auto" w:fill="CCEEFF"/>
          </w:tcPr>
          <w:p>
            <w:pPr>
              <w:spacing w:after="0"/>
              <w:rPr>
                <w:sz w:val="18"/>
                <w:szCs w:val="18"/>
                <w:color w:val="auto"/>
              </w:rPr>
            </w:pPr>
          </w:p>
        </w:tc>
      </w:tr>
      <w:tr>
        <w:trPr>
          <w:trHeight w:val="27"/>
        </w:trPr>
        <w:tc>
          <w:tcPr>
            <w:tcW w:w="60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r>
      <w:tr>
        <w:trPr>
          <w:trHeight w:val="223"/>
        </w:trPr>
        <w:tc>
          <w:tcPr>
            <w:tcW w:w="6060" w:type="dxa"/>
            <w:vAlign w:val="bottom"/>
          </w:tcPr>
          <w:p>
            <w:pPr>
              <w:spacing w:after="0"/>
              <w:rPr>
                <w:sz w:val="20"/>
                <w:szCs w:val="20"/>
                <w:color w:val="auto"/>
              </w:rPr>
            </w:pPr>
            <w:r>
              <w:rPr>
                <w:rFonts w:ascii="Times New Roman" w:cs="Times New Roman" w:eastAsia="Times New Roman" w:hAnsi="Times New Roman"/>
                <w:sz w:val="18"/>
                <w:szCs w:val="18"/>
                <w:color w:val="auto"/>
              </w:rPr>
              <w:t>Public offering costs incurred but unpaid at period end</w:t>
            </w:r>
          </w:p>
        </w:tc>
        <w:tc>
          <w:tcPr>
            <w:tcW w:w="9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19"/>
                <w:szCs w:val="19"/>
                <w:color w:val="auto"/>
              </w:rPr>
            </w:pPr>
          </w:p>
        </w:tc>
      </w:tr>
      <w:tr>
        <w:trPr>
          <w:trHeight w:val="176"/>
        </w:trPr>
        <w:tc>
          <w:tcPr>
            <w:tcW w:w="606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r>
      <w:tr>
        <w:trPr>
          <w:trHeight w:val="918"/>
        </w:trPr>
        <w:tc>
          <w:tcPr>
            <w:tcW w:w="6060" w:type="dxa"/>
            <w:vAlign w:val="bottom"/>
          </w:tcPr>
          <w:p>
            <w:pPr>
              <w:ind w:left="4480"/>
              <w:spacing w:after="0"/>
              <w:rPr>
                <w:sz w:val="20"/>
                <w:szCs w:val="20"/>
                <w:color w:val="auto"/>
              </w:rPr>
            </w:pPr>
            <w:r>
              <w:rPr>
                <w:rFonts w:ascii="Times New Roman" w:cs="Times New Roman" w:eastAsia="Times New Roman" w:hAnsi="Times New Roman"/>
                <w:sz w:val="18"/>
                <w:szCs w:val="18"/>
                <w:color w:val="auto"/>
              </w:rPr>
              <w:t>7</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102"/>
        </w:trPr>
        <w:tc>
          <w:tcPr>
            <w:tcW w:w="606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108" w:right="141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jc w:val="center"/>
        <w:spacing w:after="0" w:line="203"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Business</w:t>
      </w:r>
    </w:p>
    <w:p>
      <w:pPr>
        <w:spacing w:after="0" w:line="189" w:lineRule="exact"/>
        <w:rPr>
          <w:sz w:val="20"/>
          <w:szCs w:val="20"/>
          <w:color w:val="auto"/>
        </w:rPr>
      </w:pPr>
    </w:p>
    <w:p>
      <w:pPr>
        <w:ind w:right="180" w:firstLine="648"/>
        <w:spacing w:after="0" w:line="217" w:lineRule="auto"/>
        <w:rPr>
          <w:sz w:val="20"/>
          <w:szCs w:val="20"/>
          <w:color w:val="auto"/>
        </w:rPr>
      </w:pPr>
      <w:r>
        <w:rPr>
          <w:rFonts w:ascii="Times New Roman" w:cs="Times New Roman" w:eastAsia="Times New Roman" w:hAnsi="Times New Roman"/>
          <w:sz w:val="18"/>
          <w:szCs w:val="18"/>
          <w:color w:val="auto"/>
        </w:rPr>
        <w:t>Blueprint Medicines Corporation (the Company), a Delaware corporation incorporated on October 14, 2008, is a biopharmaceutical company focused on improving the lives of patients with genomically defined diseases driven by abnormal kinase activation. The Company’s approach is to systematically and reproducibly identify kinases that are drivers of diseases in genomically defined patient populations and to craft drug candidates with therapeutic windows that may provide significant and durable clinical response to patients without adequate treatment options.</w:t>
      </w:r>
    </w:p>
    <w:p>
      <w:pPr>
        <w:spacing w:after="0" w:line="158"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Company is devoting substantially all of its efforts to research and development, initial market development, and raising capital. The Company is subject to a number of risks similar to those of other early stage companies, including dependence on key individuals; establishing safety and efficacy in clinical trials for its drug candidates; the need to develop commercially viable drug candidates; competition from other companies, many of which are larger and better capitalized; and the need to obtain adequate additional financing to fund the development of its drug candidates. If the Company is unable to raise capital when needed or on attractive terms, it would be forced to delay, reduce, eliminate or out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certain of its research and development programs or future commercialization efforts.</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On May 5, 2015, the Company completed an initial public offering (IPO) of its common stock, which resulted in the sale of 9,367,708 shares of its common stock, including 1,221,874 shares of common stock sold by the Company pursuant to the exercise in full by the underwriters of their option to purchase additional shares in connection with the offering, at a price to the public of $18.00 per share. The Company received net proceeds of $154.8 million after deducting underwriting discounts and commissions and offering costs paid by the Company.</w:t>
      </w:r>
    </w:p>
    <w:p>
      <w:pPr>
        <w:spacing w:after="0" w:line="154" w:lineRule="exact"/>
        <w:rPr>
          <w:sz w:val="20"/>
          <w:szCs w:val="20"/>
          <w:color w:val="auto"/>
        </w:rPr>
      </w:pPr>
    </w:p>
    <w:p>
      <w:pPr>
        <w:ind w:right="234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2. Summary of Significant Accounting Policies and Recent Accounting Pronouncements </w:t>
      </w:r>
      <w:r>
        <w:rPr>
          <w:rFonts w:ascii="Times New Roman" w:cs="Times New Roman" w:eastAsia="Times New Roman" w:hAnsi="Times New Roman"/>
          <w:sz w:val="18"/>
          <w:szCs w:val="18"/>
          <w:b w:val="1"/>
          <w:bCs w:val="1"/>
          <w:i w:val="1"/>
          <w:iCs w:val="1"/>
          <w:color w:val="auto"/>
        </w:rPr>
        <w:t>Basis of Presentation</w:t>
      </w:r>
    </w:p>
    <w:p>
      <w:pPr>
        <w:spacing w:after="0" w:line="1" w:lineRule="exact"/>
        <w:rPr>
          <w:sz w:val="20"/>
          <w:szCs w:val="20"/>
          <w:color w:val="auto"/>
        </w:rPr>
      </w:pPr>
    </w:p>
    <w:p>
      <w:pPr>
        <w:ind w:right="100" w:firstLine="648"/>
        <w:spacing w:after="0" w:line="212"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of the Company included herein have been prepared in accordance with accounting principles generally accepted in the United States (GAAP) as found in the Accounting Standards Codification (ASC), Accounting Standards Update (ASU) of the Financial Accounting Standards Board (FASB) and the rules and regulations of the SEC. Certain information and footnote disclosures normally included in financial statements prepared in accordance with GAAP have been condensed or omitted from this report, as is permitted by such rules and regulations. Accordingly, these financial statements should be read in conjunction with the financial statements as of and for the year ended December 31, 2015 and notes thereto included in the Company’s Annual Report on Form 10-K for the year ended December 31, 2015, filed with the Securities and Exchange Commission on March 11, 2016.</w:t>
      </w:r>
    </w:p>
    <w:p>
      <w:pPr>
        <w:spacing w:after="0" w:line="158"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The unaudited interim condensed consolidated financial statements have been prepared on the same basis as the audited financial statements and include the accounts of the Company and its wholly owned subsidiary, Blueprint Medicines Security Corporation, which is a Massachusetts subsidiary created to buy, sell, and hold securities. All intercompany transactions and balances have been eliminated. In the opinion of the Company’s management, the accompanying unaudited interim condensed consolidated financial statements contain all adjustments which are necessary to present fairly the Company’s financial position as of June 30, 2016 and the results of its operations for the three and six months ended June 30, 2016 and 2015 and cash flows for the six months ended June 30, 2016 and 2015. Such adjustments are of a normal and recurring nature. The results for the three and six months ended June 30, 2016 are not necessarily indicative of the results for the year ending December 31, 2016, or for any future period.</w:t>
      </w:r>
    </w:p>
    <w:p>
      <w:pPr>
        <w:spacing w:after="0" w:line="130" w:lineRule="exact"/>
        <w:rPr>
          <w:sz w:val="20"/>
          <w:szCs w:val="20"/>
          <w:color w:val="auto"/>
        </w:rPr>
      </w:pPr>
    </w:p>
    <w:p>
      <w:pPr>
        <w:ind w:right="160" w:firstLine="648"/>
        <w:spacing w:after="0" w:line="190" w:lineRule="exact"/>
        <w:rPr>
          <w:sz w:val="20"/>
          <w:szCs w:val="20"/>
          <w:color w:val="auto"/>
        </w:rPr>
      </w:pPr>
      <w:r>
        <w:rPr>
          <w:rFonts w:ascii="Times New Roman" w:cs="Times New Roman" w:eastAsia="Times New Roman" w:hAnsi="Times New Roman"/>
          <w:sz w:val="18"/>
          <w:szCs w:val="18"/>
          <w:color w:val="auto"/>
        </w:rPr>
        <w:t>In connection with preparing for its IPO, the Company effected a 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for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 reverse stock split of the Company’s common stock. The reverse stock split became effective on April 10, 2015. All share and per share amounts in the financial statements and notes thereto have been retroactively adjusted for all periods presented to give effect to this reverse stock split, including reclassifying an amount equal to the reduction in par value of common stock to additional paid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capital. Upon the closing of the IPO in May 2015, all of the Company’s outstanding convertible preferred stock automatically converted into 15,467,479 shares of common stock, and warrants exercisable for convertible preferred</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226" w:lineRule="auto"/>
        <w:rPr>
          <w:sz w:val="20"/>
          <w:szCs w:val="20"/>
          <w:color w:val="auto"/>
        </w:rPr>
      </w:pPr>
      <w:r>
        <w:rPr>
          <w:rFonts w:ascii="Times New Roman" w:cs="Times New Roman" w:eastAsia="Times New Roman" w:hAnsi="Times New Roman"/>
          <w:sz w:val="18"/>
          <w:szCs w:val="18"/>
          <w:color w:val="auto"/>
        </w:rPr>
        <w:t>stock automatically converted into warrants exercisable for 42,423 shares of common stock. The significant increase in shares outstanding in the three and six months ended June 30, 2016 impacted the year-over-year comparability of the Company’s net loss per share calculations through the second quarter of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89" w:lineRule="exact"/>
        <w:rPr>
          <w:sz w:val="20"/>
          <w:szCs w:val="20"/>
          <w:color w:val="auto"/>
        </w:rPr>
      </w:pPr>
    </w:p>
    <w:p>
      <w:pPr>
        <w:ind w:right="120" w:firstLine="648"/>
        <w:spacing w:after="0" w:line="182" w:lineRule="exact"/>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the Company’s management to make estimates and assumptions that affect the amounts reported in the financial statements and accompanying notes. Actual results could differ from those estimates. Management considers many factors in selecting appropriate financial accounting policies and in developing the estimates and assumptions that are used in the preparation of the financial statements. Management must apply significant judgment in this process. Management’s estimation process often may yield a range of potentially reasonable estimates and management must select an amount that falls within that range of reasonable estimates. Estimates are used in the following areas, among others: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including estimating the fair value of the Company’s common stock prior to the IPO; revenue recognition; the valuation of liability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classified warrants prior to the IPO; accrued expenses; and income taxes.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Accounting Policies</w:t>
      </w:r>
    </w:p>
    <w:p>
      <w:pPr>
        <w:spacing w:after="0" w:line="189"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The Company’s critical accounting policies are those policies that require the most significant judgments and estimates in the preparation of our financial statements. Management has determined that the Company’s most critical accounting policies are those relating to revenue recognition, accrued research and development expenses, available-for-sale investments and stock-based compensation.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4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The Company classifies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the Company considers all available evidence to evaluate the extent to which the decline is “other-than-temporary” and, if so, mark the investment to market through a charge to the Company’s statement of operations and comprehensive loss.</w:t>
      </w:r>
    </w:p>
    <w:p>
      <w:pPr>
        <w:spacing w:after="0" w:line="120"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There have been no significant changes to the Company’s critical accounting policies discussed in its Annual Report on Form 10-K for the year ended December 31, 2015 related to revenue recognition, accrued research and development expenses and stock-based compensation.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8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(ASU 2014-09), which supersedes the revenue recognition requirements in ASC 605-25, </w:t>
      </w:r>
      <w:r>
        <w:rPr>
          <w:rFonts w:ascii="Times New Roman" w:cs="Times New Roman" w:eastAsia="Times New Roman" w:hAnsi="Times New Roman"/>
          <w:sz w:val="18"/>
          <w:szCs w:val="18"/>
          <w:i w:val="1"/>
          <w:iCs w:val="1"/>
          <w:color w:val="auto"/>
        </w:rPr>
        <w:t>Multiple-Element Arrangements</w:t>
      </w:r>
      <w:r>
        <w:rPr>
          <w:rFonts w:ascii="Times New Roman" w:cs="Times New Roman" w:eastAsia="Times New Roman" w:hAnsi="Times New Roman"/>
          <w:sz w:val="18"/>
          <w:szCs w:val="18"/>
          <w:color w:val="auto"/>
        </w:rPr>
        <w:t xml:space="preserve"> and most industry-specific guidance. The new standard requires that an entity recognize revenue to depict the transfer of promised goods or services to customers in an amount that reflects the consideration to which the company expects to be entitled in exchange for those goods or services. The update also requires additional disclosure about the nature, amount, timing and uncertainty of revenue and cash flows arising from customer contracts, including significant judgments and changes in judgments and assets recognized from costs incurred to obtain or fulfill a contract. This new guidance will be effective for annual reporting periods (including interim reporting periods within those years) beginning January 1, 2018. Early adoption in 2017 is permitted. Companies have the option of applying this new guidance retrospectively to each prior reporting period presented or retrospectively with the cumulative effect of initially applying this update recognized at the date of initial application. The Company is in the process of evaluating the new guidance and determining the expected effects of the adoption of this standard on its consolidated financial statements.</w:t>
      </w:r>
    </w:p>
    <w:p>
      <w:pPr>
        <w:spacing w:after="0" w:line="16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In August 2014, the FASB issued ASU No. 2014-15, </w:t>
      </w:r>
      <w:r>
        <w:rPr>
          <w:rFonts w:ascii="Times New Roman" w:cs="Times New Roman" w:eastAsia="Times New Roman" w:hAnsi="Times New Roman"/>
          <w:sz w:val="18"/>
          <w:szCs w:val="18"/>
          <w:i w:val="1"/>
          <w:iCs w:val="1"/>
          <w:color w:val="auto"/>
        </w:rPr>
        <w:t>Presentation of Financial Statements—Going Concern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(Subtopic 205-40): Disclosure of Uncertainties about an Entity’s Ability to Continue as a Going Concern. </w:t>
      </w:r>
      <w:r>
        <w:rPr>
          <w:rFonts w:ascii="Times New Roman" w:cs="Times New Roman" w:eastAsia="Times New Roman" w:hAnsi="Times New Roman"/>
          <w:sz w:val="18"/>
          <w:szCs w:val="18"/>
          <w:color w:val="auto"/>
        </w:rPr>
        <w:t>This new standard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intended to define management’s responsibility to evaluate whether there is substantial doubt about an entity’s ability to continue as a going concern within one year of the date of issuance of the entity’s financial statements and to provide related footnote disclosures. This new accounting guidance is effective for annual reporting periods ending after December 15, 2016, and for interim periods within annual periods beginning after December 15, 2016. Early adoption is permitted. The new accounting standard will impact the disclosure in the Company’s consolidated financial statements.</w:t>
      </w:r>
    </w:p>
    <w:p>
      <w:pPr>
        <w:spacing w:after="0" w:line="157"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2016-09,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xml:space="preserve">, which amends ASC Topic 718, </w:t>
      </w:r>
      <w:r>
        <w:rPr>
          <w:rFonts w:ascii="Times New Roman" w:cs="Times New Roman" w:eastAsia="Times New Roman" w:hAnsi="Times New Roman"/>
          <w:sz w:val="18"/>
          <w:szCs w:val="18"/>
          <w:i w:val="1"/>
          <w:iCs w:val="1"/>
          <w:color w:val="auto"/>
        </w:rPr>
        <w:t>Compensation – Stock Compensation</w:t>
      </w:r>
      <w:r>
        <w:rPr>
          <w:rFonts w:ascii="Times New Roman" w:cs="Times New Roman" w:eastAsia="Times New Roman" w:hAnsi="Times New Roman"/>
          <w:sz w:val="18"/>
          <w:szCs w:val="18"/>
          <w:color w:val="auto"/>
        </w:rPr>
        <w:t>. The new standard identifies areas for simplification involving several aspects of accounting for share-based payment transactions, including the income tax consequences, classification of awards as either equity or liabilities, an option to recognize gross stock compensation expense with actual forfeitures recognized as they occur, as well as certain classifications on the statement of cash flows. The amendments are effective for annual reporting periods (including interim reporting periods within those years) beginning after December 15, 2016. Early adoption is permitted. A company that elects early adoption must adopt all of the amendments in the same period. The Company is currently evaluating the potential impact that ASU 2016-09 may have on the Company’s consolidated financial statements</w:t>
      </w:r>
    </w:p>
    <w:p>
      <w:pPr>
        <w:spacing w:after="0" w:line="160"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In 2016, the FASB issued amended guidance applicable to leases that will be effective for annual reporting periods (including interim reporting periods within those years) beginning after December 15, 2018. Early adoption is permitted. This update requires a company to recognize assets and liabilities for leases with lease terms of more than 12 months on the balance sheet. The Company is in the process of evaluating the new guidance and determining the expected effect on the Company’s consolidated financial statements.</w:t>
      </w:r>
    </w:p>
    <w:p>
      <w:pPr>
        <w:spacing w:after="0" w:line="154" w:lineRule="exact"/>
        <w:rPr>
          <w:sz w:val="20"/>
          <w:szCs w:val="20"/>
          <w:color w:val="auto"/>
        </w:rPr>
      </w:pPr>
    </w:p>
    <w:p>
      <w:pPr>
        <w:ind w:left="180" w:hanging="177"/>
        <w:spacing w:after="0"/>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Cash Equivalents and Investments</w:t>
      </w:r>
    </w:p>
    <w:p>
      <w:pPr>
        <w:spacing w:after="0" w:line="121"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Cash equivalents are highly liquid investments that are readily convertible into cash with original maturities of three months or less when purchased. Investments consist of securities with original maturities greater than 90 days when purchased. The Company classifies these investments as available-for-sale and records them at fair value in the accompanying condensed consolidated balance sheets. Unrealized gains or losses are included in accumulated other comprehensive income (loss). Premiums or discounts from par value are amortized to investment income over the life of the underlying investment.</w:t>
      </w:r>
    </w:p>
    <w:p>
      <w:pPr>
        <w:spacing w:after="0" w:line="8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Cash equivalents and investments, available-for-sale, consisted of the following at June 30, 2016 and December 31, 2015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June 30, 2016</w:t>
            </w:r>
          </w:p>
        </w:tc>
        <w:tc>
          <w:tcPr>
            <w:tcW w:w="10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240" w:type="dxa"/>
            <w:vAlign w:val="bottom"/>
            <w:gridSpan w:val="2"/>
            <w:vMerge w:val="continue"/>
          </w:tcPr>
          <w:p>
            <w:pPr>
              <w:spacing w:after="0"/>
              <w:rPr>
                <w:sz w:val="15"/>
                <w:szCs w:val="15"/>
                <w:color w:val="auto"/>
              </w:rPr>
            </w:pP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3240" w:type="dxa"/>
            <w:vAlign w:val="bottom"/>
            <w:tcBorders>
              <w:top w:val="single" w:sz="8" w:color="CCEEFF"/>
            </w:tcBorders>
            <w:gridSpan w:val="2"/>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Cash equivalents:</w:t>
            </w: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109,386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109,386</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324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0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270 Days</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63,112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gridSpan w:val="2"/>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63,167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2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3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172,498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55</w:t>
            </w:r>
          </w:p>
        </w:tc>
        <w:tc>
          <w:tcPr>
            <w:tcW w:w="340" w:type="dxa"/>
            <w:vAlign w:val="bottom"/>
            <w:tcBorders>
              <w:top w:val="single" w:sz="8" w:color="CCEEFF"/>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CCEEFF"/>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172,553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December 31, 2015</w:t>
            </w:r>
          </w:p>
        </w:tc>
        <w:tc>
          <w:tcPr>
            <w:tcW w:w="10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gridSpan w:val="3"/>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3240" w:type="dxa"/>
            <w:vAlign w:val="bottom"/>
            <w:gridSpan w:val="2"/>
            <w:vMerge w:val="continue"/>
          </w:tcPr>
          <w:p>
            <w:pPr>
              <w:spacing w:after="0"/>
              <w:rPr>
                <w:sz w:val="15"/>
                <w:szCs w:val="15"/>
                <w:color w:val="auto"/>
              </w:rPr>
            </w:pPr>
          </w:p>
        </w:tc>
        <w:tc>
          <w:tcPr>
            <w:tcW w:w="10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Gain</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69"/>
        </w:trPr>
        <w:tc>
          <w:tcPr>
            <w:tcW w:w="3220" w:type="dxa"/>
            <w:vAlign w:val="bottom"/>
            <w:tcBorders>
              <w:top w:val="single" w:sz="8" w:color="CCEEFF"/>
            </w:tcBorders>
            <w:shd w:val="clear" w:color="auto" w:fill="CCEEFF"/>
          </w:tcPr>
          <w:p>
            <w:pPr>
              <w:spacing w:after="0" w:line="170" w:lineRule="exact"/>
              <w:rPr>
                <w:sz w:val="20"/>
                <w:szCs w:val="20"/>
                <w:color w:val="auto"/>
              </w:rPr>
            </w:pPr>
            <w:r>
              <w:rPr>
                <w:rFonts w:ascii="Times New Roman" w:cs="Times New Roman" w:eastAsia="Times New Roman" w:hAnsi="Times New Roman"/>
                <w:sz w:val="18"/>
                <w:szCs w:val="18"/>
                <w:color w:val="auto"/>
              </w:rPr>
              <w:t>Cash equivalents:</w:t>
            </w:r>
          </w:p>
        </w:tc>
        <w:tc>
          <w:tcPr>
            <w:tcW w:w="2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0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162,707</w:t>
            </w:r>
          </w:p>
        </w:tc>
        <w:tc>
          <w:tcPr>
            <w:tcW w:w="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21"/>
                <w:szCs w:val="21"/>
                <w:color w:val="auto"/>
              </w:rPr>
            </w:pPr>
          </w:p>
        </w:tc>
        <w:tc>
          <w:tcPr>
            <w:tcW w:w="7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162,707</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17"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Although available to be sold to meet operating needs or otherwise, securities are generally held through maturity. The cost of securities sold is determined based on the specific identification method for purposes of recording realized gains and losses. During the three and six months ended June 30, 2016, there were no realized gains or losses on sales of investments, and no investments were adjusted for other than temporary declines in fair value.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180" w:hanging="177"/>
        <w:spacing w:after="0"/>
        <w:tabs>
          <w:tab w:leader="none" w:pos="1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The fair value hierarchy prioritizes the inputs to valuation techniques used to measure fair value into three broad levels as follows:</w:t>
      </w:r>
    </w:p>
    <w:p>
      <w:pPr>
        <w:spacing w:after="0" w:line="77" w:lineRule="exact"/>
        <w:rPr>
          <w:sz w:val="20"/>
          <w:szCs w:val="20"/>
          <w:color w:val="auto"/>
        </w:rPr>
      </w:pPr>
    </w:p>
    <w:p>
      <w:pPr>
        <w:ind w:left="1060" w:hanging="85"/>
        <w:spacing w:after="0"/>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prices (unadjusted) in active markets for identical assets or liabilities.</w:t>
      </w:r>
    </w:p>
    <w:p>
      <w:pPr>
        <w:spacing w:after="0" w:line="117" w:lineRule="exact"/>
        <w:rPr>
          <w:rFonts w:ascii="Times New Roman" w:cs="Times New Roman" w:eastAsia="Times New Roman" w:hAnsi="Times New Roman"/>
          <w:sz w:val="18"/>
          <w:szCs w:val="18"/>
          <w:color w:val="auto"/>
        </w:rPr>
      </w:pPr>
    </w:p>
    <w:p>
      <w:pPr>
        <w:ind w:left="1060" w:right="180" w:hanging="85"/>
        <w:spacing w:after="0" w:line="237"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w:t>
      </w:r>
    </w:p>
    <w:p>
      <w:pPr>
        <w:spacing w:after="0" w:line="90" w:lineRule="exact"/>
        <w:rPr>
          <w:rFonts w:ascii="Times New Roman" w:cs="Times New Roman" w:eastAsia="Times New Roman" w:hAnsi="Times New Roman"/>
          <w:sz w:val="18"/>
          <w:szCs w:val="18"/>
          <w:color w:val="auto"/>
        </w:rPr>
      </w:pPr>
    </w:p>
    <w:p>
      <w:pPr>
        <w:ind w:left="1060" w:right="240" w:hanging="85"/>
        <w:spacing w:after="0" w:line="226" w:lineRule="auto"/>
        <w:tabs>
          <w:tab w:leader="none" w:pos="10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that reflect the Company’s own assumptions about the assumptions market participants would use in pricing the asset or liability. Financial assets and liabilities are classified in their entirety based on the lowest level of input that is significant to the fair value measurement.</w:t>
      </w:r>
    </w:p>
    <w:p>
      <w:pPr>
        <w:spacing w:after="0" w:line="91" w:lineRule="exact"/>
        <w:rPr>
          <w:sz w:val="20"/>
          <w:szCs w:val="20"/>
          <w:color w:val="auto"/>
        </w:rPr>
      </w:pPr>
    </w:p>
    <w:p>
      <w:pPr>
        <w:ind w:right="62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June 30, 2016 are classified below based on the fair value hierarchy described above:</w:t>
      </w: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5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gridSpan w:val="2"/>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5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5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5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$ 109,386</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$ 109,386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r>
        <w:trPr>
          <w:trHeight w:val="176"/>
        </w:trPr>
        <w:tc>
          <w:tcPr>
            <w:tcW w:w="52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Investments, available-for-sale:</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U.S Treasury obligations</w:t>
            </w:r>
          </w:p>
        </w:tc>
        <w:tc>
          <w:tcPr>
            <w:tcW w:w="28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63,167</w:t>
            </w:r>
          </w:p>
        </w:tc>
        <w:tc>
          <w:tcPr>
            <w:tcW w:w="280" w:type="dxa"/>
            <w:vAlign w:val="bottom"/>
            <w:gridSpan w:val="2"/>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r>
      <w:tr>
        <w:trPr>
          <w:trHeight w:val="21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172,553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172,553</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bl>
    <w:p>
      <w:pPr>
        <w:spacing w:after="0" w:line="292" w:lineRule="exact"/>
        <w:rPr>
          <w:sz w:val="20"/>
          <w:szCs w:val="20"/>
          <w:color w:val="auto"/>
        </w:rPr>
      </w:pPr>
    </w:p>
    <w:p>
      <w:pPr>
        <w:ind w:right="220" w:firstLine="648"/>
        <w:spacing w:after="0" w:line="237" w:lineRule="auto"/>
        <w:rPr>
          <w:sz w:val="20"/>
          <w:szCs w:val="20"/>
          <w:color w:val="auto"/>
        </w:rPr>
      </w:pPr>
      <w:r>
        <w:rPr>
          <w:rFonts w:ascii="Times New Roman" w:cs="Times New Roman" w:eastAsia="Times New Roman" w:hAnsi="Times New Roman"/>
          <w:sz w:val="18"/>
          <w:szCs w:val="18"/>
          <w:color w:val="auto"/>
        </w:rPr>
        <w:t>Financial instruments measured at fair value as of December 31, 2015 are classified below based on the fair value hierarchy described above:</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Active</w:t>
            </w:r>
          </w:p>
        </w:tc>
        <w:tc>
          <w:tcPr>
            <w:tcW w:w="160" w:type="dxa"/>
            <w:vAlign w:val="bottom"/>
          </w:tcPr>
          <w:p>
            <w:pPr>
              <w:spacing w:after="0"/>
              <w:rPr>
                <w:sz w:val="15"/>
                <w:szCs w:val="15"/>
                <w:color w:val="auto"/>
              </w:rPr>
            </w:pPr>
          </w:p>
        </w:tc>
        <w:tc>
          <w:tcPr>
            <w:tcW w:w="7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Observable</w:t>
            </w:r>
          </w:p>
        </w:tc>
        <w:tc>
          <w:tcPr>
            <w:tcW w:w="1080" w:type="dxa"/>
            <w:vAlign w:val="bottom"/>
            <w:gridSpan w:val="4"/>
          </w:tcPr>
          <w:p>
            <w:pPr>
              <w:jc w:val="center"/>
              <w:ind w:left="19"/>
              <w:spacing w:after="0"/>
              <w:rPr>
                <w:sz w:val="20"/>
                <w:szCs w:val="20"/>
                <w:color w:val="auto"/>
              </w:rPr>
            </w:pPr>
            <w:r>
              <w:rPr>
                <w:rFonts w:ascii="Times New Roman" w:cs="Times New Roman" w:eastAsia="Times New Roman" w:hAnsi="Times New Roman"/>
                <w:sz w:val="14"/>
                <w:szCs w:val="14"/>
                <w:b w:val="1"/>
                <w:bCs w:val="1"/>
                <w:color w:val="auto"/>
              </w:rPr>
              <w:t>Unobservable</w:t>
            </w:r>
          </w:p>
        </w:tc>
      </w:tr>
      <w:tr>
        <w:trPr>
          <w:trHeight w:val="176"/>
        </w:trPr>
        <w:tc>
          <w:tcPr>
            <w:tcW w:w="5120" w:type="dxa"/>
            <w:vAlign w:val="bottom"/>
          </w:tcPr>
          <w:p>
            <w:pPr>
              <w:spacing w:after="0"/>
              <w:rPr>
                <w:sz w:val="15"/>
                <w:szCs w:val="15"/>
                <w:color w:val="auto"/>
              </w:rPr>
            </w:pPr>
          </w:p>
        </w:tc>
        <w:tc>
          <w:tcPr>
            <w:tcW w:w="1020" w:type="dxa"/>
            <w:vAlign w:val="bottom"/>
            <w:gridSpan w:val="2"/>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Markets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Inputs</w:t>
            </w:r>
          </w:p>
        </w:tc>
      </w:tr>
      <w:tr>
        <w:trPr>
          <w:trHeight w:val="173"/>
        </w:trPr>
        <w:tc>
          <w:tcPr>
            <w:tcW w:w="5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gridSpan w:val="2"/>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2015</w:t>
            </w:r>
          </w:p>
        </w:tc>
        <w:tc>
          <w:tcPr>
            <w:tcW w:w="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69"/>
        </w:trPr>
        <w:tc>
          <w:tcPr>
            <w:tcW w:w="5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Financial Assets</w:t>
            </w:r>
          </w:p>
        </w:tc>
        <w:tc>
          <w:tcPr>
            <w:tcW w:w="16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r>
      <w:tr>
        <w:trPr>
          <w:trHeight w:val="176"/>
        </w:trPr>
        <w:tc>
          <w:tcPr>
            <w:tcW w:w="51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Cash equivalents:</w:t>
            </w: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Money market funds</w:t>
            </w:r>
          </w:p>
        </w:tc>
        <w:tc>
          <w:tcPr>
            <w:tcW w:w="1020" w:type="dxa"/>
            <w:vAlign w:val="bottom"/>
            <w:gridSpan w:val="2"/>
            <w:shd w:val="clear" w:color="auto" w:fill="CCEEFF"/>
          </w:tcPr>
          <w:p>
            <w:pPr>
              <w:jc w:val="center"/>
              <w:ind w:left="42"/>
              <w:spacing w:after="0"/>
              <w:rPr>
                <w:sz w:val="20"/>
                <w:szCs w:val="20"/>
                <w:color w:val="auto"/>
              </w:rPr>
            </w:pPr>
            <w:r>
              <w:rPr>
                <w:rFonts w:ascii="Times New Roman" w:cs="Times New Roman" w:eastAsia="Times New Roman" w:hAnsi="Times New Roman"/>
                <w:sz w:val="18"/>
                <w:szCs w:val="18"/>
                <w:color w:val="auto"/>
              </w:rPr>
              <w:t>$  162,707</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$ 162,707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r>
    </w:tbl>
    <w:p>
      <w:pPr>
        <w:spacing w:after="0" w:line="292" w:lineRule="exact"/>
        <w:rPr>
          <w:sz w:val="20"/>
          <w:szCs w:val="20"/>
          <w:color w:val="auto"/>
        </w:rPr>
      </w:pPr>
    </w:p>
    <w:p>
      <w:pPr>
        <w:ind w:right="120" w:firstLine="648"/>
        <w:spacing w:after="0" w:line="220" w:lineRule="auto"/>
        <w:rPr>
          <w:sz w:val="20"/>
          <w:szCs w:val="20"/>
          <w:color w:val="auto"/>
        </w:rPr>
      </w:pPr>
      <w:r>
        <w:rPr>
          <w:rFonts w:ascii="Times New Roman" w:cs="Times New Roman" w:eastAsia="Times New Roman" w:hAnsi="Times New Roman"/>
          <w:sz w:val="18"/>
          <w:szCs w:val="18"/>
          <w:color w:val="auto"/>
        </w:rPr>
        <w:t>The fair value of the Company’s term loan payable is determined using current applicable rates for similar instruments as of the balance sheet date. The carrying value of the Company’s term loan payable approximates fair value because the Company’s interest rate yield approximates current market rates. The Company’s term loan payable is a Level 3 liability within the fair value hierarchy.</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Restricted Cash</w:t>
      </w:r>
    </w:p>
    <w:p>
      <w:pPr>
        <w:spacing w:after="0" w:line="189"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At June 30, 2016 and December 31, 2015, $1.3 million and $1.4 million, respectively, of the Company’s cash is restricted by a bank. As of June 30, 2016, $1.3 million of restricted cash was included in long-term assets on the Company’s balance sheet related to a security deposit for the lease agreement for the Company’s corporate headquarters.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Collaborations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Roche</w:t>
      </w:r>
    </w:p>
    <w:p>
      <w:pPr>
        <w:spacing w:after="0" w:line="187" w:lineRule="exact"/>
        <w:rPr>
          <w:sz w:val="20"/>
          <w:szCs w:val="20"/>
          <w:color w:val="auto"/>
        </w:rPr>
      </w:pPr>
    </w:p>
    <w:p>
      <w:pPr>
        <w:ind w:right="260" w:firstLine="648"/>
        <w:spacing w:after="0" w:line="220" w:lineRule="auto"/>
        <w:rPr>
          <w:sz w:val="20"/>
          <w:szCs w:val="20"/>
          <w:color w:val="auto"/>
        </w:rPr>
      </w:pPr>
      <w:r>
        <w:rPr>
          <w:rFonts w:ascii="Times New Roman" w:cs="Times New Roman" w:eastAsia="Times New Roman" w:hAnsi="Times New Roman"/>
          <w:sz w:val="18"/>
          <w:szCs w:val="18"/>
          <w:color w:val="auto"/>
        </w:rPr>
        <w:t>In March 2016, the Company entered into a collaboration and license agreement (as amended, Roche agreement) with F. Hoffmann-La Roche Ltd and Hoffmann-La Roche Inc. (collectively, Roche) for the discovery, development and commercialization of up to five small molecule therapeutics targeting kinases believed to be important in cancer immunotherapy, as single products or possibly in combination with other therapeutics. The parties have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identified targets for three of the collaboration programs, two of which began in the first half of 2016 and the third of which is expected to begin in 2016, and the parties have agreed to work together to use the Company’s novel target discovery engine and proprietary compound library to select targets for up to two additional collaboration programs.</w:t>
      </w:r>
    </w:p>
    <w:p>
      <w:pPr>
        <w:spacing w:after="0" w:line="158"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Under the Roche agreement, Roche is granted up to five option rights to obtain an exclusive license to exploit products derived from the collaboration programs in the field of cancer immunotherapy. Such option rights are triggered upon the achievement of Phase 1 proof-of-concept. For up to three of the five collaboration programs, if Roche exercises its option, Roche will receive worldwide, exclusive commercialization rights for the licensed products. For up to two of the five collaboration programs, if Roche exercises its option, the Company will retain commercialization rights in the United States for the licensed products, and Roche will receive commercialization rights outside of the United States for the licensed products. The Company will also retain worldwide rights to any products for which Roche elects not to exercise its applicable option.</w:t>
      </w:r>
    </w:p>
    <w:p>
      <w:pPr>
        <w:spacing w:after="0" w:line="15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Prior to Roche’s exercise of an option, the Company will have the lead responsibility for drug discovery and pre-clinical development of all collaboration programs. In addition, the Company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the Company and Roche will share post-Phase 1 development costs for each licensed product for which the Company retains commercialization rights in the United States.</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Subject to the terms of the Roche agreement, the Company received an upfront cash payment of $45.0 million and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(pre-option exercise milestones). In addition, for any licensed product for which Roche retains worldwide commercialization rights, the Company will be eligible to receive tiered royalties ranging from low double-digits to high-teens on future net sales of the licensed product. For any licensed product for which the Company retains commercialization rights in the United States, the Company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0" w:lineRule="exact"/>
        <w:rPr>
          <w:sz w:val="20"/>
          <w:szCs w:val="20"/>
          <w:color w:val="auto"/>
        </w:rPr>
      </w:pPr>
    </w:p>
    <w:p>
      <w:pPr>
        <w:ind w:right="40" w:firstLine="648"/>
        <w:spacing w:after="0" w:line="222" w:lineRule="auto"/>
        <w:rPr>
          <w:sz w:val="20"/>
          <w:szCs w:val="20"/>
          <w:color w:val="auto"/>
        </w:rPr>
      </w:pPr>
      <w:r>
        <w:rPr>
          <w:rFonts w:ascii="Times New Roman" w:cs="Times New Roman" w:eastAsia="Times New Roman" w:hAnsi="Times New Roman"/>
          <w:sz w:val="17"/>
          <w:szCs w:val="17"/>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the Company.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 termination circumstances, the Company is entitled to retain specified licenses to be able to continue to exploit the licensed products.</w:t>
      </w:r>
    </w:p>
    <w:p>
      <w:pPr>
        <w:spacing w:after="0" w:line="164" w:lineRule="exact"/>
        <w:rPr>
          <w:sz w:val="20"/>
          <w:szCs w:val="20"/>
          <w:color w:val="auto"/>
        </w:rPr>
      </w:pPr>
    </w:p>
    <w:p>
      <w:pPr>
        <w:ind w:right="80" w:firstLine="648"/>
        <w:spacing w:after="0" w:line="223" w:lineRule="auto"/>
        <w:rPr>
          <w:sz w:val="20"/>
          <w:szCs w:val="20"/>
          <w:color w:val="auto"/>
        </w:rPr>
      </w:pPr>
      <w:r>
        <w:rPr>
          <w:rFonts w:ascii="Times New Roman" w:cs="Times New Roman" w:eastAsia="Times New Roman" w:hAnsi="Times New Roman"/>
          <w:sz w:val="17"/>
          <w:szCs w:val="17"/>
          <w:color w:val="auto"/>
        </w:rPr>
        <w:t>The Company determined that there were five deliverables under the Roche agreement: (i) a non-transferable, sub-licensable and non-exclusive license to use the Company’s intellectual property and collaboration compounds to conduct research activities;(ii) conducting research and development activities through Phase 1 clinical trials under the research plan;</w:t>
      </w:r>
    </w:p>
    <w:p>
      <w:pPr>
        <w:spacing w:after="0" w:line="2" w:lineRule="exact"/>
        <w:rPr>
          <w:sz w:val="20"/>
          <w:szCs w:val="20"/>
          <w:color w:val="auto"/>
        </w:rPr>
      </w:pPr>
    </w:p>
    <w:p>
      <w:pPr>
        <w:ind w:right="220" w:firstLine="3"/>
        <w:spacing w:after="0" w:line="226" w:lineRule="auto"/>
        <w:tabs>
          <w:tab w:leader="none" w:pos="3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pre-clinical and clinical supply of collaboration compounds; (iv) participation on a joint research committee (JRC) and joint development committee (JDC); and (v) regulatory responsibilities under Phase 1 clinical trials.</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The Company determined that the license did not have value to Roche on a stand-alone basis due to the specialized nature of the research activities to be provided by the Company that are not available in the marketplace and the fact that the license is to perform research and development only. Therefore, the license has limited value without the performance of the research and development activities and is not separable. The pre-clinical and clinical supply activities are integral to the performance of the research and development activities and can only be used for the performance of such activities, and the regulatory responsibilities are dependent on the research and development activities. The Company determined that the best estimate for the selling price of the JRC and JDC participation was inconsequential. Accordingly, the Company combined the license, pre-clinical and clinical supply, JRC and JDC participation and regulatory responsibilities deliverables with the research and development activities, the last item to be delivered in the arrangement, as one unit of accounting. The Company is recognizing the total allocable arrangement consideration consisting of the upfront payment of $45.0 million as revenue on a straight-line basis over the Company’s best estimate of the period it expects to perform research and development activities. The Company expects the services to be delivered ratably.</w:t>
      </w:r>
    </w:p>
    <w:p>
      <w:pPr>
        <w:spacing w:after="0" w:line="160"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7"/>
          <w:szCs w:val="17"/>
          <w:color w:val="auto"/>
        </w:rPr>
        <w:t>The Company evaluated whether the option fees that may be received in connection with the Roche agreement are substantive. The Company concluded that the option fees were substantive due to the uncertainty around whether the goals of the collaboration will be achieved, and therefore the options are not a deliverable in the current arrangement. If Roche elects to exercise the options, the exercises and related contingent deliverables would be accounted for as a separate arrangement.</w:t>
      </w:r>
    </w:p>
    <w:p>
      <w:pPr>
        <w:spacing w:after="0" w:line="159"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The Company evaluated whether the milestones that may be received in connection with the Roche agreement are substantive milestones. Pre-option exercise milestones that are expected to be achieved as a result of the Company's efforts during the performance of the research and development activities are considered substantive and are recognized as revenue upon the achievement of the milestone, assuming all other revenue recognition criteria are met. The development event milestones are not considered substantive because the Company does not contribute effort to the achievement of such milestones as they are expected to be achieved after the performance of the research and development activities. Consideration received with respect to these milestones will be added to the total arrangement consideration that has been allocated to the identified units of accounting. As a result, that amount is recognized as revenue ratably over the period starting from the effective date of the agreement to the date that the Company will complete all of its obligations, with a cumulative catch-up from the effective date through the date of achievement of the milestone. If the consideration is received after the completion of all of the Company’s obligations, the amount will be recognized as revenue immediately.</w:t>
      </w:r>
    </w:p>
    <w:p>
      <w:pPr>
        <w:spacing w:after="0" w:line="165" w:lineRule="exact"/>
        <w:rPr>
          <w:sz w:val="20"/>
          <w:szCs w:val="20"/>
          <w:color w:val="auto"/>
        </w:rPr>
      </w:pPr>
    </w:p>
    <w:p>
      <w:pPr>
        <w:jc w:val="both"/>
        <w:ind w:right="240" w:firstLine="648"/>
        <w:spacing w:after="0" w:line="263" w:lineRule="auto"/>
        <w:rPr>
          <w:sz w:val="20"/>
          <w:szCs w:val="20"/>
          <w:color w:val="auto"/>
        </w:rPr>
      </w:pPr>
      <w:r>
        <w:rPr>
          <w:rFonts w:ascii="Times New Roman" w:cs="Times New Roman" w:eastAsia="Times New Roman" w:hAnsi="Times New Roman"/>
          <w:sz w:val="17"/>
          <w:szCs w:val="17"/>
          <w:color w:val="auto"/>
        </w:rPr>
        <w:t>During the three months and six months ended June 30, 2016, the Company recognized revenue under the Roche agreement of $1.4 million and $1.6 million, respectively, which represents a portion of the $45.0 million upfront payment.</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Alexion</w:t>
      </w:r>
    </w:p>
    <w:p>
      <w:pPr>
        <w:spacing w:after="0" w:line="187" w:lineRule="exact"/>
        <w:rPr>
          <w:sz w:val="20"/>
          <w:szCs w:val="20"/>
          <w:color w:val="auto"/>
        </w:rPr>
      </w:pPr>
    </w:p>
    <w:p>
      <w:pPr>
        <w:ind w:right="180" w:firstLine="648"/>
        <w:spacing w:after="0" w:line="188" w:lineRule="exact"/>
        <w:rPr>
          <w:sz w:val="20"/>
          <w:szCs w:val="20"/>
          <w:color w:val="auto"/>
        </w:rPr>
      </w:pPr>
      <w:r>
        <w:rPr>
          <w:rFonts w:ascii="Times New Roman" w:cs="Times New Roman" w:eastAsia="Times New Roman" w:hAnsi="Times New Roman"/>
          <w:sz w:val="18"/>
          <w:szCs w:val="18"/>
          <w:color w:val="auto"/>
        </w:rPr>
        <w:t>In March 2015, the Company entered into a research, development and commercialization agreement (Alexion agreement) with Alexion Pharma Holding (Alexion) to research, develop and commercialize drug candidates for an undisclosed activated kinase target, which is the cause of a rare genetic disease. Under the terms of the Alexion agreement, the Company is responsible for research and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activities related to drug candidates and Alexion is responsible for all clinical development, manufacturing and commercialization activities related to drug candidates.</w:t>
      </w:r>
    </w:p>
    <w:p>
      <w:pPr>
        <w:spacing w:after="0" w:line="158"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Alexion is responsible for funding 100% of the Company’s research and development costs incurred under the research plan, including pass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through costs and a negotiated yearly rate per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equivalent for its employees’ time and their associated overhead expenses. The Company received a $15.0 million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refundable upfront payment in March 2015 upon execution of the Alexion agreement and is eligible to receive over $250.0 million in payments upon the successful achievement of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specified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clinical, regulatory and commercial milestones as follows: (i) up to $6.0 million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Alexion will pay the Company tiered royalties, ranging from mid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single to 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double digit percentages, on a country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country and licensed-product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licensed product basis, on worldwide net product sales of licensed products. The royalty term for</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13" w:name="page14"/>
    <w:bookmarkEnd w:id="1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190" w:lineRule="exact"/>
        <w:rPr>
          <w:sz w:val="20"/>
          <w:szCs w:val="20"/>
          <w:color w:val="auto"/>
        </w:rPr>
      </w:pPr>
      <w:r>
        <w:rPr>
          <w:rFonts w:ascii="Times New Roman" w:cs="Times New Roman" w:eastAsia="Times New Roman" w:hAnsi="Times New Roman"/>
          <w:sz w:val="18"/>
          <w:szCs w:val="18"/>
          <w:color w:val="auto"/>
        </w:rPr>
        <w:t>each licensed product in each country is the period commencing with first commercial sale of such licensed product in such country and ending on the later of (i) the expiration of the last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expire valid claim of specified patents covering such licensed product, (ii) the expiration of the applicable regulatory exclusivity period, and (iii) 10 or 15 years from specified commercial sales. There are no refund provisions in the Alexion agreement.</w:t>
      </w:r>
    </w:p>
    <w:p>
      <w:pPr>
        <w:spacing w:after="0" w:line="15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Alexion has the right to terminate the Alexion agreement if the Company undergoes a change of control or becomes an affiliate of a biotechnology or pharmaceutical company, and may terminate the Alexion agreement at will upon 90 days prior written notice. The Company and Alexion have the right to terminate the Alexion agreement in the event of the other party’s uncured breach or insolvency, and in certain other circumstances agreed to by the parties.</w:t>
      </w:r>
    </w:p>
    <w:p>
      <w:pPr>
        <w:spacing w:after="0" w:line="159"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The Company determined that there were three deliverables under the Alexion agreement: (i) an exclusive license to research, develop, manufacture and commercialize the licensed products and the compounds in the field in the territory, (ii) conducting research and development activities under the research plan and (iii) participation on a joint steering committee (JSC) and joint project team (JPT).</w:t>
      </w:r>
    </w:p>
    <w:p>
      <w:pPr>
        <w:spacing w:after="0" w:line="159"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The Company determined that the license did not have value to Alexion on a stand-alone basis due to the specialized nature of the research services to be provided by the Company that are not available in the marketplace. Therefore, the deliverables are not separable and, accordingly, the license, undelivered research and development activities and JSC and JPT participation are a single unit of accounting. When multiple deliverables are accounted for as a single unit of accounting, the Company bases its revenue recognition model on the final deliverable. Under the Alexion agreement, the last deliverable to be completed is its research and development activities and participation on the JSC and JPT, which are expected to be delivered over the same performance period. The Company is utilizing a proportional performance model to recognize revenue under the Alexion agreement.</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 Company evaluated whether the milestones that may be received in connection with the Alexion agreement are substantive or non-substantive milestones. The Company concluded that the first pre-clinical milestone payment in the Alexion agreement is non-substantive due to the certainty at the date the arrangement was entered into that the event will be achieved. In the second quarter of 2015, the Company achieved the first pre-clinical milestone under the Alexion agreement and received a $1.75 million payment from Alexion. The Company is recognizing revenues from the related milestone payment over the period of performance.</w:t>
      </w:r>
    </w:p>
    <w:p>
      <w:pPr>
        <w:spacing w:after="0" w:line="162"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The remaining non-refundable pre-clinical milestones that are expected to be achieved as a result of the Company's efforts during the period of substantial involvement are considered substantive and are recognized as revenue upon the achievement of the milestone, assuming all other revenue recognition criteria are met. The Company recognized the first substantive milestone of $0.25 million in the fourth quarter of 2015 and received payment from Alexion in the first quarter of 2016. In the first quarter of 2016, the Company recognized and received payment from Alexion for the second substantive milestone of $0.75 million. In the third quarter of 2016, the Company achieved a pre-clinical milestone of $1.0 million, which is expected to be paid during the third quarter of 2016. Milestones that are not considered substantive because the Company does not contribute effort to the achievement of such milestones are generally achieved after the period of substantial involvement and are recognized as revenue upon achievement of the milestone, as there are no undelivered elements remaining and no continuing performance obligations, assuming all other revenue recognition criteria are met.</w:t>
      </w:r>
    </w:p>
    <w:p>
      <w:pPr>
        <w:spacing w:after="0" w:line="161"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During the three and six months ended June 30, 2016, the Company recognized revenue under the Alexion agreement of $5.7 million and $12.3 million, respectively, which represents reimbursable research and development costs, the $0.75 million milestone payment in the three months ended March 31, 2016, which was recognized upon achievement, as well as a portion of the $15.0 million upfront payment and the $1.75 million non-substantive milestone payment previously received. During the six months ended June 30, 2016, the Company received $7.4 million related to reimbursable research and development costs under the Alexion agreement. As of June 30, 2016, the Company has recorded unbilled accounts receivable of $3.4 million related to reimbursable research and development costs under the Alexion agreement for activities performed during the second quarter of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Term Loan</w:t>
      </w:r>
    </w:p>
    <w:p>
      <w:pPr>
        <w:spacing w:after="0" w:line="189" w:lineRule="exact"/>
        <w:rPr>
          <w:sz w:val="20"/>
          <w:szCs w:val="20"/>
          <w:color w:val="auto"/>
        </w:rPr>
      </w:pPr>
    </w:p>
    <w:p>
      <w:pPr>
        <w:ind w:right="320" w:firstLine="648"/>
        <w:spacing w:after="0" w:line="237" w:lineRule="auto"/>
        <w:rPr>
          <w:sz w:val="20"/>
          <w:szCs w:val="20"/>
          <w:color w:val="auto"/>
        </w:rPr>
      </w:pPr>
      <w:r>
        <w:rPr>
          <w:rFonts w:ascii="Times New Roman" w:cs="Times New Roman" w:eastAsia="Times New Roman" w:hAnsi="Times New Roman"/>
          <w:sz w:val="18"/>
          <w:szCs w:val="18"/>
          <w:color w:val="auto"/>
        </w:rPr>
        <w:t>In May 2013, the Company entered into a loan and security agreement with Silicon Valley Bank (the 2013 Term Loan), which provided for up to $5.0 million in funding, to be made available in three tranches. Loan advances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4" w:name="page15"/>
    <w:bookmarkEnd w:id="1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179" w:lineRule="exact"/>
        <w:rPr>
          <w:sz w:val="20"/>
          <w:szCs w:val="20"/>
          <w:color w:val="auto"/>
        </w:rPr>
      </w:pPr>
      <w:r>
        <w:rPr>
          <w:rFonts w:ascii="Times New Roman" w:cs="Times New Roman" w:eastAsia="Times New Roman" w:hAnsi="Times New Roman"/>
          <w:sz w:val="18"/>
          <w:szCs w:val="18"/>
          <w:color w:val="auto"/>
        </w:rPr>
        <w:t>accrue interest at a fixed rate of 2% above the prime rate. In June 2013, the Company drew the first loan advance of $1.0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only payments until April 1, 2014, and consecutive monthly payments of principal, plus accrued interest, over the remaining term through March 2017. In September 2013, the Company drew the second loan advance of $2.0 million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only payments until April 1, 2014, and consecutive monthly payments of principal, plus accrued interest, over the remaining term through March 2017. In June 2014, the Company drew the remaining $2.0 million advance under the 2013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January 1, 2015, and consecutive monthly payments of principal, plus accrued interest, over the remaining term through December 2017. In November 2014, the Company amended the 2013 Term Loan to allow the Company to borrow an additional $5.0 million (the 2014 Term Loan). The Company accounted for the amendment as a modification to the existing 2013 Term Loan. The Company immediately drew the additional $5.0 million under the 2014 Term Loan and was required to make interest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only payments until December 1, 2015, and consecutive monthly payments of principal, plus accrued interest, over the remaining term through November 2018. The Company is required to pay a fee of 4% of the total loan advances at the end of the term of each of the 2013 Term Loan and the 2014 Term Loan. The fee is being accreted to interest expense over the term of the 2013 Term Loan and the 2014 Term Loan. In the event of prepayment, the Company is obligated to pay 1% to 2% of the amount of the outstanding principal depending upon the timing of the prepayment.</w:t>
      </w:r>
    </w:p>
    <w:p>
      <w:pPr>
        <w:spacing w:after="0" w:line="169" w:lineRule="exact"/>
        <w:rPr>
          <w:sz w:val="20"/>
          <w:szCs w:val="20"/>
          <w:color w:val="auto"/>
        </w:rPr>
      </w:pPr>
    </w:p>
    <w:p>
      <w:pPr>
        <w:ind w:right="180" w:firstLine="648"/>
        <w:spacing w:after="0" w:line="191" w:lineRule="exact"/>
        <w:rPr>
          <w:sz w:val="20"/>
          <w:szCs w:val="20"/>
          <w:color w:val="auto"/>
        </w:rPr>
      </w:pPr>
      <w:r>
        <w:rPr>
          <w:rFonts w:ascii="Times New Roman" w:cs="Times New Roman" w:eastAsia="Times New Roman" w:hAnsi="Times New Roman"/>
          <w:sz w:val="18"/>
          <w:szCs w:val="18"/>
          <w:color w:val="auto"/>
        </w:rPr>
        <w:t>The 2013 Term Loan and 2014 Term Loan are collateralized by a blanket lien on all corporate assets, excluding intellectual property, and by a negative pledge of the Company’s intellectual property. The 2013 Term Loan and 2014 Term Loan contain customary default provisions that include material adverse events, as defined therein. The Company has determined that the risk of subjective acceleration under the material adverse events clause is remote and therefore has classified the outstanding principal in current and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liabilities based on scheduled principal payments.</w:t>
      </w:r>
    </w:p>
    <w:p>
      <w:pPr>
        <w:spacing w:after="0" w:line="141" w:lineRule="exact"/>
        <w:rPr>
          <w:sz w:val="20"/>
          <w:szCs w:val="20"/>
          <w:color w:val="auto"/>
        </w:rPr>
      </w:pPr>
    </w:p>
    <w:p>
      <w:pPr>
        <w:ind w:right="60" w:firstLine="648"/>
        <w:spacing w:after="0" w:line="214" w:lineRule="auto"/>
        <w:rPr>
          <w:sz w:val="20"/>
          <w:szCs w:val="20"/>
          <w:color w:val="auto"/>
        </w:rPr>
      </w:pPr>
      <w:r>
        <w:rPr>
          <w:rFonts w:ascii="Times New Roman" w:cs="Times New Roman" w:eastAsia="Times New Roman" w:hAnsi="Times New Roman"/>
          <w:sz w:val="18"/>
          <w:szCs w:val="18"/>
          <w:color w:val="auto"/>
        </w:rPr>
        <w:t>The Company assessed all terms and features of the 2013 Term Loan and the 2014 Term Loan in order to identify any potential embedded features that would require bifurcation. As part of this analysis, the Company assessed the economic characteristics and risks of the term loan, including put and call features. The Company determined that all features of each of the 2013 Term Loan and the 2014 Term Loan are clearly and closely associated with a debt host and do not require bifurcation as a derivative liability, or the fair value of the feature is immaterial to the Company’s financial statements. The Company will continue to reassess the features on a quarterly basis to determine if they require separate accounting.</w:t>
      </w:r>
    </w:p>
    <w:p>
      <w:pPr>
        <w:spacing w:after="0" w:line="162" w:lineRule="exact"/>
        <w:rPr>
          <w:sz w:val="20"/>
          <w:szCs w:val="20"/>
          <w:color w:val="auto"/>
        </w:rPr>
      </w:pPr>
    </w:p>
    <w:p>
      <w:pPr>
        <w:ind w:right="380" w:firstLine="648"/>
        <w:spacing w:after="0" w:line="237" w:lineRule="auto"/>
        <w:rPr>
          <w:sz w:val="20"/>
          <w:szCs w:val="20"/>
          <w:color w:val="auto"/>
        </w:rPr>
      </w:pPr>
      <w:r>
        <w:rPr>
          <w:rFonts w:ascii="Times New Roman" w:cs="Times New Roman" w:eastAsia="Times New Roman" w:hAnsi="Times New Roman"/>
          <w:sz w:val="18"/>
          <w:szCs w:val="18"/>
          <w:color w:val="auto"/>
        </w:rPr>
        <w:t>Future minimum payments, which include principal and interest due under each of the 2013 Term Loan and the 2014 Term Loan, are $1.8 million, in the aggregate, for the remainder of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189" w:lineRule="exact"/>
        <w:rPr>
          <w:sz w:val="20"/>
          <w:szCs w:val="20"/>
          <w:color w:val="auto"/>
        </w:rPr>
      </w:pPr>
    </w:p>
    <w:p>
      <w:pPr>
        <w:ind w:right="120" w:firstLine="648"/>
        <w:spacing w:after="0" w:line="191" w:lineRule="exact"/>
        <w:rPr>
          <w:sz w:val="20"/>
          <w:szCs w:val="20"/>
          <w:color w:val="auto"/>
        </w:rPr>
      </w:pPr>
      <w:r>
        <w:rPr>
          <w:rFonts w:ascii="Times New Roman" w:cs="Times New Roman" w:eastAsia="Times New Roman" w:hAnsi="Times New Roman"/>
          <w:sz w:val="18"/>
          <w:szCs w:val="18"/>
          <w:color w:val="auto"/>
        </w:rPr>
        <w:t>In connection with the 2013 Term Loan, the Company issued a warrant to Silicon Valley Bank to purchase 150,000 shares of Series A convertible preferred stock at an exercise price of $1.00 per share (the Series A Warrant). In connection with the 2014 Term Loan, the Company issued an additional warrant to Silicon Valley Bank to purchase 83,333 shares of Series B convertible preferred stock at an exercise price of $1.20 per share (the Series B Warrant). Both warrants were exercisable immediately and have a ten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life.</w:t>
      </w:r>
    </w:p>
    <w:p>
      <w:pPr>
        <w:spacing w:after="0" w:line="141" w:lineRule="exact"/>
        <w:rPr>
          <w:sz w:val="20"/>
          <w:szCs w:val="20"/>
          <w:color w:val="auto"/>
        </w:rPr>
      </w:pPr>
    </w:p>
    <w:p>
      <w:pPr>
        <w:ind w:right="60" w:firstLine="648"/>
        <w:spacing w:after="0" w:line="188" w:lineRule="exact"/>
        <w:rPr>
          <w:sz w:val="20"/>
          <w:szCs w:val="20"/>
          <w:color w:val="auto"/>
        </w:rPr>
      </w:pPr>
      <w:r>
        <w:rPr>
          <w:rFonts w:ascii="Times New Roman" w:cs="Times New Roman" w:eastAsia="Times New Roman" w:hAnsi="Times New Roman"/>
          <w:sz w:val="18"/>
          <w:szCs w:val="18"/>
          <w:color w:val="auto"/>
        </w:rPr>
        <w:t>The Company initially valued the Series A Warrant and the Series B Warrant at issuance and at the balance sheet dates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 pricing model. The significant assumptions used in estimating the fair value of the warrants include the volatility of the stock underlying the warrant,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free interest rate, estimated fair value of the preferred stock underlying the warrant, and the estimated term of the warrant. The fair value of the preferred stock underlying the warrants was estimated using the implied value from the common stock valuations on those dates.</w:t>
      </w:r>
    </w:p>
    <w:p>
      <w:pPr>
        <w:spacing w:after="0" w:line="158"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In accordance with ASC 480, the characteristics of these warrants and the rights and privileges of the underlying preferred stock resulted in the classification of these warrants as a liability, and they were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measured to the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then current fair value at each balance sheet date through the completion of the IPO.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gains or losses were recorded in other income (expense) in the condensed consolidated statements of operations and comprehensive loss. Changes in the fair value of the warrants represented a recurring measurement that was classified within Level 3 of the fair value hierarchy wherein fair value is estimated using significant unobservable inputs. The Company recorded $0.4 million of expense associated with the change in fair value of the warrants in the six months ended June 30, 2015.</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8"/>
          <w:szCs w:val="18"/>
          <w:color w:val="auto"/>
        </w:rPr>
        <w:t>Upon completion of the IPO, the Series A Warrant became exercisable for 27,272 shares of the common stock at an exercise price of $5.50 per share, and the Series B Warrant became exercisable for 15,151 shares of the common stock at an exercise price of $6.60 per share. On the date of the conversion of the warrants, the Company revalued the outstanding warrants using the Black-Scholes option pricing model and reclassified the fair value of the warrants of $0.8 million to additional paid-in capital.</w:t>
      </w:r>
    </w:p>
    <w:p>
      <w:pPr>
        <w:spacing w:after="0" w:line="118"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On May 13, 2015, Silicon Valley Bank exercised the Series A Warrant and the Series B Warrant pursuant to the cashless exercise feature of the warrants. In connection with the exercise of the Series A Warrant under the 2013 Term Loan, the Company issued 21,281 shares of common stock to Silicon Valley Bank. Warrants to purchase 5,991 shares of common stock were cancelled as payment for the aggregate exercise price of the Series A Warrant to Silicon Valley Bank. In connection with the exercise of the Series B Warrant under the 2014 Term Loan, the Company issued 11,157 shares of common stock. Warrants to purchase 3,994 shares of common stock were cancelled as payment for the aggregate exercise price of the Series B Warrant.</w:t>
      </w:r>
    </w:p>
    <w:p>
      <w:pPr>
        <w:spacing w:after="0" w:line="13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recorded a debt discount upon issuance of the warrants, which is being accreted as interest expense</w:t>
      </w:r>
    </w:p>
    <w:p>
      <w:pPr>
        <w:spacing w:after="0" w:line="27"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18"/>
          <w:szCs w:val="18"/>
          <w:color w:val="auto"/>
        </w:rPr>
        <w:t>over the remaining term of the loan. The Company recorded interest expense related to the Series A Warrant and the Series B Warrant of less than $0.1 million in the three and six months ended June 30, 2016 and 2015, respectively.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 Awards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Stock Option and Incentive Plan</w:t>
      </w:r>
    </w:p>
    <w:p>
      <w:pPr>
        <w:spacing w:after="0" w:line="14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7"/>
          <w:szCs w:val="17"/>
          <w:color w:val="auto"/>
        </w:rPr>
        <w:t>In 2015, the Company’s board of directors and stockholders approved the 2015 Stock Option and Incentive Plan (the 2015 Plan), which replaced the Company’s 2011 Stock Option and Grant Plan, as amended (the 2011 Plan). The 2015 Plan includes incentive stock options, nonstatutory stock options, stock appreciation rights, restricted stock, restricted stock units, unrestricted stock, performance share awards and cash</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The Company initially reserved a total of 1,460,084 shares of common stock for the issuance of awards under the 2015 Plan. The 2015 Plan provides that the number of shares reserved and available for issuance under the 2015 Plan will be cumulatively increased on January 1 of each calendar year by 4%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Plan was increased by 1,087,842 shares. In addition, the total number of shares reserved for issuance is subject to adjustment in the event of a stock split, stock dividend or other change in our capitalization. At June 30, 2016, there were 1,797,924 shares available for future grant under the 2015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Awards</w:t>
      </w:r>
    </w:p>
    <w:p>
      <w:pPr>
        <w:spacing w:after="0" w:line="160" w:lineRule="exact"/>
        <w:rPr>
          <w:sz w:val="20"/>
          <w:szCs w:val="20"/>
          <w:color w:val="auto"/>
        </w:rPr>
      </w:pPr>
    </w:p>
    <w:p>
      <w:pPr>
        <w:ind w:right="80" w:firstLine="648"/>
        <w:spacing w:after="0" w:line="220" w:lineRule="exact"/>
        <w:rPr>
          <w:sz w:val="20"/>
          <w:szCs w:val="20"/>
          <w:color w:val="auto"/>
        </w:rPr>
      </w:pPr>
      <w:r>
        <w:rPr>
          <w:rFonts w:ascii="Times New Roman" w:cs="Times New Roman" w:eastAsia="Times New Roman" w:hAnsi="Times New Roman"/>
          <w:sz w:val="18"/>
          <w:szCs w:val="18"/>
          <w:color w:val="auto"/>
        </w:rPr>
        <w:t>Options and restricted stock awards granted by the Company generally vest ratably over four years, with a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cliff for new employee awards, and are exercisable from the date of grant for a period of ten years.</w:t>
      </w:r>
    </w:p>
    <w:p>
      <w:pPr>
        <w:spacing w:after="0" w:line="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unvested restricted stock and related information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64"/>
        </w:trPr>
        <w:tc>
          <w:tcPr>
            <w:tcW w:w="5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6"/>
        </w:trPr>
        <w:tc>
          <w:tcPr>
            <w:tcW w:w="5460" w:type="dxa"/>
            <w:vAlign w:val="bottom"/>
          </w:tcPr>
          <w:p>
            <w:pPr>
              <w:spacing w:after="0"/>
              <w:rPr>
                <w:sz w:val="12"/>
                <w:szCs w:val="12"/>
                <w:color w:val="auto"/>
              </w:rPr>
            </w:pPr>
          </w:p>
        </w:tc>
        <w:tc>
          <w:tcPr>
            <w:tcW w:w="640" w:type="dxa"/>
            <w:vAlign w:val="bottom"/>
            <w:vMerge w:val="restart"/>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180"/>
              <w:spacing w:after="0" w:line="147" w:lineRule="exact"/>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62"/>
        </w:trPr>
        <w:tc>
          <w:tcPr>
            <w:tcW w:w="54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2015</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130,495</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Vested</w:t>
            </w: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(79,329)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Repurchased</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Unvested at June 30, 2016</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right="200" w:firstLine="648"/>
        <w:spacing w:after="0" w:line="226" w:lineRule="auto"/>
        <w:rPr>
          <w:sz w:val="20"/>
          <w:szCs w:val="20"/>
          <w:color w:val="auto"/>
        </w:rPr>
      </w:pPr>
      <w:r>
        <w:rPr>
          <w:rFonts w:ascii="Times New Roman" w:cs="Times New Roman" w:eastAsia="Times New Roman" w:hAnsi="Times New Roman"/>
          <w:sz w:val="18"/>
          <w:szCs w:val="18"/>
          <w:color w:val="auto"/>
        </w:rPr>
        <w:t>The total fair value of restricted stock that vested during the three months ended June 30, 2016 and 2015 was $0.7 million and $1.4 million, respectively. The total fair value of restricted stock that vested during the six months ended June 30, 2016 and 2015 was $1.4 million and $2.1 million, respectively.</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6" w:name="page17"/>
    <w:bookmarkEnd w:id="1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option activity and related information follows: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6"/>
        </w:trPr>
        <w:tc>
          <w:tcPr>
            <w:tcW w:w="53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Value(2)</w:t>
            </w:r>
          </w:p>
        </w:tc>
      </w:tr>
      <w:tr>
        <w:trPr>
          <w:trHeight w:val="173"/>
        </w:trPr>
        <w:tc>
          <w:tcPr>
            <w:tcW w:w="5360" w:type="dxa"/>
            <w:vAlign w:val="bottom"/>
            <w:tcBorders>
              <w:bottom w:val="single" w:sz="8" w:color="CCEEFF"/>
            </w:tcBorders>
          </w:tcPr>
          <w:p>
            <w:pPr>
              <w:spacing w:after="0"/>
              <w:rPr>
                <w:sz w:val="15"/>
                <w:szCs w:val="15"/>
                <w:color w:val="auto"/>
              </w:rPr>
            </w:pPr>
          </w:p>
        </w:tc>
        <w:tc>
          <w:tcPr>
            <w:tcW w:w="8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(in Years)</w:t>
            </w:r>
          </w:p>
        </w:tc>
        <w:tc>
          <w:tcPr>
            <w:tcW w:w="14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Borders>
              <w:bottom w:val="single" w:sz="8" w:color="CCEEFF"/>
            </w:tcBorders>
          </w:tcPr>
          <w:p>
            <w:pPr>
              <w:spacing w:after="0"/>
              <w:rPr>
                <w:sz w:val="15"/>
                <w:szCs w:val="15"/>
                <w:color w:val="auto"/>
              </w:rPr>
            </w:pPr>
          </w:p>
        </w:tc>
      </w:tr>
      <w:tr>
        <w:trPr>
          <w:trHeight w:val="21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2015</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1,802,802</w:t>
            </w:r>
          </w:p>
        </w:tc>
        <w:tc>
          <w:tcPr>
            <w:tcW w:w="2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6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37,008</w:t>
            </w:r>
          </w:p>
        </w:tc>
        <w:tc>
          <w:tcPr>
            <w:tcW w:w="60" w:type="dxa"/>
            <w:vAlign w:val="bottom"/>
            <w:shd w:val="clear" w:color="auto" w:fill="CCEEFF"/>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Granted</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818,363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Exercised</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(63,602)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3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Canceled</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(94,637)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r>
      <w:tr>
        <w:trPr>
          <w:trHeight w:val="230"/>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June 30, 2016</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2,462,926</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27,647</w:t>
            </w:r>
          </w:p>
        </w:tc>
        <w:tc>
          <w:tcPr>
            <w:tcW w:w="60" w:type="dxa"/>
            <w:vAlign w:val="bottom"/>
            <w:tcBorders>
              <w:bottom w:val="single" w:sz="8" w:color="CCEEFF"/>
            </w:tcBorders>
            <w:shd w:val="clear" w:color="auto" w:fill="CCEEFF"/>
          </w:tcPr>
          <w:p>
            <w:pPr>
              <w:spacing w:after="0"/>
              <w:rPr>
                <w:sz w:val="19"/>
                <w:szCs w:val="19"/>
                <w:color w:val="auto"/>
              </w:rPr>
            </w:pPr>
          </w:p>
        </w:tc>
      </w:tr>
      <w:tr>
        <w:trPr>
          <w:trHeight w:val="210"/>
        </w:trPr>
        <w:tc>
          <w:tcPr>
            <w:tcW w:w="5360" w:type="dxa"/>
            <w:vAlign w:val="bottom"/>
            <w:tcBorders>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Exercisable at June 30, 2016</w:t>
            </w:r>
          </w:p>
        </w:tc>
        <w:tc>
          <w:tcPr>
            <w:tcW w:w="8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677,412</w:t>
            </w:r>
          </w:p>
        </w:tc>
        <w:tc>
          <w:tcPr>
            <w:tcW w:w="280" w:type="dxa"/>
            <w:vAlign w:val="bottom"/>
            <w:tcBorders>
              <w:bottom w:val="single" w:sz="8" w:color="CCEEFF"/>
            </w:tcBorders>
            <w:gridSpan w:val="2"/>
          </w:tcPr>
          <w:p>
            <w:pPr>
              <w:ind w:left="160"/>
              <w:spacing w:after="0" w:line="203"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5.56</w:t>
            </w: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7.94</w:t>
            </w:r>
          </w:p>
        </w:tc>
        <w:tc>
          <w:tcPr>
            <w:tcW w:w="260" w:type="dxa"/>
            <w:vAlign w:val="bottom"/>
            <w:tcBorders>
              <w:bottom w:val="single" w:sz="8" w:color="CCEEFF"/>
            </w:tcBorders>
            <w:gridSpan w:val="2"/>
          </w:tcPr>
          <w:p>
            <w:pPr>
              <w:ind w:left="14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10,058</w:t>
            </w:r>
          </w:p>
        </w:tc>
        <w:tc>
          <w:tcPr>
            <w:tcW w:w="60" w:type="dxa"/>
            <w:vAlign w:val="bottom"/>
            <w:tcBorders>
              <w:bottom w:val="single" w:sz="8" w:color="CCEEFF"/>
            </w:tcBorders>
          </w:tcPr>
          <w:p>
            <w:pPr>
              <w:spacing w:after="0"/>
              <w:rPr>
                <w:sz w:val="18"/>
                <w:szCs w:val="18"/>
                <w:color w:val="auto"/>
              </w:rPr>
            </w:pPr>
          </w:p>
        </w:tc>
      </w:tr>
      <w:tr>
        <w:trPr>
          <w:trHeight w:val="223"/>
        </w:trPr>
        <w:tc>
          <w:tcPr>
            <w:tcW w:w="5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 and expected to vest at June 30, 2016(1)</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2,402,534</w:t>
            </w:r>
          </w:p>
        </w:tc>
        <w:tc>
          <w:tcPr>
            <w:tcW w:w="28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w:t>
            </w:r>
          </w:p>
        </w:tc>
        <w:tc>
          <w:tcPr>
            <w:tcW w:w="14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w:t>
            </w:r>
          </w:p>
        </w:tc>
        <w:tc>
          <w:tcPr>
            <w:tcW w:w="260" w:type="dxa"/>
            <w:vAlign w:val="bottom"/>
            <w:tcBorders>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27,108</w:t>
            </w:r>
          </w:p>
        </w:tc>
        <w:tc>
          <w:tcPr>
            <w:tcW w:w="6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144081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353" w:lineRule="exact"/>
        <w:rPr>
          <w:sz w:val="20"/>
          <w:szCs w:val="20"/>
          <w:color w:val="auto"/>
        </w:rPr>
      </w:pPr>
    </w:p>
    <w:p>
      <w:pPr>
        <w:ind w:left="220" w:right="180" w:hanging="215"/>
        <w:spacing w:after="0" w:line="237" w:lineRule="auto"/>
        <w:rPr>
          <w:sz w:val="20"/>
          <w:szCs w:val="20"/>
          <w:color w:val="auto"/>
        </w:rPr>
      </w:pPr>
      <w:r>
        <w:rPr>
          <w:rFonts w:ascii="Times New Roman" w:cs="Times New Roman" w:eastAsia="Times New Roman" w:hAnsi="Times New Roman"/>
          <w:sz w:val="18"/>
          <w:szCs w:val="18"/>
          <w:color w:val="auto"/>
        </w:rPr>
        <w:t>(1)Represents the number of vested options as of June 30, 2016, plus the number of unvested options expected to vest as of June 30, 2016 based on a forfeiture rate of 2.5%.</w:t>
      </w:r>
    </w:p>
    <w:p>
      <w:pPr>
        <w:spacing w:after="0" w:line="158" w:lineRule="exact"/>
        <w:rPr>
          <w:sz w:val="20"/>
          <w:szCs w:val="20"/>
          <w:color w:val="auto"/>
        </w:rPr>
      </w:pPr>
    </w:p>
    <w:p>
      <w:pPr>
        <w:ind w:left="220" w:right="100" w:hanging="215"/>
        <w:spacing w:after="0" w:line="237" w:lineRule="auto"/>
        <w:rPr>
          <w:sz w:val="20"/>
          <w:szCs w:val="20"/>
          <w:color w:val="auto"/>
        </w:rPr>
      </w:pPr>
      <w:r>
        <w:rPr>
          <w:rFonts w:ascii="Times New Roman" w:cs="Times New Roman" w:eastAsia="Times New Roman" w:hAnsi="Times New Roman"/>
          <w:sz w:val="18"/>
          <w:szCs w:val="18"/>
          <w:color w:val="auto"/>
        </w:rPr>
        <w:t>(2)Intrinsic value represents the amount by which the fair market value as of June 30, 2016 of the underlying common stock exceeds the exercise price of the option.</w:t>
      </w:r>
    </w:p>
    <w:p>
      <w:pPr>
        <w:spacing w:after="0" w:line="130" w:lineRule="exact"/>
        <w:rPr>
          <w:sz w:val="20"/>
          <w:szCs w:val="20"/>
          <w:color w:val="auto"/>
        </w:rPr>
      </w:pPr>
    </w:p>
    <w:p>
      <w:pPr>
        <w:ind w:firstLine="648"/>
        <w:spacing w:after="0" w:line="220" w:lineRule="exact"/>
        <w:rPr>
          <w:sz w:val="20"/>
          <w:szCs w:val="20"/>
          <w:color w:val="auto"/>
        </w:rPr>
      </w:pPr>
      <w:r>
        <w:rPr>
          <w:rFonts w:ascii="Times New Roman" w:cs="Times New Roman" w:eastAsia="Times New Roman" w:hAnsi="Times New Roman"/>
          <w:sz w:val="18"/>
          <w:szCs w:val="18"/>
          <w:color w:val="auto"/>
        </w:rPr>
        <w:t>The fair value of stock options is estimated on the grant date using the Black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Scholes option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pricing model based on the following weighted average assumptions:</w:t>
      </w:r>
    </w:p>
    <w:p>
      <w:pPr>
        <w:sectPr>
          <w:pgSz w:w="11900" w:h="16838" w:orient="portrait"/>
          <w:cols w:equalWidth="0" w:num="1">
            <w:col w:w="9060"/>
          </w:cols>
          <w:pgMar w:left="1420" w:top="108" w:right="1419" w:bottom="1440" w:gutter="0" w:footer="0" w:header="0"/>
        </w:sectPr>
      </w:pPr>
    </w:p>
    <w:p>
      <w:pPr>
        <w:spacing w:after="0" w:line="219" w:lineRule="exact"/>
        <w:rPr>
          <w:sz w:val="20"/>
          <w:szCs w:val="20"/>
          <w:color w:val="auto"/>
        </w:rPr>
      </w:pPr>
    </w:p>
    <w:p>
      <w:pPr>
        <w:jc w:val="center"/>
        <w:ind w:left="44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2771775</wp:posOffset>
            </wp:positionH>
            <wp:positionV relativeFrom="paragraph">
              <wp:posOffset>127635</wp:posOffset>
            </wp:positionV>
            <wp:extent cx="13893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89380" cy="8890"/>
                    </a:xfrm>
                    <a:prstGeom prst="rect">
                      <a:avLst/>
                    </a:prstGeom>
                    <a:noFill/>
                  </pic:spPr>
                </pic:pic>
              </a:graphicData>
            </a:graphic>
          </wp:anchor>
        </w:drawing>
        <w:drawing>
          <wp:anchor simplePos="0" relativeHeight="251657728" behindDoc="1" locked="0" layoutInCell="0" allowOverlap="1">
            <wp:simplePos x="0" y="0"/>
            <wp:positionH relativeFrom="column">
              <wp:posOffset>2771775</wp:posOffset>
            </wp:positionH>
            <wp:positionV relativeFrom="paragraph">
              <wp:posOffset>7620</wp:posOffset>
            </wp:positionV>
            <wp:extent cx="13893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7" w:lineRule="exact"/>
        <w:rPr>
          <w:sz w:val="20"/>
          <w:szCs w:val="20"/>
          <w:color w:val="auto"/>
        </w:rPr>
      </w:pPr>
    </w:p>
    <w:p>
      <w:pPr>
        <w:ind w:left="4440"/>
        <w:spacing w:after="0"/>
        <w:tabs>
          <w:tab w:leader="none" w:pos="5620" w:val="left"/>
        </w:tabs>
        <w:rPr>
          <w:sz w:val="20"/>
          <w:szCs w:val="20"/>
          <w:color w:val="auto"/>
        </w:rPr>
      </w:pPr>
      <w:r>
        <w:rPr>
          <w:rFonts w:ascii="Times New Roman" w:cs="Times New Roman" w:eastAsia="Times New Roman" w:hAnsi="Times New Roman"/>
          <w:sz w:val="14"/>
          <w:szCs w:val="14"/>
          <w:b w:val="1"/>
          <w:bCs w:val="1"/>
          <w:color w:val="auto"/>
        </w:rPr>
        <w:t>June 30, 2016</w:t>
      </w:r>
      <w:r>
        <w:rPr>
          <w:sz w:val="20"/>
          <w:szCs w:val="20"/>
          <w:color w:val="auto"/>
        </w:rPr>
        <w:tab/>
      </w:r>
      <w:r>
        <w:rPr>
          <w:rFonts w:ascii="Times New Roman" w:cs="Times New Roman" w:eastAsia="Times New Roman" w:hAnsi="Times New Roman"/>
          <w:sz w:val="14"/>
          <w:szCs w:val="14"/>
          <w:b w:val="1"/>
          <w:bCs w:val="1"/>
          <w:color w:val="auto"/>
        </w:rPr>
        <w:t>June 30, 2015</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wp:posOffset>
            </wp:positionH>
            <wp:positionV relativeFrom="paragraph">
              <wp:posOffset>127635</wp:posOffset>
            </wp:positionV>
            <wp:extent cx="14922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92250" cy="8890"/>
                    </a:xfrm>
                    <a:prstGeom prst="rect">
                      <a:avLst/>
                    </a:prstGeom>
                    <a:noFill/>
                  </pic:spPr>
                </pic:pic>
              </a:graphicData>
            </a:graphic>
          </wp:anchor>
        </w:drawing>
        <w:drawing>
          <wp:anchor simplePos="0" relativeHeight="251657728" behindDoc="1" locked="0" layoutInCell="0" allowOverlap="1">
            <wp:simplePos x="0" y="0"/>
            <wp:positionH relativeFrom="column">
              <wp:posOffset>-40640</wp:posOffset>
            </wp:positionH>
            <wp:positionV relativeFrom="paragraph">
              <wp:posOffset>7620</wp:posOffset>
            </wp:positionV>
            <wp:extent cx="13893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89380" cy="8890"/>
                    </a:xfrm>
                    <a:prstGeom prst="rect">
                      <a:avLst/>
                    </a:prstGeom>
                    <a:noFill/>
                  </pic:spPr>
                </pic:pic>
              </a:graphicData>
            </a:graphic>
          </wp:anchor>
        </w:drawing>
      </w:r>
    </w:p>
    <w:p>
      <w:pPr>
        <w:spacing w:after="0" w:line="197" w:lineRule="exact"/>
        <w:rPr>
          <w:sz w:val="20"/>
          <w:szCs w:val="20"/>
          <w:color w:val="auto"/>
        </w:rPr>
      </w:pPr>
    </w:p>
    <w:p>
      <w:pPr>
        <w:spacing w:after="0"/>
        <w:tabs>
          <w:tab w:leader="none" w:pos="1200" w:val="left"/>
        </w:tabs>
        <w:rPr>
          <w:sz w:val="20"/>
          <w:szCs w:val="20"/>
          <w:color w:val="auto"/>
        </w:rPr>
      </w:pPr>
      <w:r>
        <w:rPr>
          <w:rFonts w:ascii="Times New Roman" w:cs="Times New Roman" w:eastAsia="Times New Roman" w:hAnsi="Times New Roman"/>
          <w:sz w:val="14"/>
          <w:szCs w:val="14"/>
          <w:b w:val="1"/>
          <w:bCs w:val="1"/>
          <w:color w:val="auto"/>
        </w:rPr>
        <w:t>June 30, 2016</w:t>
      </w:r>
      <w:r>
        <w:rPr>
          <w:sz w:val="20"/>
          <w:szCs w:val="20"/>
          <w:color w:val="auto"/>
        </w:rPr>
        <w:tab/>
      </w:r>
      <w:r>
        <w:rPr>
          <w:rFonts w:ascii="Times New Roman" w:cs="Times New Roman" w:eastAsia="Times New Roman" w:hAnsi="Times New Roman"/>
          <w:sz w:val="14"/>
          <w:szCs w:val="14"/>
          <w:b w:val="1"/>
          <w:bCs w:val="1"/>
          <w:color w:val="auto"/>
        </w:rPr>
        <w:t>June 30, 2015</w:t>
      </w:r>
    </w:p>
    <w:p>
      <w:pPr>
        <w:spacing w:after="0" w:line="32" w:lineRule="exact"/>
        <w:rPr>
          <w:sz w:val="20"/>
          <w:szCs w:val="20"/>
          <w:color w:val="auto"/>
        </w:rPr>
      </w:pPr>
    </w:p>
    <w:p>
      <w:pPr>
        <w:sectPr>
          <w:pgSz w:w="11900" w:h="16838" w:orient="portrait"/>
          <w:cols w:equalWidth="0" w:num="2">
            <w:col w:w="6480" w:space="300"/>
            <w:col w:w="2280"/>
          </w:cols>
          <w:pgMar w:left="1420" w:top="108" w:right="141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36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190"/>
        </w:trPr>
        <w:tc>
          <w:tcPr>
            <w:tcW w:w="43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Risk-free interest rate</w:t>
            </w:r>
          </w:p>
        </w:tc>
        <w:tc>
          <w:tcPr>
            <w:tcW w:w="12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1.36 %</w:t>
            </w:r>
          </w:p>
        </w:tc>
        <w:tc>
          <w:tcPr>
            <w:tcW w:w="1140" w:type="dxa"/>
            <w:vAlign w:val="bottom"/>
            <w:gridSpan w:val="2"/>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8"/>
                <w:szCs w:val="18"/>
                <w:color w:val="auto"/>
              </w:rPr>
              <w:t>1.74 %</w:t>
            </w:r>
          </w:p>
        </w:tc>
        <w:tc>
          <w:tcPr>
            <w:tcW w:w="1220" w:type="dxa"/>
            <w:vAlign w:val="bottom"/>
            <w:gridSpan w:val="2"/>
            <w:shd w:val="clear" w:color="auto" w:fill="CCEEFF"/>
          </w:tcPr>
          <w:p>
            <w:pPr>
              <w:jc w:val="right"/>
              <w:ind w:right="100"/>
              <w:spacing w:after="0" w:line="189" w:lineRule="exact"/>
              <w:rPr>
                <w:sz w:val="20"/>
                <w:szCs w:val="20"/>
                <w:color w:val="auto"/>
              </w:rPr>
            </w:pPr>
            <w:r>
              <w:rPr>
                <w:rFonts w:ascii="Times New Roman" w:cs="Times New Roman" w:eastAsia="Times New Roman" w:hAnsi="Times New Roman"/>
                <w:sz w:val="18"/>
                <w:szCs w:val="18"/>
                <w:color w:val="auto"/>
              </w:rPr>
              <w:t>1.55 %</w:t>
            </w:r>
          </w:p>
        </w:tc>
        <w:tc>
          <w:tcPr>
            <w:tcW w:w="1120" w:type="dxa"/>
            <w:vAlign w:val="bottom"/>
            <w:gridSpan w:val="2"/>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1.67 %</w:t>
            </w:r>
          </w:p>
        </w:tc>
      </w:tr>
      <w:tr>
        <w:trPr>
          <w:trHeight w:val="176"/>
        </w:trPr>
        <w:tc>
          <w:tcPr>
            <w:tcW w:w="4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Expected dividend yield</w:t>
            </w:r>
          </w:p>
        </w:tc>
        <w:tc>
          <w:tcPr>
            <w:tcW w:w="12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140" w:type="dxa"/>
            <w:vAlign w:val="bottom"/>
            <w:gridSpan w:val="2"/>
          </w:tcPr>
          <w:p>
            <w:pPr>
              <w:jc w:val="right"/>
              <w:ind w:right="2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22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 %</w:t>
            </w:r>
          </w:p>
        </w:tc>
        <w:tc>
          <w:tcPr>
            <w:tcW w:w="1120" w:type="dxa"/>
            <w:vAlign w:val="bottom"/>
            <w:gridSpan w:val="2"/>
          </w:tcPr>
          <w:p>
            <w:pPr>
              <w:jc w:val="right"/>
              <w:spacing w:after="0" w:line="176" w:lineRule="exact"/>
              <w:rPr>
                <w:sz w:val="20"/>
                <w:szCs w:val="20"/>
                <w:color w:val="auto"/>
              </w:rPr>
            </w:pPr>
            <w:r>
              <w:rPr>
                <w:rFonts w:ascii="Times New Roman" w:cs="Times New Roman" w:eastAsia="Times New Roman" w:hAnsi="Times New Roman"/>
                <w:sz w:val="18"/>
                <w:szCs w:val="18"/>
                <w:color w:val="auto"/>
              </w:rPr>
              <w:t>— %</w:t>
            </w:r>
          </w:p>
        </w:tc>
      </w:tr>
      <w:tr>
        <w:trPr>
          <w:trHeight w:val="216"/>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60" w:type="dxa"/>
            <w:vAlign w:val="bottom"/>
            <w:shd w:val="clear" w:color="auto" w:fill="CCEEFF"/>
          </w:tcPr>
          <w:p>
            <w:pPr>
              <w:spacing w:after="0"/>
              <w:rPr>
                <w:sz w:val="18"/>
                <w:szCs w:val="18"/>
                <w:color w:val="auto"/>
              </w:rPr>
            </w:pPr>
          </w:p>
        </w:tc>
      </w:tr>
      <w:tr>
        <w:trPr>
          <w:trHeight w:val="243"/>
        </w:trPr>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Expected stock price volatility</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75.38 %</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82.68 %</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76.52 %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85.71 %</w:t>
            </w:r>
          </w:p>
        </w:tc>
      </w:tr>
    </w:tbl>
    <w:p>
      <w:pPr>
        <w:spacing w:after="0" w:line="88" w:lineRule="exact"/>
        <w:rPr>
          <w:sz w:val="20"/>
          <w:szCs w:val="20"/>
          <w:color w:val="auto"/>
        </w:rPr>
      </w:pPr>
    </w:p>
    <w:p>
      <w:pPr>
        <w:ind w:right="260" w:firstLine="648"/>
        <w:spacing w:after="0" w:line="203" w:lineRule="exact"/>
        <w:rPr>
          <w:sz w:val="20"/>
          <w:szCs w:val="20"/>
          <w:color w:val="auto"/>
        </w:rPr>
      </w:pPr>
      <w:r>
        <w:rPr>
          <w:rFonts w:ascii="Times New Roman" w:cs="Times New Roman" w:eastAsia="Times New Roman" w:hAnsi="Times New Roman"/>
          <w:sz w:val="17"/>
          <w:szCs w:val="17"/>
          <w:color w:val="auto"/>
        </w:rPr>
        <w:t>The weighted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average grant date fair value of options granted in the three months ended June 30, 2016 and 2015 was $12.22 and $16.8 respectively. The total intrinsic value of options exercised in the three months ended June, 2016 and</w:t>
      </w:r>
    </w:p>
    <w:p>
      <w:pPr>
        <w:spacing w:after="0" w:line="1" w:lineRule="exact"/>
        <w:rPr>
          <w:sz w:val="20"/>
          <w:szCs w:val="20"/>
          <w:color w:val="auto"/>
        </w:rPr>
      </w:pPr>
    </w:p>
    <w:p>
      <w:pPr>
        <w:ind w:right="20"/>
        <w:spacing w:after="0" w:line="186" w:lineRule="exact"/>
        <w:rPr>
          <w:sz w:val="20"/>
          <w:szCs w:val="20"/>
          <w:color w:val="auto"/>
        </w:rPr>
      </w:pPr>
      <w:r>
        <w:rPr>
          <w:rFonts w:ascii="Times New Roman" w:cs="Times New Roman" w:eastAsia="Times New Roman" w:hAnsi="Times New Roman"/>
          <w:sz w:val="18"/>
          <w:szCs w:val="18"/>
          <w:color w:val="auto"/>
        </w:rPr>
        <w:t>2015 was $0.6 million and $0.3 million, respectively. The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average grant date fair value of options granted in the six months ended June 30, 2016 and 2015 was $10.61 and $7.71, respectively. The total intrinsic value of options exercised in</w:t>
      </w:r>
    </w:p>
    <w:p>
      <w:pPr>
        <w:spacing w:after="0"/>
        <w:rPr>
          <w:sz w:val="20"/>
          <w:szCs w:val="20"/>
          <w:color w:val="auto"/>
        </w:rPr>
      </w:pPr>
      <w:r>
        <w:rPr>
          <w:rFonts w:ascii="Times New Roman" w:cs="Times New Roman" w:eastAsia="Times New Roman" w:hAnsi="Times New Roman"/>
          <w:sz w:val="18"/>
          <w:szCs w:val="18"/>
          <w:color w:val="auto"/>
        </w:rPr>
        <w:t>the six months ended June, 2016 and 2015 was $1.0 million and $0.4 million, respectively.</w:t>
      </w:r>
    </w:p>
    <w:p>
      <w:pPr>
        <w:spacing w:after="0" w:line="136" w:lineRule="exact"/>
        <w:rPr>
          <w:sz w:val="20"/>
          <w:szCs w:val="20"/>
          <w:color w:val="auto"/>
        </w:rPr>
      </w:pPr>
    </w:p>
    <w:p>
      <w:pPr>
        <w:ind w:right="400" w:firstLine="648"/>
        <w:spacing w:after="0" w:line="220"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 recognized for all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awards in the condensed consolidated statements of operations and comprehensive loss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8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4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r>
      <w:tr>
        <w:trPr>
          <w:trHeight w:val="169"/>
        </w:trPr>
        <w:tc>
          <w:tcPr>
            <w:tcW w:w="428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shd w:val="clear" w:color="auto" w:fill="CCEEFF"/>
          </w:tcPr>
          <w:p>
            <w:pPr>
              <w:spacing w:after="0"/>
              <w:rPr>
                <w:sz w:val="18"/>
                <w:szCs w:val="18"/>
                <w:color w:val="auto"/>
              </w:rPr>
            </w:pPr>
          </w:p>
        </w:tc>
      </w:tr>
      <w:tr>
        <w:trPr>
          <w:trHeight w:val="216"/>
        </w:trPr>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1,725</w:t>
            </w:r>
          </w:p>
        </w:tc>
        <w:tc>
          <w:tcPr>
            <w:tcW w:w="220" w:type="dxa"/>
            <w:vAlign w:val="bottom"/>
            <w:tcBorders>
              <w:bottom w:val="single" w:sz="8" w:color="CCEEFF"/>
            </w:tcBorders>
          </w:tcPr>
          <w:p>
            <w:pPr>
              <w:spacing w:after="0"/>
              <w:rPr>
                <w:sz w:val="18"/>
                <w:szCs w:val="18"/>
                <w:color w:val="auto"/>
              </w:rPr>
            </w:pPr>
          </w:p>
        </w:tc>
      </w:tr>
      <w:tr>
        <w:trPr>
          <w:trHeight w:val="210"/>
        </w:trPr>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w:t>
            </w:r>
          </w:p>
        </w:tc>
        <w:tc>
          <w:tcPr>
            <w:tcW w:w="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3,014</w:t>
            </w:r>
          </w:p>
        </w:tc>
        <w:tc>
          <w:tcPr>
            <w:tcW w:w="220" w:type="dxa"/>
            <w:vAlign w:val="bottom"/>
            <w:shd w:val="clear" w:color="auto" w:fill="CCEEFF"/>
          </w:tcPr>
          <w:p>
            <w:pPr>
              <w:spacing w:after="0"/>
              <w:rPr>
                <w:sz w:val="18"/>
                <w:szCs w:val="18"/>
                <w:color w:val="auto"/>
              </w:rPr>
            </w:pPr>
          </w:p>
        </w:tc>
      </w:tr>
      <w:tr>
        <w:trPr>
          <w:trHeight w:val="27"/>
        </w:trPr>
        <w:tc>
          <w:tcPr>
            <w:tcW w:w="428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r>
    </w:tbl>
    <w:p>
      <w:pPr>
        <w:spacing w:after="0" w:line="144" w:lineRule="exact"/>
        <w:rPr>
          <w:sz w:val="20"/>
          <w:szCs w:val="20"/>
          <w:color w:val="auto"/>
        </w:rPr>
      </w:pPr>
    </w:p>
    <w:p>
      <w:pPr>
        <w:ind w:right="60" w:firstLine="648"/>
        <w:spacing w:after="0" w:line="190" w:lineRule="exact"/>
        <w:rPr>
          <w:sz w:val="20"/>
          <w:szCs w:val="20"/>
          <w:color w:val="auto"/>
        </w:rPr>
      </w:pPr>
      <w:r>
        <w:rPr>
          <w:rFonts w:ascii="Times New Roman" w:cs="Times New Roman" w:eastAsia="Times New Roman" w:hAnsi="Times New Roman"/>
          <w:sz w:val="18"/>
          <w:szCs w:val="18"/>
          <w:color w:val="auto"/>
        </w:rPr>
        <w:t>At June 30, 2016, the Company had $13.1 million of total unrecognized compensation cost related to non-vested stock awards, which is expected to be recognized over a weighted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average period of 2.53 years. Due to an operating loss, the Company does not record tax benefits associated with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or option exercises. Tax benefit will be recorded when realized.</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2015 Employee Stock Purchase Plan</w:t>
      </w:r>
    </w:p>
    <w:p>
      <w:pPr>
        <w:spacing w:after="0" w:line="148" w:lineRule="exact"/>
        <w:rPr>
          <w:sz w:val="20"/>
          <w:szCs w:val="20"/>
          <w:color w:val="auto"/>
        </w:rPr>
      </w:pPr>
    </w:p>
    <w:p>
      <w:pPr>
        <w:ind w:right="100" w:firstLine="648"/>
        <w:spacing w:after="0" w:line="226" w:lineRule="auto"/>
        <w:rPr>
          <w:sz w:val="20"/>
          <w:szCs w:val="20"/>
          <w:color w:val="auto"/>
        </w:rPr>
      </w:pPr>
      <w:r>
        <w:rPr>
          <w:rFonts w:ascii="Times New Roman" w:cs="Times New Roman" w:eastAsia="Times New Roman" w:hAnsi="Times New Roman"/>
          <w:sz w:val="18"/>
          <w:szCs w:val="18"/>
          <w:color w:val="auto"/>
        </w:rPr>
        <w:t>In 2015, the Company’s board of directors and stockholders approved the 2015 Employee Stock Purchase Plan (the 2015 ESPP), which became effective upon the closing of the IPO in May 2015. The Company initially reserved a total of 243,347 shares of common stock for issuance under the 2015 ESPP. The 2015 ESPP provides that the number of</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type w:val="continuous"/>
        </w:sectPr>
      </w:pPr>
    </w:p>
    <w:bookmarkStart w:id="17" w:name="page18"/>
    <w:bookmarkEnd w:id="1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7" w:lineRule="auto"/>
        <w:rPr>
          <w:sz w:val="20"/>
          <w:szCs w:val="20"/>
          <w:color w:val="auto"/>
        </w:rPr>
      </w:pPr>
      <w:r>
        <w:rPr>
          <w:rFonts w:ascii="Times New Roman" w:cs="Times New Roman" w:eastAsia="Times New Roman" w:hAnsi="Times New Roman"/>
          <w:sz w:val="18"/>
          <w:szCs w:val="18"/>
          <w:color w:val="auto"/>
        </w:rPr>
        <w:t>shares reserved and available for issuance under the 2015 ESPP will be cumulatively increased on January 1 of each calendar year by 1% of the number of shares of common stock issued and outstanding on the immediately preceding December 31 or such lesser amount as specified by the compensation committee of the board of directors. For the calendar year beginning January 1, 2016, the number of shares reserved for issuance under the 2015 ESPP was increased by 271,960 shares. The Company issued 11,426 shares under the ESPP during the six months ended June 30, 2016.</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Net Loss per Share</w:t>
      </w:r>
    </w:p>
    <w:p>
      <w:pPr>
        <w:spacing w:after="0" w:line="121"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Basic net loss per share applicable to common stockholders is calculated by dividing net loss applicable to common stockholders by the weighted average shares outstanding during the period, without consideration for common stock equivalents. Net loss applicable to common stockholders is calculated by adjusting the net loss of the Company for cumulative preferred stock dividends. Diluted net loss per share applicable to common stockholders is calculated by adjusting weighted average shares outstanding for the dilutive effect of common stock equivalents outstanding for the period. For purposes of the dilutive net loss per share applicable to common stockholders calculation, convertible preferred stock, warrants, stock options, and unvested restricted stock are considered to be common stock equivalents but are excluded from the calculation of diluted net loss per share applicable to common stockholders, as their effect would be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dilutive; therefore, basic and diluted net loss per share applicable to common stockholders were the same for all periods presented as a result of the Company’s net loss. The following common stock equivalents were excluded from the calculation of diluted net loss per share applicable to common stockholders for the periods indicated because including them would have had an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effect.</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7080" w:type="dxa"/>
            <w:vAlign w:val="bottom"/>
          </w:tcPr>
          <w:p>
            <w:pPr>
              <w:spacing w:after="0"/>
              <w:rPr>
                <w:sz w:val="15"/>
                <w:szCs w:val="15"/>
                <w:color w:val="auto"/>
              </w:rPr>
            </w:pPr>
          </w:p>
        </w:tc>
        <w:tc>
          <w:tcPr>
            <w:tcW w:w="19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73"/>
        </w:trPr>
        <w:tc>
          <w:tcPr>
            <w:tcW w:w="7080" w:type="dxa"/>
            <w:vAlign w:val="bottom"/>
          </w:tcPr>
          <w:p>
            <w:pPr>
              <w:spacing w:after="0"/>
              <w:rPr>
                <w:sz w:val="15"/>
                <w:szCs w:val="15"/>
                <w:color w:val="auto"/>
              </w:rPr>
            </w:pPr>
          </w:p>
        </w:tc>
        <w:tc>
          <w:tcPr>
            <w:tcW w:w="1980" w:type="dxa"/>
            <w:vAlign w:val="bottom"/>
            <w:gridSpan w:val="4"/>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69"/>
        </w:trPr>
        <w:tc>
          <w:tcPr>
            <w:tcW w:w="7080" w:type="dxa"/>
            <w:vAlign w:val="bottom"/>
            <w:tcBorders>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2016</w:t>
            </w:r>
          </w:p>
        </w:tc>
        <w:tc>
          <w:tcPr>
            <w:tcW w:w="200" w:type="dxa"/>
            <w:vAlign w:val="bottom"/>
            <w:tcBorders>
              <w:top w:val="single" w:sz="8" w:color="auto"/>
              <w:bottom w:val="single" w:sz="8" w:color="CCEEFF"/>
            </w:tcBorders>
          </w:tcPr>
          <w:p>
            <w:pPr>
              <w:spacing w:after="0"/>
              <w:rPr>
                <w:sz w:val="14"/>
                <w:szCs w:val="14"/>
                <w:color w:val="auto"/>
              </w:rPr>
            </w:pPr>
          </w:p>
        </w:tc>
        <w:tc>
          <w:tcPr>
            <w:tcW w:w="780" w:type="dxa"/>
            <w:vAlign w:val="bottom"/>
            <w:tcBorders>
              <w:top w:val="single" w:sz="8" w:color="auto"/>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2015</w:t>
            </w:r>
          </w:p>
        </w:tc>
        <w:tc>
          <w:tcPr>
            <w:tcW w:w="220" w:type="dxa"/>
            <w:vAlign w:val="bottom"/>
            <w:tcBorders>
              <w:bottom w:val="single" w:sz="8" w:color="CCEEFF"/>
            </w:tcBorders>
          </w:tcPr>
          <w:p>
            <w:pPr>
              <w:spacing w:after="0"/>
              <w:rPr>
                <w:sz w:val="14"/>
                <w:szCs w:val="14"/>
                <w:color w:val="auto"/>
              </w:rPr>
            </w:pPr>
          </w:p>
        </w:tc>
      </w:tr>
      <w:tr>
        <w:trPr>
          <w:trHeight w:val="21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options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2,462,926</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2,098,499</w:t>
            </w:r>
          </w:p>
        </w:tc>
        <w:tc>
          <w:tcPr>
            <w:tcW w:w="220" w:type="dxa"/>
            <w:vAlign w:val="bottom"/>
            <w:shd w:val="clear" w:color="auto" w:fill="CCEEFF"/>
          </w:tcPr>
          <w:p>
            <w:pPr>
              <w:spacing w:after="0"/>
              <w:rPr>
                <w:sz w:val="18"/>
                <w:szCs w:val="18"/>
                <w:color w:val="auto"/>
              </w:rPr>
            </w:pPr>
          </w:p>
        </w:tc>
      </w:tr>
      <w:tr>
        <w:trPr>
          <w:trHeight w:val="216"/>
        </w:trPr>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Unvested restricted stock</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49,575</w:t>
            </w:r>
          </w:p>
        </w:tc>
        <w:tc>
          <w:tcPr>
            <w:tcW w:w="2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257,049</w:t>
            </w:r>
          </w:p>
        </w:tc>
        <w:tc>
          <w:tcPr>
            <w:tcW w:w="220" w:type="dxa"/>
            <w:vAlign w:val="bottom"/>
            <w:tcBorders>
              <w:bottom w:val="single" w:sz="8" w:color="CCEEFF"/>
            </w:tcBorders>
          </w:tcPr>
          <w:p>
            <w:pPr>
              <w:spacing w:after="0"/>
              <w:rPr>
                <w:sz w:val="18"/>
                <w:szCs w:val="18"/>
                <w:color w:val="auto"/>
              </w:rPr>
            </w:pPr>
          </w:p>
        </w:tc>
      </w:tr>
      <w:tr>
        <w:trPr>
          <w:trHeight w:val="217"/>
        </w:trPr>
        <w:tc>
          <w:tcPr>
            <w:tcW w:w="7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2,512,501</w:t>
            </w:r>
          </w:p>
        </w:tc>
        <w:tc>
          <w:tcPr>
            <w:tcW w:w="20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2,355,548</w:t>
            </w:r>
          </w:p>
        </w:tc>
        <w:tc>
          <w:tcPr>
            <w:tcW w:w="220" w:type="dxa"/>
            <w:vAlign w:val="bottom"/>
            <w:tcBorders>
              <w:bottom w:val="single" w:sz="8" w:color="CCEEFF"/>
            </w:tcBorders>
            <w:shd w:val="clear" w:color="auto" w:fill="CCEEFF"/>
          </w:tcPr>
          <w:p>
            <w:pPr>
              <w:spacing w:after="0"/>
              <w:rPr>
                <w:sz w:val="18"/>
                <w:szCs w:val="18"/>
                <w:color w:val="auto"/>
              </w:rPr>
            </w:pPr>
          </w:p>
        </w:tc>
      </w:tr>
    </w:tbl>
    <w:p>
      <w:pPr>
        <w:spacing w:after="0" w:line="144"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The weighted average number of common shares used in net loss per share applicable to common stockholders on a basic and diluted basis were 27,170,423 and 17,092,989 for the three months ended June 30, 2016 and 2015, respectively, and 27,129,171 and 9,430,462 for the six months ended June 30, 2016 and 2015, respectively.</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Commitments</w:t>
      </w:r>
    </w:p>
    <w:p>
      <w:pPr>
        <w:spacing w:after="0" w:line="189" w:lineRule="exact"/>
        <w:rPr>
          <w:sz w:val="20"/>
          <w:szCs w:val="20"/>
          <w:color w:val="auto"/>
        </w:rPr>
      </w:pPr>
    </w:p>
    <w:p>
      <w:pPr>
        <w:jc w:val="both"/>
        <w:ind w:right="200" w:firstLine="648"/>
        <w:spacing w:after="0" w:line="226" w:lineRule="auto"/>
        <w:rPr>
          <w:sz w:val="20"/>
          <w:szCs w:val="20"/>
          <w:color w:val="auto"/>
        </w:rPr>
      </w:pPr>
      <w:r>
        <w:rPr>
          <w:rFonts w:ascii="Times New Roman" w:cs="Times New Roman" w:eastAsia="Times New Roman" w:hAnsi="Times New Roman"/>
          <w:sz w:val="18"/>
          <w:szCs w:val="18"/>
          <w:color w:val="auto"/>
        </w:rPr>
        <w:t>The Company leased its prior corporate headquarters under an operating lease that expired on November 1, 2015. On February 1, 2015, the Company’s option to extend the term of the lease for an additional three-year period expired. The Company did not exercise its option to extend the term of the lease.</w:t>
      </w:r>
    </w:p>
    <w:p>
      <w:pPr>
        <w:spacing w:after="0" w:line="118" w:lineRule="exact"/>
        <w:rPr>
          <w:sz w:val="20"/>
          <w:szCs w:val="20"/>
          <w:color w:val="auto"/>
        </w:rPr>
      </w:pPr>
    </w:p>
    <w:p>
      <w:pPr>
        <w:ind w:right="40" w:firstLine="648"/>
        <w:spacing w:after="0" w:line="208" w:lineRule="auto"/>
        <w:rPr>
          <w:sz w:val="20"/>
          <w:szCs w:val="20"/>
          <w:color w:val="auto"/>
        </w:rPr>
      </w:pPr>
      <w:r>
        <w:rPr>
          <w:rFonts w:ascii="Times New Roman" w:cs="Times New Roman" w:eastAsia="Times New Roman" w:hAnsi="Times New Roman"/>
          <w:sz w:val="18"/>
          <w:szCs w:val="18"/>
          <w:color w:val="auto"/>
        </w:rPr>
        <w:t>On February 12, 2015, the Company entered into a lease for approximately 38,500 rentable square feet of office and laboratory space in Cambridge, Massachusetts, which the Company gained control over on June 15, 2015, and occupancy commenced in October 2015. The lease ends on October 31, 2022. The Company has an option to extend the lease for five additional years. The lease has a total commitment of $17.8 million over the seven year term. The Company has agreed to pay an initial annual base rent of approximately $2.3 million, which rises periodically until it reaches approximately $2.8 million. The Company is recording rent expense on a straight-line basis through the end of the lease term. The Company has recorded deferred rent on the condensed consolidated balance sheet at June 30, 2016, accordingly. The lease provides the Company with an allowance for leasehold improvements of $4.3 million. The Company accounts for leasehold improvement incentives as a reduction to rent expense ratably over the lease term. The balance from the leasehold improvement incentives is included in lease incentive obligations on the balance sheets. The lease agreement required the Company to pay a security deposit of $1.3 million, which is recorded in restricted cash on the Company’s balance sheet. For the three months ended June 30, 2016 and 2015, rent expense was $0.5 million and $0.3 million, respectively. For the six months ended June 30, 2016 and 2015, rent expense was $0.9 million and $0.5 million, respectively.</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8" w:name="page19"/>
    <w:bookmarkEnd w:id="1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00"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unaudited consolidated financial statements and related notes appearing elsewhere in this Quarterly Report on Form 10-Q and the audited consolidated financial statements and related notes thereto and management’s discussion and analysis of financial condition and results of operations included in our Annual Report on Form 10-K for the year ended December 31, 2015, filed with the Securities and Exchange Commission, or the SEC, on March 11, 2016. Some of the information contained in this discussion and analysis or set forth elsewhere in this Quarterly Report on Form 10-Q, including information with respect to our plans and strategy for our business, includes forward-looking statements that involve risks and uncertainties. As a result of many factors, including those factors set forth in the ‘‘Risk Factors’’ section of this Quarterly Report on Form 10-Q, our actual results or timing of certain events could differ materially from the results or timing described in, or implied by, these forward-looking statements.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ind w:right="120" w:firstLine="648"/>
        <w:spacing w:after="0" w:line="180" w:lineRule="exact"/>
        <w:rPr>
          <w:sz w:val="20"/>
          <w:szCs w:val="20"/>
          <w:color w:val="auto"/>
        </w:rPr>
      </w:pPr>
      <w:r>
        <w:rPr>
          <w:rFonts w:ascii="Times New Roman" w:cs="Times New Roman" w:eastAsia="Times New Roman" w:hAnsi="Times New Roman"/>
          <w:sz w:val="18"/>
          <w:szCs w:val="18"/>
          <w:color w:val="auto"/>
        </w:rPr>
        <w:t>We are a biopharmaceutical company focused on improving the lives of patients with genomically defined diseases driven by abnormal kinase activation. Our approach is to systematically and reproducibly identify kinases that are drivers of diseases in genomically defined patient populations and to craft drug candidates with therapeutic windows that may provide significant and durable clinical responses to patients without adequate treatment options. This integrated biology and chemistry approach enables us to drug known kinases that have been difficult to inhibit selectively and also identify, characterize and drug novel kinase targets. By focusing on diseases in genomically defined patient populations, we believe that we will have a more efficient development path with a greater likelihood of success. Leveraging our novel target discovery engine, we have developed a robust small molecule drug pipeline in cancer and a rare genetic disease. One of our lead drug candidates is BLU-285, which targets KIT Exon 17 mutants and PDGFRα D842V, abnormally active receptor tyrosine kinase mutants that are drivers of cancer and proliferative disorders. BLU-285 is currently being developed for patients with systemic mastocytosis, or SM, a myeloproliferative disorder of the mast cells, and defined subsets of patients with gastrointestinal stromal tumor, or GIST, the most common sarcoma, or tumor of bone or connective tissue, of the gastrointestinal tract. Our other lead drug candidate is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which targets FGFR4, a kinase that is aberrantly activated and is a driver of disease in a defined subset of patients with hepatocellular carcinoma, or HCC, the most common type of liver cancer. Both drug candidates have demonstrated proof of concept in pre-clinical models.</w:t>
      </w:r>
    </w:p>
    <w:p>
      <w:pPr>
        <w:spacing w:after="0" w:line="159"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In June 2015, July 2015 and September 2015, respectively, the U.S. Food and Drug Administration, or FDA, accepted our Investigational New Drug, or IND, applications for BLU-554 for the treatment of advanced HCC and cholangiocarcinoma, a rare form of cancer that affects the bile ducts, BLU-285 for the treatment of unresectable, treatment-resistant GIST and BLU-285 for the treatment of advanced SM. We have initiated dose-escalation Phase 1 clinical trials for each of these indications and are currently enrolling patients in each of these clinical trials. The dose escalation portion of each Phase 1 clinical trial is designed to enroll three patients in each cohort with the goal of establishing a maximum tolerated dose, or MTD, or a recommended dose if the MTD is not achieved. We expect to report preliminary data for each of these Phase 1 clinical trials by the end of 2016. For each Phase 1 clinical trial, we anticipate that this preliminary data will include safety, pharmacokinetics and pharmacodynamic measures across a range of dose levels and any initial assessments of clinical activity that may be available. In September 2015, the FDA granted orphan drug designation to BLU-554 for the treatment of HCC, and in January 2016, the FDA granted orphan drug designation to BLU-285 for the treatment of GIST and SM.</w:t>
      </w:r>
    </w:p>
    <w:p>
      <w:pPr>
        <w:spacing w:after="0" w:line="160"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We are also developing BLU-667, a drug candidate that targets RET, a receptor tyrosine kinase that can become abnormally activated by mutations or translocations, which occurs when a portion of the gene that encodes RET is joined to part of another gene to encode a fusion protein, and RET resistant mutants that we predict will arise from treatment with first generation therapies. A fusion protein is encoded by a fusion gene, which is a gene in which a portion of one gene is joined to part of another gene. In the case of RET, a portion of the RET gene that encodes the kinase domain is joined to part of another gene. RET fusion proteins are always active and are thought to be drivers in several cancers. RET is a driver of disease in non-small cell lung cancer and cancers of the thyroid, and our research suggests that RET may be a driver of disease in subsets of colon and breast cancer. In pre-clinical studies, BLU6864, a structurally related compound that we identified in the course of developing BLU-667, induced tumor regression in disease models driven by the primary RET fusion and a predicted secondary on-target resistance mutation. We have initiated 28-day Good</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237" w:lineRule="auto"/>
        <w:rPr>
          <w:sz w:val="20"/>
          <w:szCs w:val="20"/>
          <w:color w:val="auto"/>
        </w:rPr>
      </w:pPr>
      <w:r>
        <w:rPr>
          <w:rFonts w:ascii="Times New Roman" w:cs="Times New Roman" w:eastAsia="Times New Roman" w:hAnsi="Times New Roman"/>
          <w:sz w:val="18"/>
          <w:szCs w:val="18"/>
          <w:color w:val="auto"/>
        </w:rPr>
        <w:t>Laboratory Practice, or GLP, toxicology studies for BLU-667 with the goal of identifying the dose limiting toxicity and anticipated first-in-human dose for BLU-667. We plan to file an IND for BLU-667 by the end of 2016.</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Leveraging our novel target discovery engine, we also have initiated efforts for a discovery program for an undisclosed kinase target. In addition, we have identified predicted resistance mutations in the neurotrophic tyrosine receptor kinase, or NTRK, which is believed to be a driver of disease in a broad set of cancers, and are developing inhibitors of NTRK and predicted NTRK resistant mutants. We also have a rare genetic disease program that is the subject of our collaboration with Alexion Pharma Holding, or Alexion. In 2016, we expect to begin three of the cancer immunotherapy programs that are the subject of our collaboration with F. Hoffmann-La Roche Ltd and Hoffmann-La Roche Inc., which we collectively refer to as Roche.</w:t>
      </w:r>
    </w:p>
    <w:p>
      <w:pPr>
        <w:spacing w:after="0" w:line="159"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Since inception, our operations have focused on organizing and staffing our company, business planning, raising capital, establishing our intellectual property, building our platform including our proprietary compound library and new target discovery engine, identifying kinase drug targets and potential drug candidates, producing drug substance and drug product material for use in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conducting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including GLP toxicology studies and commencing clinical development activities. We do not have any drugs approved for sale and have not generated any revenue from drug sales.</w:t>
      </w:r>
    </w:p>
    <w:p>
      <w:pPr>
        <w:spacing w:after="0" w:line="162" w:lineRule="exact"/>
        <w:rPr>
          <w:sz w:val="20"/>
          <w:szCs w:val="20"/>
          <w:color w:val="auto"/>
        </w:rPr>
      </w:pPr>
    </w:p>
    <w:p>
      <w:pPr>
        <w:ind w:right="60" w:firstLine="648"/>
        <w:spacing w:after="0" w:line="209" w:lineRule="auto"/>
        <w:rPr>
          <w:sz w:val="20"/>
          <w:szCs w:val="20"/>
          <w:color w:val="auto"/>
        </w:rPr>
      </w:pPr>
      <w:r>
        <w:rPr>
          <w:rFonts w:ascii="Times New Roman" w:cs="Times New Roman" w:eastAsia="Times New Roman" w:hAnsi="Times New Roman"/>
          <w:sz w:val="18"/>
          <w:szCs w:val="18"/>
          <w:color w:val="auto"/>
        </w:rPr>
        <w:t>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We received gross proceeds of $168.6 million before deducting underwriting discounts and commissions and offering costs paid by us. To date, we have financed our operations primarily through our IPO, private placements of our convertible preferred stock and, to a lesser extent, the research, development and commercialization agreement, or Alexion agreement, that we entered into in March 2015 with Alexion, the collaboration and license agreement, or Roche agreement, that we entered into in March 2016 with Roche and a debt financing. Through June 30, 2016, we have received an aggregate of $356.5 million from such transactions, including $168.6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w:t>
      </w:r>
    </w:p>
    <w:p>
      <w:pPr>
        <w:spacing w:after="0" w:line="165"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Since inception, we have incurred significant operating losses. Our net loss was $34.4 million and $24.6 million for the six months ended June 30, 2016 and 2015, respectively, $52.8 million for the year ended December 31, 2015, $40.3 million for the year ended December 31, 2014 and $20.9 million for the year ended December 31, 2013. As of June 30, 2016, we had an accumulated deficit of $169.4 million. We expect to continue to incur significant expenses and operating losses over the next several years. We anticipate that our expenses will increase significantly in connection with our ongoing activities, particularly as we:</w:t>
      </w:r>
    </w:p>
    <w:p>
      <w:pPr>
        <w:spacing w:after="0" w:line="162" w:lineRule="exact"/>
        <w:rPr>
          <w:sz w:val="20"/>
          <w:szCs w:val="20"/>
          <w:color w:val="auto"/>
        </w:rPr>
      </w:pPr>
    </w:p>
    <w:p>
      <w:pPr>
        <w:ind w:left="980" w:right="360"/>
        <w:spacing w:after="0" w:line="454" w:lineRule="auto"/>
        <w:rPr>
          <w:sz w:val="20"/>
          <w:szCs w:val="20"/>
          <w:color w:val="auto"/>
        </w:rPr>
      </w:pPr>
      <w:r>
        <w:rPr>
          <w:rFonts w:ascii="Times New Roman" w:cs="Times New Roman" w:eastAsia="Times New Roman" w:hAnsi="Times New Roman"/>
          <w:sz w:val="18"/>
          <w:szCs w:val="18"/>
          <w:color w:val="auto"/>
        </w:rPr>
        <w:t>·continue the planned clinical development activities for our lead drug candidates, BLU-285 and BLU-554; ·continue to discover, validate and develop additional drug candidates, including BLU-667; ·conduct research and development activities under our collaborations with Alexion and Roche;</w:t>
      </w: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·conduct development and commercialization activities for companion diagnostics, including our companion diagnostic with Ventana Medical Systems, Inc., or Ventana, for BLU-554;</w:t>
      </w:r>
    </w:p>
    <w:p>
      <w:pPr>
        <w:spacing w:after="0" w:line="158" w:lineRule="exact"/>
        <w:rPr>
          <w:sz w:val="20"/>
          <w:szCs w:val="20"/>
          <w:color w:val="auto"/>
        </w:rPr>
      </w:pPr>
    </w:p>
    <w:p>
      <w:pPr>
        <w:ind w:left="1060" w:hanging="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expand and protect our intellectual property portfolio;</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 additional research, development and business personnel;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additional costs associated with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Collaborations and Partnerships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Alexion</w:t>
      </w:r>
    </w:p>
    <w:p>
      <w:pPr>
        <w:spacing w:after="0" w:line="189"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In March 2015, we entered into the Alexion agreement to research, develop and commercialize drug candidates for an undisclosed activated kinase target, which is the cause of a rare genetic disease. Under the terms of this agreement, we are responsible for research and pre-clinical development activities related to drug candidates and Alexion is responsible for all clinical development, manufacturing and commercialization activities related to drug candidates.</w:t>
      </w:r>
    </w:p>
    <w:p>
      <w:pPr>
        <w:spacing w:after="0" w:line="159"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Alexion is responsible for funding 100% of our research and development costs incurred under the research plan, including pass-through costs and a negotiated yearly rate per full-time equivalent for our employees’ time and their associated overhead expenses. We received a $15.0 million non-refundable upfront payment in March 2015 upon execution of the Alexion agreement and are eligible to receive over $250.0 million in payments upon the successful achievement of pre-specified pre-clinical, clinical, regulatory and commercial milestones as follows: (i) up to $6.0 million in pre-clinical milestone payments for the first licensed product, (ii) up to $83.0 million and $61.5 million in development milestone payments for the first and second licensed products, respectively, and (iii) up to $51.0 million in commercial milestone payments for each of the first and second licensed products. We received a $1.75 million payment from Alexion in the second quarter of 2015 and payments of $0.25 million and $0.75 million from Alexion in the first quarter of 2016 following the achievement of three pre-clinical milestones under the Alexion agreement. In the third quarter of 2016, we achieved a pre-clinical milestone of $1.0 million, which is expected to be paid during the third quarter of 2016. Alexion will pay us tiered royalties, ranging from mid-single to low-double digit percentages, on a country-by-country and licensed-product-by-licensed-product basis, on worldwide net product sales of licensed products. The royalty term for each licensed product in each country is the period commencing with first commercial sale of such licensed product in such country and ending on the later of (i) the expiration of the last-to-expire valid claim of specified patents covering such licensed product, (ii) the expiration of the applicable regulatory exclusivity period, and (iii) 10 or 15 years from specified commercial sales.</w:t>
      </w:r>
    </w:p>
    <w:p>
      <w:pPr>
        <w:spacing w:after="0" w:line="169"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Alexion has the right to terminate the Alexion agreement if we undergo a change of control or become an affiliate of a biotechnology or pharmaceutical company, and may terminate the Alexion agreement at will upon 90 days’ prior written notice. We and Alexion have the right to terminate the Alexion agreement in the event of the other party’s uncured breach or insolvency, and in certain other circumstances agreed to by the parties.</w:t>
      </w:r>
    </w:p>
    <w:p>
      <w:pPr>
        <w:spacing w:after="0" w:line="159"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During the three months ended June 30, 2016 and June 30, 2015, we recognized revenue under the Alexion agreement of $5.7 million and $2.7 million, respectively. During the six months ended June 30, 2016 and June 30, 2015, we recognized revenue under the Alexion agreement of $12.3 million and $3.3 million, respectively, which represents reimburseable research and development costs, a $0.75 million milestone payment in the three months ended March 31, 2016, which was recognized upon achievement, as well as a portion of the $15.0 million upfront payment and a $1.75 million milestone payment previously received. During the six months ended June 30, 2016, we received $7.4 million related to reimbursable research and development costs under the Alexion agreement. As of June 30, 2016, we have recorded unbilled accounts receivable of $3.4 million related to reimbursable research and development costs under the Alexion agreement for activities performed during the three months ended June 30, 2016.</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Roche</w:t>
      </w:r>
    </w:p>
    <w:p>
      <w:pPr>
        <w:spacing w:after="0" w:line="18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In March 2016, we entered into the Roche agreement pursuant to which we and Roche have agreed to collaborate on the discovery, development and commercialization of up to five small molecule therapeutics targeting kinases believed to be important in cancer immunotherapy, as single products or possibly in combination with other therapeutics. The parties have identified targets for three of the collaboration programs, two of which began in the first half of 2016 and the third of which is expected to begin in 2016, and the parties have agreed to work together to use our novel target discovery engine and proprietary compound library to select targets for up to two additional collaboration programs.</w:t>
      </w:r>
    </w:p>
    <w:p>
      <w:pPr>
        <w:spacing w:after="0" w:line="162"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Under the Roche agreement, Roche is granted up to five option rights to obtain an exclusive license to exploit products derived from the collaboration programs, or licensed products, in the field of cancer immunotherapy. Such option rights are triggered upon the achievement of Phase 1 proof-of-concept. For up to three of the five collaboration</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programs, if Roche exercises its option, Roche will receive worldwide, exclusive commercialization rights for the licensed products. For up to two of the five collaboration programs, if Roche exercises its option, we will retain commercialization rights in the United States for the licensed products, and Roche will receive commercialization rights outside of the United States for the licensed products. We will also retain worldwide rights to any products for which Roche elects not to exercise its applicable option. Prior to Roche’s exercise of an option, we will have the lead responsibility for drug discovery and pre-clinical development of all collaboration programs. In addition, we will have the lead responsibility for the conduct of all Phase 1 clinical trials other than those Phase 1 clinical trials for any product in combination with Roche’s portfolio of therapeutics, for which Roche will have the right to lead the conduct of such Phase 1 clinical trials. Pursuant to the Roche agreement, the parties will share the costs of Phase 1 development for each collaboration program. In addition, Roche will be responsible for post-Phase 1 development costs for each licensed product for which it retains global commercialization rights, and we and Roche will share post-Phase 1 development costs for each licensed product for which we retain commercialization rights in the United States.</w:t>
      </w:r>
    </w:p>
    <w:p>
      <w:pPr>
        <w:spacing w:after="0" w:line="160" w:lineRule="exact"/>
        <w:rPr>
          <w:sz w:val="20"/>
          <w:szCs w:val="20"/>
          <w:color w:val="auto"/>
        </w:rPr>
      </w:pPr>
    </w:p>
    <w:p>
      <w:pPr>
        <w:ind w:firstLine="1296"/>
        <w:spacing w:after="0" w:line="221" w:lineRule="auto"/>
        <w:rPr>
          <w:sz w:val="20"/>
          <w:szCs w:val="20"/>
          <w:color w:val="auto"/>
        </w:rPr>
      </w:pPr>
      <w:r>
        <w:rPr>
          <w:rFonts w:ascii="Times New Roman" w:cs="Times New Roman" w:eastAsia="Times New Roman" w:hAnsi="Times New Roman"/>
          <w:sz w:val="17"/>
          <w:szCs w:val="17"/>
          <w:color w:val="auto"/>
        </w:rPr>
        <w:t>We received an upfront cash payment of $45.0 million in March 2016 upon execution of the Roche agreement, and subject to the terms of the Roche agreement, we will be eligible to receive up to approximately $965.0 million in contingent option fees and milestone payments related to specified research, pre-clinical, clinical, regulatory and sales-based milestones. Of the total contingent payments, up to approximately $215.0 million are for option fees and milestone payments for research, pre-clinical and clinical development events prior to licensing across all five potential collaboration programs, including contingent milestone payments for initiation of each of the collaboration programs for which the parties will work together to select targets. In addition, for any licensed product for which Roche retains worldwide commercialization rights, we will be eligible to receive tiered royalties ranging from low double-digits to high-teens on future net sales of the licensed product. For any licensed product for which we retain commercialization rights in the United States, we and Roche will be eligible to receive tiered royalties ranging from mid-single-digits to low double-digits on future net sales in the other party’s respective territories in which it commercializes the licensed product. The upfront cash payment and any payments for milestones, option fees and royalties are non-refundable, non-creditable and not subject to set-off.</w:t>
      </w:r>
    </w:p>
    <w:p>
      <w:pPr>
        <w:spacing w:after="0" w:line="163"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Under the Roche agreement, each party has granted the other party specified intellectual property licenses to enable the other party to perform its obligations and exercise its rights under the Roche agreement, including license grants to enable each party to conduct research, development and commercialization activities pursuant to the terms of the Roche agreement. Following Roche’s exercise of its option with respect to the collaboration programs for which it will obtain worldwide rights, we will grant Roche an exclusive license under our intellectual property to develop and commercialize the licensed products generated through such collaboration program. Similarly, Roche will grant us an exclusive license under Roche’s intellectual property to develop and commercialize licensed products in the United States for the collaboration programs on which we will retain rights in the United States, with Roche receiving a license under our intellectual property to develop and commercialize such licensed products outside of the United States.</w:t>
      </w:r>
    </w:p>
    <w:p>
      <w:pPr>
        <w:spacing w:after="0" w:line="158"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Subject to the terms and conditions of the Roche agreement, we have agreed to work exclusively with Roche with respect to each collaboration target, and we have agreed to work exclusively within the field of cancer immunotherapy for a period of up to 30 months after the execution of the Roche agreement. In addition, subject to specified exceptions, Roche has a right of first negotiation in the event that we desire to grant any third party rights to develop or commercialize a licensed product under either of the collaboration programs for which we will retain commercialization rights in the United States. Roche’s right of first negotiation will not apply in connection with a change of control of us, an assignment by us in accordance with the terms of the Roche agreement or certain agreements with contract research organizations, contract manufacturing organizations, academic institutions, not-for-profit third parties or distributors.</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The Roche agreement will continue until the date when no royalty or other payment obligations are or will become due, unless earlier terminated in accordance with the terms of the Roche agreement. Prior to its exercise of its first option, Roche may terminate the Roche agreement at will, in whole or on a collaboration target-by-collaboration target basis, upon 120 days’ prior written notice to us. Following its exercise of an option, Roche may terminate the Roche agreement at will, in whole, on a collaboration target-by-collaboration target basis, on a collaboration program-by-collaboration program basis or, if a licensed product has been commercially sold, on a country-by-country basis, (i) upon 120 days’ prior written notice if a licensed product has not been commercially sold or (ii) upon 180 days’ prior written notice if a licensed product has been commercially sold. Either party may terminate the Roche agreement for the other party’s uncured material breach or insolvency and in certain other circumstances agreed to by the parties. In certain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circumstances, we are entitled to retain specified licenses to be able to continue to exploit the licensed products.</w:t>
      </w:r>
    </w:p>
    <w:p>
      <w:pPr>
        <w:spacing w:after="0" w:line="185"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During the three and six months ended June 30, 2016, we recognized revenue under the Roche agreement of $1.4 million and $1.6 million, respectively, which represents a portion of the $45.0 million upfront payment.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Ventana</w:t>
      </w:r>
    </w:p>
    <w:p>
      <w:pPr>
        <w:spacing w:after="0" w:line="189" w:lineRule="exact"/>
        <w:rPr>
          <w:sz w:val="20"/>
          <w:szCs w:val="20"/>
          <w:color w:val="auto"/>
        </w:rPr>
      </w:pPr>
    </w:p>
    <w:p>
      <w:pPr>
        <w:ind w:right="160" w:firstLine="648"/>
        <w:spacing w:after="0" w:line="213" w:lineRule="auto"/>
        <w:rPr>
          <w:sz w:val="20"/>
          <w:szCs w:val="20"/>
          <w:color w:val="auto"/>
        </w:rPr>
      </w:pPr>
      <w:r>
        <w:rPr>
          <w:rFonts w:ascii="Times New Roman" w:cs="Times New Roman" w:eastAsia="Times New Roman" w:hAnsi="Times New Roman"/>
          <w:sz w:val="18"/>
          <w:szCs w:val="18"/>
          <w:color w:val="auto"/>
        </w:rPr>
        <w:t>In March 2016, we entered into a master collaboration agreement and project schedules, which we refer to collectively as the Ventana agreement, with Ventana, a member of the Roche Group. Pursuant to the Ventana agreement, Ventana has agreed to develop and commercialize an assay as a companion diagnostic test to identify HCC patients with aberrantly active FGFR4 signaling as indicated by FGF19 protein overexpression for use with BLU-554. FGF19 is a ligand that activates FGFR4, a kinase that is aberrantly activated and is a driver of disease in a subset of patients with HCC. The parties anticipate using Ventana’s investigational immunohistochemistry, or IHC, assay to initially develop the companion diagnostic test. IHC is a process of detecting proteins in tissue cells.</w:t>
      </w:r>
    </w:p>
    <w:p>
      <w:pPr>
        <w:spacing w:after="0" w:line="159" w:lineRule="exact"/>
        <w:rPr>
          <w:sz w:val="20"/>
          <w:szCs w:val="20"/>
          <w:color w:val="auto"/>
        </w:rPr>
      </w:pPr>
    </w:p>
    <w:p>
      <w:pPr>
        <w:ind w:right="220" w:firstLine="648"/>
        <w:spacing w:after="0" w:line="211" w:lineRule="auto"/>
        <w:rPr>
          <w:sz w:val="20"/>
          <w:szCs w:val="20"/>
          <w:color w:val="auto"/>
        </w:rPr>
      </w:pPr>
      <w:r>
        <w:rPr>
          <w:rFonts w:ascii="Times New Roman" w:cs="Times New Roman" w:eastAsia="Times New Roman" w:hAnsi="Times New Roman"/>
          <w:sz w:val="18"/>
          <w:szCs w:val="18"/>
          <w:color w:val="auto"/>
        </w:rPr>
        <w:t>Under the Ventana agreement, Ventana is responsible for developing, and obtaining and maintaining regulatory approvals for, the companion diagnostic test in the United States, specified countries in the European Union, any other countries that recognize the CE/in vitro diagnostic self-registration process and such other countries as the parties may mutually agree. If despite using commercially reasonable efforts Ventana fails, or refuses to seek, obtain or maintain regulatory approvals for, the companion diagnostic test in any country in which Ventana is responsible for obtaining and maintaining regulatory approvals, or in the case of certain specified supply failures or failures to commercialize the companion diagnostic test in any such country, then the parties will negotiate in good faith to select, agree upon and implement one or more alternative arrangements that are reasonably acceptable to the parties for the companion diagnostic test in such country or countries.</w:t>
      </w:r>
    </w:p>
    <w:p>
      <w:pPr>
        <w:spacing w:after="0" w:line="158"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Pursuant to the Ventana agreement, the parties will form a joint steering committee comprised of an equal number of representatives from us and Ventana. The joint steering committee will oversee the activities under the Ventana agreement and any project schedule. Upon the request of either party, the joint steering committee will form one or more of the following committees: a joint development committee, joint commercialization committee or joint patent committee.</w:t>
      </w:r>
    </w:p>
    <w:p>
      <w:pPr>
        <w:spacing w:after="0" w:line="159"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Under the Ventana agreement, each party has granted the other party specified intellectual property licenses to enable the other party to perform its obligations and exercise its rights under the Ventana agreement, including license grants to enable Ventana to develop and commercialize companion diagnostic tests for use with any of our products that are the subject of the Ventana agreement and to enable us to develop and commercialize its products with any companion diagnostic test developed by Ventana under the Ventana agreement. Certain of the license rights granted by each party generally survive termination of the Ventana agreement. Ventana remains free to develop its companion diagnostic tests for use with a third party’s therapeutic products, and we remain free to engage a third party to develop other companion diagnostic tests for use with BLU-554 and any of our other drug candidates.</w:t>
      </w:r>
    </w:p>
    <w:p>
      <w:pPr>
        <w:spacing w:after="0" w:line="14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Subject to the terms of the Ventana agreement, we will pay Ventana an aggregate amount of up to approximately</w:t>
      </w:r>
    </w:p>
    <w:p>
      <w:pPr>
        <w:spacing w:after="0" w:line="203" w:lineRule="auto"/>
        <w:rPr>
          <w:sz w:val="20"/>
          <w:szCs w:val="20"/>
          <w:color w:val="auto"/>
        </w:rPr>
      </w:pPr>
      <w:r>
        <w:rPr>
          <w:rFonts w:ascii="Times New Roman" w:cs="Times New Roman" w:eastAsia="Times New Roman" w:hAnsi="Times New Roman"/>
          <w:sz w:val="18"/>
          <w:szCs w:val="18"/>
          <w:color w:val="auto"/>
        </w:rPr>
        <w:t>$12.3 million over the term of the development program for the companion diagnostic test for BLU-554. In addition, we will</w:t>
      </w:r>
    </w:p>
    <w:p>
      <w:pPr>
        <w:spacing w:after="0" w:line="204" w:lineRule="auto"/>
        <w:rPr>
          <w:sz w:val="20"/>
          <w:szCs w:val="20"/>
          <w:color w:val="auto"/>
        </w:rPr>
      </w:pPr>
      <w:r>
        <w:rPr>
          <w:rFonts w:ascii="Times New Roman" w:cs="Times New Roman" w:eastAsia="Times New Roman" w:hAnsi="Times New Roman"/>
          <w:sz w:val="18"/>
          <w:szCs w:val="18"/>
          <w:color w:val="auto"/>
        </w:rPr>
        <w:t>reimburse Ventana for certain pass through costs and will be obligated to pay Ventana up to an additional $2.0 million if we</w:t>
      </w:r>
    </w:p>
    <w:p>
      <w:pPr>
        <w:spacing w:after="0" w:line="203" w:lineRule="auto"/>
        <w:rPr>
          <w:sz w:val="20"/>
          <w:szCs w:val="20"/>
          <w:color w:val="auto"/>
        </w:rPr>
      </w:pPr>
      <w:r>
        <w:rPr>
          <w:rFonts w:ascii="Times New Roman" w:cs="Times New Roman" w:eastAsia="Times New Roman" w:hAnsi="Times New Roman"/>
          <w:sz w:val="18"/>
          <w:szCs w:val="18"/>
          <w:color w:val="auto"/>
        </w:rPr>
        <w:t>elect to have Ventana perform additional optional validation studies specified in the Ventana agreement. These amounts are</w:t>
      </w:r>
    </w:p>
    <w:p>
      <w:pPr>
        <w:spacing w:after="0" w:line="204" w:lineRule="auto"/>
        <w:rPr>
          <w:sz w:val="20"/>
          <w:szCs w:val="20"/>
          <w:color w:val="auto"/>
        </w:rPr>
      </w:pPr>
      <w:r>
        <w:rPr>
          <w:rFonts w:ascii="Times New Roman" w:cs="Times New Roman" w:eastAsia="Times New Roman" w:hAnsi="Times New Roman"/>
          <w:sz w:val="18"/>
          <w:szCs w:val="18"/>
          <w:color w:val="auto"/>
        </w:rPr>
        <w:t>subject to adjustment if the parties determine that changes in the scope of the development program are required. In addition,</w:t>
      </w:r>
    </w:p>
    <w:p>
      <w:pPr>
        <w:spacing w:after="0"/>
        <w:rPr>
          <w:sz w:val="20"/>
          <w:szCs w:val="20"/>
          <w:color w:val="auto"/>
        </w:rPr>
      </w:pPr>
      <w:r>
        <w:rPr>
          <w:rFonts w:ascii="Times New Roman" w:cs="Times New Roman" w:eastAsia="Times New Roman" w:hAnsi="Times New Roman"/>
          <w:sz w:val="18"/>
          <w:szCs w:val="18"/>
          <w:color w:val="auto"/>
        </w:rPr>
        <w:t>Ventana will retain all proceeds from the commercialization of the companion diagnostic test.</w:t>
      </w:r>
    </w:p>
    <w:p>
      <w:pPr>
        <w:spacing w:after="0" w:line="165" w:lineRule="exact"/>
        <w:rPr>
          <w:sz w:val="20"/>
          <w:szCs w:val="20"/>
          <w:color w:val="auto"/>
        </w:rPr>
      </w:pPr>
    </w:p>
    <w:p>
      <w:pPr>
        <w:ind w:right="120" w:firstLine="648"/>
        <w:spacing w:after="0" w:line="213" w:lineRule="auto"/>
        <w:rPr>
          <w:sz w:val="20"/>
          <w:szCs w:val="20"/>
          <w:color w:val="auto"/>
        </w:rPr>
      </w:pPr>
      <w:r>
        <w:rPr>
          <w:rFonts w:ascii="Times New Roman" w:cs="Times New Roman" w:eastAsia="Times New Roman" w:hAnsi="Times New Roman"/>
          <w:sz w:val="18"/>
          <w:szCs w:val="18"/>
          <w:color w:val="auto"/>
        </w:rPr>
        <w:t>The Ventana agreement will continue until terminated by either party in accordance with its terms. If all projects under the Ventana agreement have been terminated in accordance with the terms of the Ventana agreement, either party may terminate the Ventana agreement for convenience upon 30 days’ prior written notice to the other party. We are permitted to terminate any project under the Ventana agreement upon 30 days’ prior written notice to Ventana in the event we cease to continue developing or commercializing the applicable product or for convenience and, under specified circumstances, payment of a termination fee and wind-down costs. Ventana is permitted to terminate any project under the Ventana agreement upon 30 or 180 days’ prior written notice to us depending on the circumstances of</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7"/>
          <w:szCs w:val="17"/>
          <w:color w:val="auto"/>
        </w:rPr>
        <w:t>such termination. Either party may terminate the Ventana agreement upon a material breach of the other party that is not cured within 60 days after written notice of such breach or immediately upon the bankruptcy or insolvency of the other party.</w:t>
      </w:r>
    </w:p>
    <w:p>
      <w:pPr>
        <w:spacing w:after="0" w:line="1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Operations Overview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189"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To date, we have not generated any revenue from drug sales and do not expect to generate any revenue from the sale of drugs in the near future. Our revenue consists of collaboration revenue under the Alexion agreement and Roche agreement, including amounts that are recognized related to upfront payments, milestone payments and amounts due to us for research and development services. In the future, revenue may include additional milestone payments and royalties on any net product sales under the respective collaboration agreements. We expect that any revenue we generate will fluctuate from quarter to quarter as a result of the timing and amount of license fees, research and development reimbursements, payments for manufacturing services, and milestone and other payments.</w:t>
      </w:r>
    </w:p>
    <w:p>
      <w:pPr>
        <w:spacing w:after="0" w:line="159" w:lineRule="exact"/>
        <w:rPr>
          <w:sz w:val="20"/>
          <w:szCs w:val="20"/>
          <w:color w:val="auto"/>
        </w:rPr>
      </w:pPr>
    </w:p>
    <w:p>
      <w:pPr>
        <w:ind w:right="920" w:firstLine="648"/>
        <w:spacing w:after="0" w:line="237" w:lineRule="auto"/>
        <w:rPr>
          <w:sz w:val="20"/>
          <w:szCs w:val="20"/>
          <w:color w:val="auto"/>
        </w:rPr>
      </w:pPr>
      <w:r>
        <w:rPr>
          <w:rFonts w:ascii="Times New Roman" w:cs="Times New Roman" w:eastAsia="Times New Roman" w:hAnsi="Times New Roman"/>
          <w:sz w:val="18"/>
          <w:szCs w:val="18"/>
          <w:color w:val="auto"/>
        </w:rPr>
        <w:t>In the future, we will seek to generate revenue from a combination of drug sales and additional strategic relationships we may enter into.</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87" w:lineRule="exact"/>
        <w:rPr>
          <w:sz w:val="20"/>
          <w:szCs w:val="20"/>
          <w:color w:val="auto"/>
        </w:rPr>
      </w:pPr>
    </w:p>
    <w:p>
      <w:pPr>
        <w:ind w:right="340" w:firstLine="648"/>
        <w:spacing w:after="0" w:line="237" w:lineRule="auto"/>
        <w:rPr>
          <w:sz w:val="20"/>
          <w:szCs w:val="20"/>
          <w:color w:val="auto"/>
        </w:rPr>
      </w:pPr>
      <w:r>
        <w:rPr>
          <w:rFonts w:ascii="Times New Roman" w:cs="Times New Roman" w:eastAsia="Times New Roman" w:hAnsi="Times New Roman"/>
          <w:sz w:val="18"/>
          <w:szCs w:val="18"/>
          <w:color w:val="auto"/>
        </w:rPr>
        <w:t>Research and development expenses consist primarily of costs incurred for our research activities, including our drug discovery efforts, and the development of our drug candidates, which include:</w:t>
      </w:r>
    </w:p>
    <w:p>
      <w:pPr>
        <w:spacing w:after="0" w:line="130"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·employee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including salaries, benefits, and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p>
      <w:pPr>
        <w:spacing w:after="0" w:line="185" w:lineRule="exact"/>
        <w:rPr>
          <w:sz w:val="20"/>
          <w:szCs w:val="20"/>
          <w:color w:val="auto"/>
        </w:rPr>
      </w:pPr>
    </w:p>
    <w:p>
      <w:pPr>
        <w:ind w:left="1020" w:right="380" w:hanging="53"/>
        <w:spacing w:after="0" w:line="220" w:lineRule="exact"/>
        <w:rPr>
          <w:sz w:val="20"/>
          <w:szCs w:val="20"/>
          <w:color w:val="auto"/>
        </w:rPr>
      </w:pPr>
      <w:r>
        <w:rPr>
          <w:rFonts w:ascii="Times New Roman" w:cs="Times New Roman" w:eastAsia="Times New Roman" w:hAnsi="Times New Roman"/>
          <w:sz w:val="18"/>
          <w:szCs w:val="18"/>
          <w:color w:val="auto"/>
        </w:rPr>
        <w:t>·expenses incurred under agreements with third parties that conduct research and development,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activities, clinical activities and manufacturing on our behalf;</w:t>
      </w:r>
    </w:p>
    <w:p>
      <w:pPr>
        <w:spacing w:after="0" w:line="158" w:lineRule="exact"/>
        <w:rPr>
          <w:sz w:val="20"/>
          <w:szCs w:val="20"/>
          <w:color w:val="auto"/>
        </w:rPr>
      </w:pPr>
    </w:p>
    <w:p>
      <w:pPr>
        <w:ind w:left="1220" w:hanging="245"/>
        <w:spacing w:after="0"/>
        <w:tabs>
          <w:tab w:leader="none" w:pos="12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consultants;</w:t>
      </w:r>
    </w:p>
    <w:p>
      <w:pPr>
        <w:spacing w:after="0" w:line="156" w:lineRule="exact"/>
        <w:rPr>
          <w:sz w:val="20"/>
          <w:szCs w:val="20"/>
          <w:color w:val="auto"/>
        </w:rPr>
      </w:pPr>
    </w:p>
    <w:p>
      <w:pPr>
        <w:ind w:left="1020" w:right="540" w:hanging="53"/>
        <w:spacing w:after="0" w:line="220" w:lineRule="exact"/>
        <w:rPr>
          <w:sz w:val="20"/>
          <w:szCs w:val="20"/>
          <w:color w:val="auto"/>
        </w:rPr>
      </w:pPr>
      <w:r>
        <w:rPr>
          <w:rFonts w:ascii="Times New Roman" w:cs="Times New Roman" w:eastAsia="Times New Roman" w:hAnsi="Times New Roman"/>
          <w:sz w:val="18"/>
          <w:szCs w:val="18"/>
          <w:color w:val="auto"/>
        </w:rPr>
        <w:t>·the cost of lab supplies and acquiring, developing and manufacturing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study and clinical trial materials; and</w:t>
      </w:r>
    </w:p>
    <w:p>
      <w:pPr>
        <w:spacing w:after="0" w:line="158" w:lineRule="exact"/>
        <w:rPr>
          <w:sz w:val="20"/>
          <w:szCs w:val="20"/>
          <w:color w:val="auto"/>
        </w:rPr>
      </w:pPr>
    </w:p>
    <w:p>
      <w:pPr>
        <w:ind w:left="1020" w:right="840" w:hanging="53"/>
        <w:spacing w:after="0" w:line="237" w:lineRule="auto"/>
        <w:rPr>
          <w:sz w:val="20"/>
          <w:szCs w:val="20"/>
          <w:color w:val="auto"/>
        </w:rPr>
      </w:pPr>
      <w:r>
        <w:rPr>
          <w:rFonts w:ascii="Times New Roman" w:cs="Times New Roman" w:eastAsia="Times New Roman" w:hAnsi="Times New Roman"/>
          <w:sz w:val="18"/>
          <w:szCs w:val="18"/>
          <w:color w:val="auto"/>
        </w:rPr>
        <w:t>·facilities, depreciation, and other expenses, which include direct and allocated expenses for rent and maintenance of facilities, insurance, and other operating costs.</w:t>
      </w:r>
    </w:p>
    <w:p>
      <w:pPr>
        <w:spacing w:after="0" w:line="15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Research and development costs are expensed as incurred. Costs for certain activities are recognized based on an evaluation of the progress to completion of specific tasks. Nonrefundable advance payments for goods or services to be received in the future for use in research and development activities are capitalized. The capitalized amounts are expensed as the related goods are delivered or the services are performed.</w:t>
      </w:r>
    </w:p>
    <w:p>
      <w:pPr>
        <w:spacing w:after="0" w:line="159" w:lineRule="exact"/>
        <w:rPr>
          <w:sz w:val="20"/>
          <w:szCs w:val="20"/>
          <w:color w:val="auto"/>
        </w:rPr>
      </w:pPr>
    </w:p>
    <w:p>
      <w:pPr>
        <w:ind w:right="20" w:firstLine="648"/>
        <w:spacing w:after="0" w:line="217" w:lineRule="auto"/>
        <w:rPr>
          <w:sz w:val="20"/>
          <w:szCs w:val="20"/>
          <w:color w:val="auto"/>
        </w:rPr>
      </w:pPr>
      <w:r>
        <w:rPr>
          <w:rFonts w:ascii="Times New Roman" w:cs="Times New Roman" w:eastAsia="Times New Roman" w:hAnsi="Times New Roman"/>
          <w:sz w:val="18"/>
          <w:szCs w:val="18"/>
          <w:color w:val="auto"/>
        </w:rPr>
        <w:t>The successful development of our drug candidates is highly uncertain. As such, at this time, we cannot reasonably estimate or know the nature, timing and estimated costs of the efforts that will be necessary to complete the remainder of the development of these drug candidates. We are also unable to predict when, if ever, material net cash inflows will commence from our drug candidates. This is due to the numerous risks and uncertainties associated with developing drugs, including the uncertainty of:</w:t>
      </w:r>
    </w:p>
    <w:p>
      <w:pPr>
        <w:spacing w:after="0" w:line="130"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·establishing an appropriate safety profile with IND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enabling toxicology studies;</w:t>
      </w:r>
    </w:p>
    <w:p>
      <w:pPr>
        <w:spacing w:after="0" w:line="213" w:lineRule="exact"/>
        <w:rPr>
          <w:sz w:val="20"/>
          <w:szCs w:val="20"/>
          <w:color w:val="auto"/>
        </w:rPr>
      </w:pPr>
    </w:p>
    <w:p>
      <w:pPr>
        <w:ind w:left="1060" w:hanging="85"/>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successful enrollment in, and completion of clinical trials;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from applicable regulatory authorities;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80" w:right="20"/>
        <w:spacing w:after="0" w:line="359" w:lineRule="exact"/>
        <w:rPr>
          <w:sz w:val="20"/>
          <w:szCs w:val="20"/>
          <w:color w:val="auto"/>
        </w:rPr>
      </w:pPr>
      <w:r>
        <w:rPr>
          <w:rFonts w:ascii="Times New Roman" w:cs="Times New Roman" w:eastAsia="Times New Roman" w:hAnsi="Times New Roman"/>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·obtaining and maintaining patent and trade secret protection and regulatory exclusivity for our drug candidates; ·commercializing the drug candidates, if and when approved, whether alone or in collaboration with others; and · continued acceptable safety profile of the drugs following approval.</w:t>
      </w:r>
    </w:p>
    <w:p>
      <w:pPr>
        <w:spacing w:after="0" w:line="160" w:lineRule="exact"/>
        <w:rPr>
          <w:sz w:val="20"/>
          <w:szCs w:val="20"/>
          <w:color w:val="auto"/>
        </w:rPr>
      </w:pPr>
    </w:p>
    <w:p>
      <w:pPr>
        <w:ind w:right="300" w:firstLine="648"/>
        <w:spacing w:after="0" w:line="237" w:lineRule="auto"/>
        <w:rPr>
          <w:sz w:val="20"/>
          <w:szCs w:val="20"/>
          <w:color w:val="auto"/>
        </w:rPr>
      </w:pPr>
      <w:r>
        <w:rPr>
          <w:rFonts w:ascii="Times New Roman" w:cs="Times New Roman" w:eastAsia="Times New Roman" w:hAnsi="Times New Roman"/>
          <w:sz w:val="18"/>
          <w:szCs w:val="18"/>
          <w:color w:val="auto"/>
        </w:rPr>
        <w:t>A change in the outcome of any of these variables with respect to the development of any of our drug candidates would significantly change the costs and timing associated with the development of that drug candidate.</w:t>
      </w:r>
    </w:p>
    <w:p>
      <w:pPr>
        <w:spacing w:after="0" w:line="158" w:lineRule="exact"/>
        <w:rPr>
          <w:sz w:val="20"/>
          <w:szCs w:val="20"/>
          <w:color w:val="auto"/>
        </w:rPr>
      </w:pPr>
    </w:p>
    <w:p>
      <w:pPr>
        <w:ind w:right="200" w:firstLine="648"/>
        <w:spacing w:after="0" w:line="182" w:lineRule="exact"/>
        <w:rPr>
          <w:sz w:val="20"/>
          <w:szCs w:val="20"/>
          <w:color w:val="auto"/>
        </w:rPr>
      </w:pPr>
      <w:r>
        <w:rPr>
          <w:rFonts w:ascii="Times New Roman" w:cs="Times New Roman" w:eastAsia="Times New Roman" w:hAnsi="Times New Roman"/>
          <w:sz w:val="18"/>
          <w:szCs w:val="18"/>
          <w:color w:val="auto"/>
        </w:rPr>
        <w:t>Research and development activities are central to our business model. Drug candidates in later stages of clinical development generally have higher development costs than those in earlier stages of clinical development, primarily due to the increased size and duration of later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stage clinical trials. We expect research and development costs to increase significantly for the foreseeable future as our drug candidate development programs progress. However, we do not believe that it is possible at this time to accurately project total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specific expenses through commercialization. There are numerous factors associated with the successful commercialization of any of our drug candidates, including future trial design and various regulatory requirements, many of which cannot be determined with accuracy at this time based on our stage of development. In addition, future commercial and regulatory factors beyond our control will impact our clinical development programs and plans.</w:t>
      </w:r>
    </w:p>
    <w:p>
      <w:pPr>
        <w:spacing w:after="0" w:line="158" w:lineRule="exact"/>
        <w:rPr>
          <w:sz w:val="20"/>
          <w:szCs w:val="20"/>
          <w:color w:val="auto"/>
        </w:rPr>
      </w:pPr>
    </w:p>
    <w:p>
      <w:pPr>
        <w:ind w:right="60" w:firstLine="648"/>
        <w:spacing w:after="0" w:line="184" w:lineRule="exact"/>
        <w:rPr>
          <w:sz w:val="20"/>
          <w:szCs w:val="20"/>
          <w:color w:val="auto"/>
        </w:rPr>
      </w:pPr>
      <w:r>
        <w:rPr>
          <w:rFonts w:ascii="Times New Roman" w:cs="Times New Roman" w:eastAsia="Times New Roman" w:hAnsi="Times New Roman"/>
          <w:sz w:val="18"/>
          <w:szCs w:val="18"/>
          <w:color w:val="auto"/>
        </w:rPr>
        <w:t>A significant portion of our research and development expenses have been external expenses, which we track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program basis following nomination as a development candidate. Our internal research and development expenses are primarily personnel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expenses, including stock-based compensation expense. We do not track our internal research and development expenses on a program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program basis as they are deployed across multiple projects under development. The following table summarizes our external research and development expenses by program for the three and six months ended June 30, 2016 and 2015.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development candidate expenses, unallocated expenses and internal research and development expenses have been classified separately.</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0" w:type="dxa"/>
            <w:vAlign w:val="bottom"/>
          </w:tcPr>
          <w:p>
            <w:pPr>
              <w:spacing w:after="0"/>
              <w:rPr>
                <w:sz w:val="13"/>
                <w:szCs w:val="13"/>
                <w:color w:val="auto"/>
              </w:rPr>
            </w:pPr>
          </w:p>
        </w:tc>
        <w:tc>
          <w:tcPr>
            <w:tcW w:w="1920" w:type="dxa"/>
            <w:vAlign w:val="bottom"/>
            <w:gridSpan w:val="6"/>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62"/>
        </w:trPr>
        <w:tc>
          <w:tcPr>
            <w:tcW w:w="4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3"/>
          </w:tcPr>
          <w:p>
            <w:pPr>
              <w:jc w:val="center"/>
              <w:ind w:left="337"/>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48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680" w:type="dxa"/>
            <w:vAlign w:val="bottom"/>
            <w:tcBorders>
              <w:top w:val="single" w:sz="8" w:color="auto"/>
              <w:bottom w:val="single" w:sz="8" w:color="auto"/>
            </w:tcBorders>
          </w:tcPr>
          <w:p>
            <w:pPr>
              <w:jc w:val="right"/>
              <w:ind w:right="197"/>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4"/>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4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660" w:type="dxa"/>
            <w:vAlign w:val="bottom"/>
            <w:tcBorders>
              <w:top w:val="single" w:sz="8" w:color="auto"/>
              <w:bottom w:val="single" w:sz="8" w:color="auto"/>
            </w:tcBorders>
          </w:tcPr>
          <w:p>
            <w:pPr>
              <w:jc w:val="right"/>
              <w:ind w:right="19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48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center"/>
              <w:ind w:right="7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4"/>
          </w:tcPr>
          <w:p>
            <w:pPr>
              <w:jc w:val="right"/>
              <w:ind w:right="392"/>
              <w:spacing w:after="0" w:line="155"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BLU-285 external expenses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2,775</w:t>
            </w:r>
          </w:p>
        </w:tc>
        <w:tc>
          <w:tcPr>
            <w:tcW w:w="38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1,271</w:t>
            </w:r>
          </w:p>
        </w:tc>
        <w:tc>
          <w:tcPr>
            <w:tcW w:w="34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4,416</w:t>
            </w:r>
          </w:p>
        </w:tc>
        <w:tc>
          <w:tcPr>
            <w:tcW w:w="34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BLU-554 external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BLU-667 external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Other development candidate expenses</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Pre-development candidate expenses and unallocated expenses</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Internal research and development expenses</w:t>
            </w:r>
          </w:p>
        </w:tc>
        <w:tc>
          <w:tcPr>
            <w:tcW w:w="3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4,570</w:t>
            </w:r>
          </w:p>
        </w:tc>
        <w:tc>
          <w:tcPr>
            <w:tcW w:w="1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8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We expect that our research and development expenses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expenses will increase in future periods as we incur additional costs in connection with research and development activities under our collaborations with Alexion and Roche and development activities for companion diagnostics, including our companion diagnostic with Ventana.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58" w:lineRule="exact"/>
        <w:rPr>
          <w:sz w:val="20"/>
          <w:szCs w:val="20"/>
          <w:color w:val="auto"/>
        </w:rPr>
      </w:pPr>
    </w:p>
    <w:p>
      <w:pPr>
        <w:ind w:right="140" w:firstLine="648"/>
        <w:spacing w:after="0" w:line="194" w:lineRule="exact"/>
        <w:rPr>
          <w:sz w:val="20"/>
          <w:szCs w:val="20"/>
          <w:color w:val="auto"/>
        </w:rPr>
      </w:pPr>
      <w:r>
        <w:rPr>
          <w:rFonts w:ascii="Times New Roman" w:cs="Times New Roman" w:eastAsia="Times New Roman" w:hAnsi="Times New Roman"/>
          <w:sz w:val="17"/>
          <w:szCs w:val="17"/>
          <w:color w:val="auto"/>
        </w:rPr>
        <w:t>General and administrative expenses consist primarily of salaries and other related costs, including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for personnel in executive, finance, accounting, business development, legal and human resources functions.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compensation includes expense associated with stock</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based awards issued to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employees, including directors for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board related services. Other significant costs include facility costs not otherwise included in research and development expenses, legal fees relating to patent and corporate matters and fees for accounting and consulting services.</w:t>
      </w:r>
    </w:p>
    <w:p>
      <w:pPr>
        <w:spacing w:after="0" w:line="157"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We expect that our general and administrative expenses will increase in the future to support continued research and development activities, including as we continue our existing clinical trials and initiate additional clinical trials. These increases will likely include increased costs related to the hiring of additional personnel and fees to outside consultants, among other expenses. We also anticipate general and administrative expenses associated with being a public company, including costs for audit, legal, regulatory and tax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services, director and officer insurance premiums and investor relations costs, will increase in the future.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Other income (expense) consists primarily of income earned on cash equivalents and investments and the</w:t>
      </w:r>
    </w:p>
    <w:p>
      <w:pPr>
        <w:spacing w:after="0" w:line="176" w:lineRule="exact"/>
        <w:rPr>
          <w:sz w:val="20"/>
          <w:szCs w:val="20"/>
          <w:color w:val="auto"/>
        </w:rPr>
      </w:pPr>
      <w:r>
        <w:rPr>
          <w:rFonts w:ascii="Times New Roman" w:cs="Times New Roman" w:eastAsia="Times New Roman" w:hAnsi="Times New Roman"/>
          <w:sz w:val="18"/>
          <w:szCs w:val="18"/>
          <w:color w:val="auto"/>
        </w:rPr>
        <w:t>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gain or loss associated with the change in the fair value of the convertible preferred stock warrant liability in</w:t>
      </w:r>
    </w:p>
    <w:p>
      <w:pPr>
        <w:spacing w:after="0"/>
        <w:rPr>
          <w:sz w:val="20"/>
          <w:szCs w:val="20"/>
          <w:color w:val="auto"/>
        </w:rPr>
      </w:pPr>
      <w:r>
        <w:rPr>
          <w:rFonts w:ascii="Times New Roman" w:cs="Times New Roman" w:eastAsia="Times New Roman" w:hAnsi="Times New Roman"/>
          <w:sz w:val="18"/>
          <w:szCs w:val="18"/>
          <w:color w:val="auto"/>
        </w:rPr>
        <w:t>periods prior to our IPO.</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Interest expense consists primarily of interest expense on amounts outstanding under a loan and security agreement that we entered into with Silicon Valley Bank in May 2013 and amortization of debt discount.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Estimates</w:t>
      </w:r>
    </w:p>
    <w:p>
      <w:pPr>
        <w:spacing w:after="0" w:line="189"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Our critical accounting policies are those policies that require the most significant judgments and estimates in the preparation of our financial statements. Management has determined that our most critical accounting policies are those relating to revenue recognition, accrued research and development expenses, available-for-sale investments and stock-based compensation.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Available-for-Sale Investments</w:t>
      </w:r>
    </w:p>
    <w:p>
      <w:pPr>
        <w:spacing w:after="0" w:line="146" w:lineRule="exact"/>
        <w:rPr>
          <w:sz w:val="20"/>
          <w:szCs w:val="20"/>
          <w:color w:val="auto"/>
        </w:rPr>
      </w:pPr>
    </w:p>
    <w:p>
      <w:pPr>
        <w:ind w:firstLine="648"/>
        <w:spacing w:after="0" w:line="210" w:lineRule="auto"/>
        <w:rPr>
          <w:sz w:val="20"/>
          <w:szCs w:val="20"/>
          <w:color w:val="auto"/>
        </w:rPr>
      </w:pPr>
      <w:r>
        <w:rPr>
          <w:rFonts w:ascii="Times New Roman" w:cs="Times New Roman" w:eastAsia="Times New Roman" w:hAnsi="Times New Roman"/>
          <w:sz w:val="18"/>
          <w:szCs w:val="18"/>
          <w:color w:val="auto"/>
        </w:rPr>
        <w:t>We classify marketable securities with a remaining maturity when purchased of greater than three months as available-for-sale. Marketable securities with a remaining maturity date greater than one year are classified as non-current. Available-for-sale securities are maintained by an investment manager and may consist of U.S. Treasury securities and U.S. government agency securities. Available-for-sale securities are carried at fair value with the unrealized gains and losses included in other comprehensive income (loss) as a component of stockholders’ equity until realized. Any premium or discount arising at purchase is amortized and/or accreted to interest income and/or expense over the life of the instrument. Realized gains and losses are determined using the specific identification method and are included in other income (expense). If any adjustment to fair value reflects a decline in value of the investment, we consider all available evidence to evaluate the extent to which the decline is “other-than-temporary” and, if so, mark the investment to market through a charge to our statement of operations and comprehensive loss.</w:t>
      </w:r>
    </w:p>
    <w:p>
      <w:pPr>
        <w:spacing w:after="0" w:line="120" w:lineRule="exact"/>
        <w:rPr>
          <w:sz w:val="20"/>
          <w:szCs w:val="20"/>
          <w:color w:val="auto"/>
        </w:rPr>
      </w:pPr>
    </w:p>
    <w:p>
      <w:pPr>
        <w:jc w:val="both"/>
        <w:ind w:right="80" w:firstLine="648"/>
        <w:spacing w:after="0" w:line="226" w:lineRule="auto"/>
        <w:rPr>
          <w:sz w:val="20"/>
          <w:szCs w:val="20"/>
          <w:color w:val="auto"/>
        </w:rPr>
      </w:pPr>
      <w:r>
        <w:rPr>
          <w:rFonts w:ascii="Times New Roman" w:cs="Times New Roman" w:eastAsia="Times New Roman" w:hAnsi="Times New Roman"/>
          <w:sz w:val="18"/>
          <w:szCs w:val="18"/>
          <w:color w:val="auto"/>
        </w:rPr>
        <w:t>There have been no significant changes to our critical accounting policies discussed in our Annual Report on Form 10-K for the year ended December 31, 2015 related to revenue recognition, accrued research and development expenses and stock-based compensation.</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June 30, 2016 and 2015</w:t>
      </w:r>
    </w:p>
    <w:p>
      <w:pPr>
        <w:spacing w:after="0" w:line="189" w:lineRule="exact"/>
        <w:rPr>
          <w:sz w:val="20"/>
          <w:szCs w:val="20"/>
          <w:color w:val="auto"/>
        </w:rPr>
      </w:pPr>
    </w:p>
    <w:p>
      <w:pPr>
        <w:ind w:right="52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June 30, 2016 and 2015, together with the changes in those items in dollars and as a percentage: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6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82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29"/>
        </w:trPr>
        <w:tc>
          <w:tcPr>
            <w:tcW w:w="26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32"/>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60" w:type="dxa"/>
            <w:vAlign w:val="bottom"/>
          </w:tcPr>
          <w:p>
            <w:pPr>
              <w:spacing w:after="0"/>
              <w:rPr>
                <w:sz w:val="11"/>
                <w:szCs w:val="11"/>
                <w:color w:val="auto"/>
              </w:rPr>
            </w:pPr>
          </w:p>
        </w:tc>
        <w:tc>
          <w:tcPr>
            <w:tcW w:w="106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7,065</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4,378</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163 %</w:t>
            </w:r>
          </w:p>
        </w:tc>
        <w:tc>
          <w:tcPr>
            <w:tcW w:w="0" w:type="dxa"/>
            <w:vAlign w:val="bottom"/>
          </w:tcPr>
          <w:p>
            <w:pPr>
              <w:spacing w:after="0"/>
              <w:rPr>
                <w:sz w:val="1"/>
                <w:szCs w:val="1"/>
                <w:color w:val="auto"/>
              </w:rPr>
            </w:pPr>
          </w:p>
        </w:tc>
      </w:tr>
      <w:tr>
        <w:trPr>
          <w:trHeight w:val="176"/>
        </w:trPr>
        <w:tc>
          <w:tcPr>
            <w:tcW w:w="2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21,273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11,243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4,688</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3,840</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25,961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15,083</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10,878</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0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6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(18,894)</w:t>
            </w:r>
          </w:p>
        </w:tc>
        <w:tc>
          <w:tcPr>
            <w:tcW w:w="100" w:type="dxa"/>
            <w:vAlign w:val="bottom"/>
          </w:tcPr>
          <w:p>
            <w:pPr>
              <w:spacing w:after="0"/>
              <w:rPr>
                <w:sz w:val="18"/>
                <w:szCs w:val="18"/>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(12,980)</w:t>
            </w:r>
          </w:p>
        </w:tc>
        <w:tc>
          <w:tcPr>
            <w:tcW w:w="16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7"/>
        </w:trPr>
        <w:tc>
          <w:tcPr>
            <w:tcW w:w="2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ind w:right="40" w:firstLine="648"/>
        <w:spacing w:after="0" w:line="212" w:lineRule="auto"/>
        <w:rPr>
          <w:sz w:val="20"/>
          <w:szCs w:val="20"/>
          <w:color w:val="auto"/>
        </w:rPr>
      </w:pPr>
      <w:r>
        <w:rPr>
          <w:rFonts w:ascii="Times New Roman" w:cs="Times New Roman" w:eastAsia="Times New Roman" w:hAnsi="Times New Roman"/>
          <w:sz w:val="18"/>
          <w:szCs w:val="18"/>
          <w:color w:val="auto"/>
        </w:rPr>
        <w:t>Collaboration revenue increased by $4.4 million from $2.7 million for the three months ended June 30, 2015 to $7.1 million for the three months ended June 30, 2016. Collaboration revenue for the three months ended June 30, 2016 was related to the Alexion agreement and Roche agreement. Collaboration revenue under the Alexion agreement began in March 2015 upon the execution of the Alexion agreement. We entered into the Roche agreement in March 2016 and recorded $1.4 million in collaboration revenue under the Roche agreement for the three months ended June 30, 2016. The increase in collaboration revenue under the Alexion agreement of $3.0 million was primarily attributable to increased reimbursable research and development costs and increased recognition of portions of the $15.0 million upfront payment and $1.8 million milestone payment received from Alexion.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jc w:val="both"/>
        <w:ind w:right="120"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expense increased by $10.0 million from $11.2 million for the three months ended June 30, 2015 to $21.3 million for the three months ended June 30, 2016. The increase in research and development expense was primarily attributable to the following: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$3.7 million in increased expenses associated with clinical manufacturing activities;</w:t>
      </w:r>
    </w:p>
    <w:p>
      <w:pPr>
        <w:spacing w:after="0" w:line="185" w:lineRule="exact"/>
        <w:rPr>
          <w:sz w:val="20"/>
          <w:szCs w:val="20"/>
          <w:color w:val="auto"/>
        </w:rPr>
      </w:pPr>
    </w:p>
    <w:p>
      <w:pPr>
        <w:ind w:left="1020" w:right="140" w:hanging="53"/>
        <w:spacing w:after="0" w:line="237" w:lineRule="auto"/>
        <w:rPr>
          <w:sz w:val="20"/>
          <w:szCs w:val="20"/>
          <w:color w:val="auto"/>
        </w:rPr>
      </w:pPr>
      <w:r>
        <w:rPr>
          <w:rFonts w:ascii="Times New Roman" w:cs="Times New Roman" w:eastAsia="Times New Roman" w:hAnsi="Times New Roman"/>
          <w:sz w:val="18"/>
          <w:szCs w:val="18"/>
          <w:color w:val="auto"/>
        </w:rPr>
        <w:t>·approximately $2.5 million in increased expenses for external clinical activities as we advanced our lead drug candidates, BLU-285 and BLU-554, into clinical trials;</w:t>
      </w:r>
    </w:p>
    <w:p>
      <w:pPr>
        <w:spacing w:after="0" w:line="158" w:lineRule="exact"/>
        <w:rPr>
          <w:sz w:val="20"/>
          <w:szCs w:val="20"/>
          <w:color w:val="auto"/>
        </w:rPr>
      </w:pPr>
    </w:p>
    <w:p>
      <w:pPr>
        <w:ind w:left="1020" w:right="440" w:hanging="53"/>
        <w:spacing w:after="0" w:line="226" w:lineRule="auto"/>
        <w:rPr>
          <w:sz w:val="20"/>
          <w:szCs w:val="20"/>
          <w:color w:val="auto"/>
        </w:rPr>
      </w:pPr>
      <w:r>
        <w:rPr>
          <w:rFonts w:ascii="Times New Roman" w:cs="Times New Roman" w:eastAsia="Times New Roman" w:hAnsi="Times New Roman"/>
          <w:sz w:val="18"/>
          <w:szCs w:val="18"/>
          <w:color w:val="auto"/>
        </w:rPr>
        <w:t>·approximately $1.5 million in increased personnel expense primarily due to a 31% increase in headcount, largely driven by growth in the clinical and non-clinical organizations as we advanced our lead drug candidates, BLU-285 and BLU-554, into clinical trials;</w:t>
      </w:r>
    </w:p>
    <w:p>
      <w:pPr>
        <w:spacing w:after="0" w:line="158" w:lineRule="exact"/>
        <w:rPr>
          <w:sz w:val="20"/>
          <w:szCs w:val="20"/>
          <w:color w:val="auto"/>
        </w:rPr>
      </w:pPr>
    </w:p>
    <w:p>
      <w:pPr>
        <w:ind w:left="1020" w:hanging="53"/>
        <w:spacing w:after="0" w:line="237" w:lineRule="auto"/>
        <w:rPr>
          <w:sz w:val="20"/>
          <w:szCs w:val="20"/>
          <w:color w:val="auto"/>
        </w:rPr>
      </w:pPr>
      <w:r>
        <w:rPr>
          <w:rFonts w:ascii="Times New Roman" w:cs="Times New Roman" w:eastAsia="Times New Roman" w:hAnsi="Times New Roman"/>
          <w:sz w:val="18"/>
          <w:szCs w:val="18"/>
          <w:color w:val="auto"/>
        </w:rPr>
        <w:t>·approximately $1.3 million in increased expenses associated with IND-enabling pre-clinical toxicology studies, primarily for BLU-667; and</w:t>
      </w:r>
    </w:p>
    <w:p>
      <w:pPr>
        <w:spacing w:after="0" w:line="158" w:lineRule="exact"/>
        <w:rPr>
          <w:sz w:val="20"/>
          <w:szCs w:val="20"/>
          <w:color w:val="auto"/>
        </w:rPr>
      </w:pPr>
    </w:p>
    <w:p>
      <w:pPr>
        <w:ind w:left="1020" w:hanging="53"/>
        <w:spacing w:after="0" w:line="226" w:lineRule="auto"/>
        <w:rPr>
          <w:sz w:val="20"/>
          <w:szCs w:val="20"/>
          <w:color w:val="auto"/>
        </w:rPr>
      </w:pPr>
      <w:r>
        <w:rPr>
          <w:rFonts w:ascii="Times New Roman" w:cs="Times New Roman" w:eastAsia="Times New Roman" w:hAnsi="Times New Roman"/>
          <w:sz w:val="18"/>
          <w:szCs w:val="18"/>
          <w:color w:val="auto"/>
        </w:rPr>
        <w:t>·approximately $0.7 million in increased expenses associated with continuing to build our platform and advance our discovery pipeline, including costs associated with development of BLU-667 and costs related to the Alexion agreement.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firstLine="648"/>
        <w:spacing w:after="0" w:line="214" w:lineRule="auto"/>
        <w:rPr>
          <w:sz w:val="20"/>
          <w:szCs w:val="20"/>
          <w:color w:val="auto"/>
        </w:rPr>
      </w:pPr>
      <w:r>
        <w:rPr>
          <w:rFonts w:ascii="Times New Roman" w:cs="Times New Roman" w:eastAsia="Times New Roman" w:hAnsi="Times New Roman"/>
          <w:sz w:val="18"/>
          <w:szCs w:val="18"/>
          <w:color w:val="auto"/>
        </w:rPr>
        <w:t>We expect that our research and development expense will increase in future periods as we expand our operations and incur additional costs in connection with our clinical trials. These increases will likely include the costs related to the implementation and expansion of clinical trial sites and related patient enrollment, monitoring and program management expenses. In addition, we expect that our research and development expense will increase in future periods as we incur additional costs in connection with our collaborations with Alexion and Roche and development activities for companion diagnostics, including our companion diagnostic with Ventana.</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right="20" w:firstLine="648"/>
        <w:spacing w:after="0" w:line="220" w:lineRule="auto"/>
        <w:rPr>
          <w:sz w:val="20"/>
          <w:szCs w:val="20"/>
          <w:color w:val="auto"/>
        </w:rPr>
      </w:pPr>
      <w:r>
        <w:rPr>
          <w:rFonts w:ascii="Times New Roman" w:cs="Times New Roman" w:eastAsia="Times New Roman" w:hAnsi="Times New Roman"/>
          <w:sz w:val="18"/>
          <w:szCs w:val="18"/>
          <w:color w:val="auto"/>
        </w:rPr>
        <w:t>General and administrative expense increased by $0.8 million from $3.8 million for the three months ended June 30, 2015 to $4.7 million for the three months ended June 30, 2016. The increase in general and administrative expense was primarily attributable to increased professional fees, including external legal fees, insurance premiums, corporate communications and recruiting costs.</w:t>
      </w:r>
    </w:p>
    <w:p>
      <w:pPr>
        <w:spacing w:after="0" w:line="159" w:lineRule="exact"/>
        <w:rPr>
          <w:sz w:val="20"/>
          <w:szCs w:val="20"/>
          <w:color w:val="auto"/>
        </w:rPr>
      </w:pPr>
    </w:p>
    <w:p>
      <w:pPr>
        <w:jc w:val="both"/>
        <w:ind w:right="120" w:firstLine="648"/>
        <w:spacing w:after="0" w:line="22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future periods as we expand our operations and incur additional costs in connection with being a public company. These increases will likely include legal, auditing and filing fees, additional insurance premiums and general compliance and consulting expenses.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right="100" w:firstLine="648"/>
        <w:spacing w:after="0" w:line="185" w:lineRule="exact"/>
        <w:rPr>
          <w:sz w:val="20"/>
          <w:szCs w:val="20"/>
          <w:color w:val="auto"/>
        </w:rPr>
      </w:pPr>
      <w:r>
        <w:rPr>
          <w:rFonts w:ascii="Times New Roman" w:cs="Times New Roman" w:eastAsia="Times New Roman" w:hAnsi="Times New Roman"/>
          <w:sz w:val="18"/>
          <w:szCs w:val="18"/>
          <w:color w:val="auto"/>
        </w:rPr>
        <w:t>Other income (expense), net, increased by $0.5 million from $0.4 million of expense for the three months ended June 30, 2015 to $0.1 million of income for the three months ended June 30, 2016. The increase in other income (expense), net, was primarily related to the impact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associated with the change in the fair value of the convertible preferred stock warrant liability included in the prior year and no longer applicable following the conversion of preferred stock to common stock as a result of the IPO. Also contributing to the increase in other income was an increase in investment income during the three months ended June 30, 2016.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ind w:right="140" w:firstLine="648"/>
        <w:spacing w:after="0" w:line="217" w:lineRule="auto"/>
        <w:rPr>
          <w:sz w:val="20"/>
          <w:szCs w:val="20"/>
          <w:color w:val="auto"/>
        </w:rPr>
      </w:pPr>
      <w:r>
        <w:rPr>
          <w:rFonts w:ascii="Times New Roman" w:cs="Times New Roman" w:eastAsia="Times New Roman" w:hAnsi="Times New Roman"/>
          <w:sz w:val="18"/>
          <w:szCs w:val="18"/>
          <w:color w:val="auto"/>
        </w:rPr>
        <w:t>Interest expense decreased by less than $0.1 million from $0.2 million for the three months ended June 30, 2015 to $0.1 million for the three months ended June 30, 2016. The decrease was primarily related to a decrease in the average outstanding principle balance for the three months ended June 30, 2016 under the loan and security agreement with Silicon Valley Bank. We expect that interest expense will continue to decrease in subsequent periods as the principal amount under the loan decreases.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Six Months Ended June 30, 2016 and 2015</w:t>
      </w:r>
    </w:p>
    <w:p>
      <w:pPr>
        <w:spacing w:after="0" w:line="189" w:lineRule="exact"/>
        <w:rPr>
          <w:sz w:val="20"/>
          <w:szCs w:val="20"/>
          <w:color w:val="auto"/>
        </w:rPr>
      </w:pPr>
    </w:p>
    <w:p>
      <w:pPr>
        <w:ind w:right="4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summarizes our results of operations for the six months ended June 30, 2016 and 2015, together with the changes in those items in dollars and as a percentage:</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4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40" w:type="dxa"/>
            <w:vAlign w:val="bottom"/>
            <w:vMerge w:val="restart"/>
          </w:tcPr>
          <w:p>
            <w:pPr>
              <w:spacing w:after="0"/>
              <w:rPr>
                <w:sz w:val="15"/>
                <w:szCs w:val="15"/>
                <w:color w:val="auto"/>
              </w:rPr>
            </w:pPr>
          </w:p>
        </w:tc>
        <w:tc>
          <w:tcPr>
            <w:tcW w:w="9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 Change</w:t>
            </w:r>
          </w:p>
        </w:tc>
        <w:tc>
          <w:tcPr>
            <w:tcW w:w="160" w:type="dxa"/>
            <w:vAlign w:val="bottom"/>
            <w:vMerge w:val="restart"/>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0" w:type="dxa"/>
            <w:vAlign w:val="bottom"/>
            <w:vMerge w:val="restart"/>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5"/>
              <w:spacing w:after="0" w:line="129" w:lineRule="exact"/>
              <w:rPr>
                <w:sz w:val="20"/>
                <w:szCs w:val="20"/>
                <w:color w:val="auto"/>
              </w:rPr>
            </w:pPr>
            <w:r>
              <w:rPr>
                <w:rFonts w:ascii="Times New Roman" w:cs="Times New Roman" w:eastAsia="Times New Roman" w:hAnsi="Times New Roman"/>
                <w:sz w:val="14"/>
                <w:szCs w:val="14"/>
                <w:b w:val="1"/>
                <w:bCs w:val="1"/>
                <w:color w:val="auto"/>
              </w:rPr>
              <w:t>2016</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620" w:type="dxa"/>
            <w:vAlign w:val="bottom"/>
            <w:tcBorders>
              <w:top w:val="single" w:sz="8" w:color="auto"/>
              <w:bottom w:val="single" w:sz="8" w:color="auto"/>
            </w:tcBorders>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2015</w:t>
            </w:r>
          </w:p>
        </w:tc>
        <w:tc>
          <w:tcPr>
            <w:tcW w:w="12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900" w:type="dxa"/>
            <w:vAlign w:val="bottom"/>
            <w:tcBorders>
              <w:bottom w:val="single" w:sz="8" w:color="auto"/>
            </w:tcBorders>
            <w:gridSpan w:val="2"/>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660" w:type="dxa"/>
            <w:vAlign w:val="bottom"/>
            <w:tcBorders>
              <w:bottom w:val="single" w:sz="8" w:color="auto"/>
            </w:tcBorders>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45"/>
        </w:trPr>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4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Collaboration revenue</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13,921</w:t>
            </w:r>
          </w:p>
        </w:tc>
        <w:tc>
          <w:tcPr>
            <w:tcW w:w="2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317 %</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38,908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20,476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9,334</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60" w:type="dxa"/>
            <w:vAlign w:val="bottom"/>
            <w:tcBorders>
              <w:bottom w:val="single" w:sz="8" w:color="CCEEFF"/>
            </w:tcBorders>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27,086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21,156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16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60" w:type="dxa"/>
            <w:vAlign w:val="bottom"/>
            <w:tcBorders>
              <w:bottom w:val="single" w:sz="8" w:color="CCEEFF"/>
            </w:tcBorders>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w:t>
            </w:r>
          </w:p>
        </w:tc>
        <w:tc>
          <w:tcPr>
            <w:tcW w:w="160" w:type="dxa"/>
            <w:vAlign w:val="bottom"/>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60" w:type="dxa"/>
            <w:vAlign w:val="bottom"/>
            <w:shd w:val="clear" w:color="auto" w:fill="CCEEFF"/>
          </w:tcPr>
          <w:p>
            <w:pPr>
              <w:spacing w:after="0"/>
              <w:rPr>
                <w:sz w:val="18"/>
                <w:szCs w:val="18"/>
                <w:color w:val="auto"/>
              </w:rPr>
            </w:pP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5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(34,398)</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(24,552)</w:t>
            </w:r>
          </w:p>
        </w:tc>
        <w:tc>
          <w:tcPr>
            <w:tcW w:w="12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(9,846)</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810"/>
        </w:trPr>
        <w:tc>
          <w:tcPr>
            <w:tcW w:w="2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58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08" w:right="141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Collaboration revenue increased by $10.6 million from $3.3 million for the six months ended June 30, 2015 to $13.9 million for the six months ended June 30, 2016. Collaboration revenue for the six months ended June 30, 2016 was related to the Alexion agreement and Roche agreement. Collaboration revenue under the Alexion agreement began in March 2015 upon the execution of the Alexion agreement. We entered into the Roche agreement in March 2016 and recorded $1.6 million in collaboration revenue under the Roche agreement for the six months ended June 30, 2016. The increase in collaboration revenue under the Alexion agreement of $9.0 million was primarily attributable to increased reimbursable research and development costs and increased recognition of portions of the $15.0 million upfront payment and $1.8 million milestone payment received from Alexion and a $0.75 million milestone payment recognized upon achievement during the six months ended June 30, 2016.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w:t>
      </w:r>
    </w:p>
    <w:p>
      <w:pPr>
        <w:spacing w:after="0" w:line="187"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Research and development expense increased by $18.4 million from $20.5 million for the six months ended June 30, 2015 to $38.9 million for the six months ended June 30, 2016. The increase in research and development expense was primarily attributable to the following: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·approximately $6.3 million in increased expenses associated with clinical manufacturing activities;</w:t>
      </w:r>
    </w:p>
    <w:p>
      <w:pPr>
        <w:spacing w:after="0" w:line="185" w:lineRule="exact"/>
        <w:rPr>
          <w:sz w:val="20"/>
          <w:szCs w:val="20"/>
          <w:color w:val="auto"/>
        </w:rPr>
      </w:pPr>
    </w:p>
    <w:p>
      <w:pPr>
        <w:ind w:left="1020" w:right="140" w:hanging="53"/>
        <w:spacing w:after="0" w:line="237" w:lineRule="auto"/>
        <w:rPr>
          <w:sz w:val="20"/>
          <w:szCs w:val="20"/>
          <w:color w:val="auto"/>
        </w:rPr>
      </w:pPr>
      <w:r>
        <w:rPr>
          <w:rFonts w:ascii="Times New Roman" w:cs="Times New Roman" w:eastAsia="Times New Roman" w:hAnsi="Times New Roman"/>
          <w:sz w:val="18"/>
          <w:szCs w:val="18"/>
          <w:color w:val="auto"/>
        </w:rPr>
        <w:t>·approximately $3.9 million in increased expenses for external clinical activities as we advanced our lead drug candidates, BLU-285 and BLU-554, into clinical trials;</w:t>
      </w:r>
    </w:p>
    <w:p>
      <w:pPr>
        <w:spacing w:after="0" w:line="158" w:lineRule="exact"/>
        <w:rPr>
          <w:sz w:val="20"/>
          <w:szCs w:val="20"/>
          <w:color w:val="auto"/>
        </w:rPr>
      </w:pPr>
    </w:p>
    <w:p>
      <w:pPr>
        <w:ind w:left="1020" w:hanging="53"/>
        <w:spacing w:after="0" w:line="226" w:lineRule="auto"/>
        <w:rPr>
          <w:sz w:val="20"/>
          <w:szCs w:val="20"/>
          <w:color w:val="auto"/>
        </w:rPr>
      </w:pPr>
      <w:r>
        <w:rPr>
          <w:rFonts w:ascii="Times New Roman" w:cs="Times New Roman" w:eastAsia="Times New Roman" w:hAnsi="Times New Roman"/>
          <w:sz w:val="18"/>
          <w:szCs w:val="18"/>
          <w:color w:val="auto"/>
        </w:rPr>
        <w:t>·approximately $3.3 million in increased expenses associated with continuing to build our platform and advance our discovery pipeline, including costs associated with development of BLU-667 and costs related to the Alexion agreement;</w:t>
      </w:r>
    </w:p>
    <w:p>
      <w:pPr>
        <w:spacing w:after="0" w:line="158" w:lineRule="exact"/>
        <w:rPr>
          <w:sz w:val="20"/>
          <w:szCs w:val="20"/>
          <w:color w:val="auto"/>
        </w:rPr>
      </w:pPr>
    </w:p>
    <w:p>
      <w:pPr>
        <w:ind w:left="1020" w:right="440" w:hanging="53"/>
        <w:spacing w:after="0" w:line="226" w:lineRule="auto"/>
        <w:rPr>
          <w:sz w:val="20"/>
          <w:szCs w:val="20"/>
          <w:color w:val="auto"/>
        </w:rPr>
      </w:pPr>
      <w:r>
        <w:rPr>
          <w:rFonts w:ascii="Times New Roman" w:cs="Times New Roman" w:eastAsia="Times New Roman" w:hAnsi="Times New Roman"/>
          <w:sz w:val="18"/>
          <w:szCs w:val="18"/>
          <w:color w:val="auto"/>
        </w:rPr>
        <w:t>·approximately $3.2 million in increased personnel expense primarily due to a 31% increase in headcount, largely driven by growth in the clinical and non-clinical organizations as we advanced our lead drug candidates, BLU-285 and BLU-554, into clinical trials; and</w:t>
      </w:r>
    </w:p>
    <w:p>
      <w:pPr>
        <w:spacing w:after="0" w:line="158" w:lineRule="exact"/>
        <w:rPr>
          <w:sz w:val="20"/>
          <w:szCs w:val="20"/>
          <w:color w:val="auto"/>
        </w:rPr>
      </w:pPr>
    </w:p>
    <w:p>
      <w:pPr>
        <w:ind w:left="1020" w:hanging="53"/>
        <w:spacing w:after="0" w:line="237" w:lineRule="auto"/>
        <w:rPr>
          <w:sz w:val="20"/>
          <w:szCs w:val="20"/>
          <w:color w:val="auto"/>
        </w:rPr>
      </w:pPr>
      <w:r>
        <w:rPr>
          <w:rFonts w:ascii="Times New Roman" w:cs="Times New Roman" w:eastAsia="Times New Roman" w:hAnsi="Times New Roman"/>
          <w:sz w:val="18"/>
          <w:szCs w:val="18"/>
          <w:color w:val="auto"/>
        </w:rPr>
        <w:t>·approximately $1.3 million in increased expenses associated with IND-enabling pre-clinical toxicology studies, primarily for BLU-667.</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187" w:lineRule="exact"/>
        <w:rPr>
          <w:sz w:val="20"/>
          <w:szCs w:val="20"/>
          <w:color w:val="auto"/>
        </w:rPr>
      </w:pPr>
    </w:p>
    <w:p>
      <w:pPr>
        <w:ind w:right="180" w:firstLine="648"/>
        <w:spacing w:after="0" w:line="226" w:lineRule="auto"/>
        <w:rPr>
          <w:sz w:val="20"/>
          <w:szCs w:val="20"/>
          <w:color w:val="auto"/>
        </w:rPr>
      </w:pPr>
      <w:r>
        <w:rPr>
          <w:rFonts w:ascii="Times New Roman" w:cs="Times New Roman" w:eastAsia="Times New Roman" w:hAnsi="Times New Roman"/>
          <w:sz w:val="18"/>
          <w:szCs w:val="18"/>
          <w:color w:val="auto"/>
        </w:rPr>
        <w:t>General and administrative expense increased by $2.7 million from $6.6 million for the six months ended June 30, 2015 to $9.3 million for the six months ended June 30, 2016. The increase in general and administrative expense was primarily attributable to the following:</w:t>
      </w:r>
    </w:p>
    <w:p>
      <w:pPr>
        <w:spacing w:after="0" w:line="158" w:lineRule="exact"/>
        <w:rPr>
          <w:sz w:val="20"/>
          <w:szCs w:val="20"/>
          <w:color w:val="auto"/>
        </w:rPr>
      </w:pPr>
    </w:p>
    <w:p>
      <w:pPr>
        <w:ind w:left="1020" w:right="220" w:hanging="53"/>
        <w:spacing w:after="0" w:line="237" w:lineRule="auto"/>
        <w:rPr>
          <w:sz w:val="20"/>
          <w:szCs w:val="20"/>
          <w:color w:val="auto"/>
        </w:rPr>
      </w:pPr>
      <w:r>
        <w:rPr>
          <w:rFonts w:ascii="Times New Roman" w:cs="Times New Roman" w:eastAsia="Times New Roman" w:hAnsi="Times New Roman"/>
          <w:sz w:val="18"/>
          <w:szCs w:val="18"/>
          <w:color w:val="auto"/>
        </w:rPr>
        <w:t>·approximately $1.1 million in increased professional fees, including external legal fees, insurance premiums and market research costs; and</w:t>
      </w:r>
    </w:p>
    <w:p>
      <w:pPr>
        <w:spacing w:after="0" w:line="158" w:lineRule="exact"/>
        <w:rPr>
          <w:sz w:val="20"/>
          <w:szCs w:val="20"/>
          <w:color w:val="auto"/>
        </w:rPr>
      </w:pPr>
    </w:p>
    <w:p>
      <w:pPr>
        <w:ind w:left="1020" w:right="100" w:hanging="53"/>
        <w:spacing w:after="0" w:line="226" w:lineRule="auto"/>
        <w:rPr>
          <w:sz w:val="20"/>
          <w:szCs w:val="20"/>
          <w:color w:val="auto"/>
        </w:rPr>
      </w:pPr>
      <w:r>
        <w:rPr>
          <w:rFonts w:ascii="Times New Roman" w:cs="Times New Roman" w:eastAsia="Times New Roman" w:hAnsi="Times New Roman"/>
          <w:sz w:val="18"/>
          <w:szCs w:val="18"/>
          <w:color w:val="auto"/>
        </w:rPr>
        <w:t>·approximately $0.7 million in increased personnel costs primarily due to an increase of 72% in business personnel headcount to support our overall growth as a publicly traded company, partially offset by a decrease in stock-based compensation expense.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(Expense), Net</w:t>
      </w:r>
    </w:p>
    <w:p>
      <w:pPr>
        <w:spacing w:after="0" w:line="187"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Other income (expense), net, increased by $0.6 million from $0.4 million of expense for the six months ended June 30, 2015 to $0.2 million of income for the six months ended June 30, 2016. The increase in other income (expense), net, was primarily related to the impact of the 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measurement associated with the change in the fair value of the convertible preferred stock warrant liability included in the prior year and no longer applicable following the conversion of preferred stock to common stock as a result of the IPO. Also contributing to the increase in other income was the increase in investment income during the six months ended June 30, 2016.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187" w:lineRule="exact"/>
        <w:rPr>
          <w:sz w:val="20"/>
          <w:szCs w:val="20"/>
          <w:color w:val="auto"/>
        </w:rPr>
      </w:pPr>
    </w:p>
    <w:p>
      <w:pPr>
        <w:jc w:val="both"/>
        <w:ind w:right="20" w:firstLine="648"/>
        <w:spacing w:after="0" w:line="226" w:lineRule="auto"/>
        <w:rPr>
          <w:sz w:val="20"/>
          <w:szCs w:val="20"/>
          <w:color w:val="auto"/>
        </w:rPr>
      </w:pPr>
      <w:r>
        <w:rPr>
          <w:rFonts w:ascii="Times New Roman" w:cs="Times New Roman" w:eastAsia="Times New Roman" w:hAnsi="Times New Roman"/>
          <w:sz w:val="18"/>
          <w:szCs w:val="18"/>
          <w:color w:val="auto"/>
        </w:rPr>
        <w:t>Interest expense decreased by $0.1 million from $0.4 million for the six months ended June 30, 2015 to $0.3 million for the six months ended June 30, 2016. The decrease was primarily related to a decrease in the average outstanding principle balance for the six months ended June 30, 2016 under the loan and security agreement with Silicon Valley Bank.</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189"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To date, we have financed our operations primarily through our IPO, private placements of our convertible preferred stock and, to a lesser extent, the Alexion agreement, the Roche agreement and a debt financing. Through June 30, 2016, we have received an aggregate of $356.5 million from such transactions, including $168.6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June 30, 2016, we had cash, cash equivalents and investments of $172.6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provides information regarding our cash flows for the six months ended June 30, 2016 and</w:t>
      </w:r>
    </w:p>
    <w:p>
      <w:pPr>
        <w:spacing w:after="0"/>
        <w:rPr>
          <w:sz w:val="20"/>
          <w:szCs w:val="20"/>
          <w:color w:val="auto"/>
        </w:rPr>
      </w:pPr>
      <w:r>
        <w:rPr>
          <w:rFonts w:ascii="Times New Roman" w:cs="Times New Roman" w:eastAsia="Times New Roman" w:hAnsi="Times New Roman"/>
          <w:sz w:val="18"/>
          <w:szCs w:val="18"/>
          <w:color w:val="auto"/>
        </w:rPr>
        <w:t>2015: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73"/>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6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56"/>
        </w:trPr>
        <w:tc>
          <w:tcPr>
            <w:tcW w:w="4520" w:type="dxa"/>
            <w:vAlign w:val="bottom"/>
            <w:tcBorders>
              <w:bottom w:val="single" w:sz="8" w:color="CCEEFF"/>
            </w:tcBorders>
            <w:vMerge w:val="continue"/>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38"/>
              <w:spacing w:after="0" w:line="155" w:lineRule="exact"/>
              <w:rPr>
                <w:sz w:val="20"/>
                <w:szCs w:val="20"/>
                <w:color w:val="auto"/>
              </w:rPr>
            </w:pPr>
            <w:r>
              <w:rPr>
                <w:rFonts w:ascii="Times New Roman" w:cs="Times New Roman" w:eastAsia="Times New Roman" w:hAnsi="Times New Roman"/>
                <w:sz w:val="14"/>
                <w:szCs w:val="14"/>
                <w:b w:val="1"/>
                <w:bCs w:val="1"/>
                <w:color w:val="auto"/>
              </w:rPr>
              <w:t>2016</w:t>
            </w:r>
          </w:p>
        </w:tc>
        <w:tc>
          <w:tcPr>
            <w:tcW w:w="24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54"/>
              <w:spacing w:after="0" w:line="155" w:lineRule="exact"/>
              <w:rPr>
                <w:sz w:val="20"/>
                <w:szCs w:val="20"/>
                <w:color w:val="auto"/>
              </w:rPr>
            </w:pPr>
            <w:r>
              <w:rPr>
                <w:rFonts w:ascii="Times New Roman" w:cs="Times New Roman" w:eastAsia="Times New Roman" w:hAnsi="Times New Roman"/>
                <w:sz w:val="14"/>
                <w:szCs w:val="14"/>
                <w:b w:val="1"/>
                <w:bCs w:val="1"/>
                <w:color w:val="auto"/>
              </w:rPr>
              <w:t>2015</w:t>
            </w:r>
          </w:p>
        </w:tc>
        <w:tc>
          <w:tcPr>
            <w:tcW w:w="24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12,918</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(64,917)</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7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154,085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(53,321)</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146,347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2" w:lineRule="exact"/>
        <w:rPr>
          <w:sz w:val="20"/>
          <w:szCs w:val="20"/>
          <w:color w:val="auto"/>
        </w:rPr>
      </w:pPr>
    </w:p>
    <w:p>
      <w:pPr>
        <w:ind w:right="8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Net cash provided by operating activities was $12.9 million during the six months ended June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2016 compared to net cash used in operating activities of $6.2 million during the six months ended June 30, 2015. The increase in cash provided by operating activities was primarily due to changes in deferred revenue related to the timing and amount of upfront payments from Alexion and Roche. In the six months ended June 30, 2016, we received a $45.0 million upfront payment from Roche, and in the six months ended June 30, 2015, we received a $15.0 million upfront payment from Alexion.</w:t>
      </w:r>
    </w:p>
    <w:p>
      <w:pPr>
        <w:spacing w:after="0" w:line="157" w:lineRule="exact"/>
        <w:rPr>
          <w:sz w:val="20"/>
          <w:szCs w:val="20"/>
          <w:color w:val="auto"/>
        </w:rPr>
      </w:pPr>
    </w:p>
    <w:p>
      <w:pPr>
        <w:ind w:right="10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Net cash used in investing activities was $64.9 million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compared to net cash used in investing activities of $1.6 million during the six months ended June 30, 2015. Net cash used in investing activities for the six months ended June 30, 2016 consisted primarily of purchases of investments. We classify these investments as available-for-sale and record them at fair value in the accompanying condensed consolidated balance sheets. Net cash used in investing activities for the six months ended June 30, 2015 consisted primarily of a security deposit payment for our new office lease agreement.</w:t>
      </w:r>
    </w:p>
    <w:p>
      <w:pPr>
        <w:spacing w:after="0" w:line="157" w:lineRule="exact"/>
        <w:rPr>
          <w:sz w:val="20"/>
          <w:szCs w:val="20"/>
          <w:color w:val="auto"/>
        </w:rPr>
      </w:pPr>
    </w:p>
    <w:p>
      <w:pPr>
        <w:ind w:right="2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Net cash used in financing activities was $1.3 million during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2016 compared to net cash provided by financing activities of $154.1 million during the six months ended June 30, 2015. Net cash used in financing activities for the six months ended June 30, 2016 was primarily due to principal payments under the loan and security agreement with Silicon Valley Bank. Net cash provided in financing activities for the six months ended June 30, 2015 was primarily due to net proceeds from the IPO after deducting underwriting discounts and commissions and offering costs paid by us.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Borrowings</w:t>
      </w:r>
    </w:p>
    <w:p>
      <w:pPr>
        <w:spacing w:after="0" w:line="187" w:lineRule="exact"/>
        <w:rPr>
          <w:sz w:val="20"/>
          <w:szCs w:val="20"/>
          <w:color w:val="auto"/>
        </w:rPr>
      </w:pPr>
    </w:p>
    <w:p>
      <w:pPr>
        <w:ind w:right="20" w:firstLine="648"/>
        <w:spacing w:after="0" w:line="211" w:lineRule="auto"/>
        <w:rPr>
          <w:sz w:val="20"/>
          <w:szCs w:val="20"/>
          <w:color w:val="auto"/>
        </w:rPr>
      </w:pPr>
      <w:r>
        <w:rPr>
          <w:rFonts w:ascii="Times New Roman" w:cs="Times New Roman" w:eastAsia="Times New Roman" w:hAnsi="Times New Roman"/>
          <w:sz w:val="18"/>
          <w:szCs w:val="18"/>
          <w:color w:val="auto"/>
        </w:rPr>
        <w:t>In May 2013, we entered into the loan and security agreement with Silicon Valley Bank. Under the terms of the loan and security agreement, we borrowed $5.0 million. Loan advances accrue interest at a fixed rate of 2.0% above the prime rate. In November 2014, we amended the loan and security agreement and borrowed an additional $5.0 million. Each loan advance included an interest only payment period. During 2014, we paid principal payments of $0.7 million on the first $3.0 million of advances. During the year ended December 31, 2015, we paid principal payments of $1.8 million on the first $10.0 million of advances, and during the six months ended June 30, 2016, we paid principal payments of $1.7 million on the first $10.0 million of advances. We are required to pay a fee of 4.0% of the total loan advances at the end of the term of the loan. There are no outstanding financial covenants associated with the loan and security agreement. As of June 30, 2016, we had $5.8 million in outstanding principal under the loan and security agreement.</w:t>
      </w:r>
    </w:p>
    <w:p>
      <w:pPr>
        <w:spacing w:after="0" w:line="158" w:lineRule="exact"/>
        <w:rPr>
          <w:sz w:val="20"/>
          <w:szCs w:val="20"/>
          <w:color w:val="auto"/>
        </w:rPr>
      </w:pPr>
    </w:p>
    <w:p>
      <w:pPr>
        <w:ind w:firstLine="648"/>
        <w:spacing w:after="0" w:line="233" w:lineRule="auto"/>
        <w:rPr>
          <w:sz w:val="20"/>
          <w:szCs w:val="20"/>
          <w:color w:val="auto"/>
        </w:rPr>
      </w:pPr>
      <w:r>
        <w:rPr>
          <w:rFonts w:ascii="Times New Roman" w:cs="Times New Roman" w:eastAsia="Times New Roman" w:hAnsi="Times New Roman"/>
          <w:sz w:val="17"/>
          <w:szCs w:val="17"/>
          <w:color w:val="auto"/>
        </w:rPr>
        <w:t>The term loan is collateralized by a blanket lien on all corporate assets, excluding intellectual property, and by a negative pledge of our intellectual property. The term loan contains covenants, including restrictions on dividends and default provisions. We have determined that the risk of subjective acceleration under the material adverse events clause is remote and therefore has classified the outstanding principal in current and long term liabilities based on scheduled principal payments.</w:t>
      </w:r>
    </w:p>
    <w:p>
      <w:pPr>
        <w:spacing w:after="0" w:line="159" w:lineRule="exact"/>
        <w:rPr>
          <w:sz w:val="20"/>
          <w:szCs w:val="20"/>
          <w:color w:val="auto"/>
        </w:rPr>
      </w:pPr>
    </w:p>
    <w:p>
      <w:pPr>
        <w:ind w:right="100" w:firstLine="648"/>
        <w:spacing w:after="0" w:line="237" w:lineRule="auto"/>
        <w:rPr>
          <w:sz w:val="20"/>
          <w:szCs w:val="20"/>
          <w:color w:val="auto"/>
        </w:rPr>
      </w:pPr>
      <w:r>
        <w:rPr>
          <w:rFonts w:ascii="Times New Roman" w:cs="Times New Roman" w:eastAsia="Times New Roman" w:hAnsi="Times New Roman"/>
          <w:sz w:val="18"/>
          <w:szCs w:val="18"/>
          <w:color w:val="auto"/>
        </w:rPr>
        <w:t>See Note 7, “Term Loan,” in the accompanying notes to our unaudited condensed consolidated financial statements for additional information.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Funding Requirements</w:t>
      </w:r>
    </w:p>
    <w:p>
      <w:pPr>
        <w:spacing w:after="0" w:line="187" w:lineRule="exact"/>
        <w:rPr>
          <w:sz w:val="20"/>
          <w:szCs w:val="20"/>
          <w:color w:val="auto"/>
        </w:rPr>
      </w:pPr>
    </w:p>
    <w:p>
      <w:pPr>
        <w:ind w:right="80" w:firstLine="648"/>
        <w:spacing w:after="0" w:line="212" w:lineRule="auto"/>
        <w:rPr>
          <w:sz w:val="20"/>
          <w:szCs w:val="20"/>
          <w:color w:val="auto"/>
        </w:rPr>
      </w:pPr>
      <w:r>
        <w:rPr>
          <w:rFonts w:ascii="Times New Roman" w:cs="Times New Roman" w:eastAsia="Times New Roman" w:hAnsi="Times New Roman"/>
          <w:sz w:val="18"/>
          <w:szCs w:val="18"/>
          <w:color w:val="auto"/>
        </w:rPr>
        <w:t>We expect our expenses to increase in connection with our ongoing activities, particularly as we continue the research and development of, continue and initiate clinical trials of, and seek marketing approval for, our drug candidates. In addition, if we obtain marketing approval for any of our drug candidates, we expect to incur significant commercialization expenses related to drug sales, marketing, manufacturing and distribution to the extent that such sales, marketing and distribution are not the responsibility of potential collaborators. Furthermore, we expect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our research and development programs or future commercialization efforts.</w:t>
      </w:r>
    </w:p>
    <w:p>
      <w:pPr>
        <w:spacing w:after="0" w:line="158" w:lineRule="exact"/>
        <w:rPr>
          <w:sz w:val="20"/>
          <w:szCs w:val="20"/>
          <w:color w:val="auto"/>
        </w:rPr>
      </w:pPr>
    </w:p>
    <w:p>
      <w:pPr>
        <w:jc w:val="both"/>
        <w:ind w:right="100" w:firstLine="648"/>
        <w:spacing w:after="0" w:line="226" w:lineRule="auto"/>
        <w:rPr>
          <w:sz w:val="20"/>
          <w:szCs w:val="20"/>
          <w:color w:val="auto"/>
        </w:rPr>
      </w:pPr>
      <w:r>
        <w:rPr>
          <w:rFonts w:ascii="Times New Roman" w:cs="Times New Roman" w:eastAsia="Times New Roman" w:hAnsi="Times New Roman"/>
          <w:sz w:val="18"/>
          <w:szCs w:val="18"/>
          <w:color w:val="auto"/>
        </w:rPr>
        <w:t>As of June 30, 2016, we had cash, cash equivalents and investments of $172.6 million. We expect that our existing cash, cash equivalents and investments will be sufficient to enable us to fund our operating expenses and capital expenditure requirements into early 2018. Our future capital requirements will depend on many factors, including:</w:t>
      </w:r>
    </w:p>
    <w:p>
      <w:pPr>
        <w:spacing w:after="0" w:line="129" w:lineRule="exact"/>
        <w:rPr>
          <w:sz w:val="20"/>
          <w:szCs w:val="20"/>
          <w:color w:val="auto"/>
        </w:rPr>
      </w:pPr>
    </w:p>
    <w:p>
      <w:pPr>
        <w:ind w:left="1020" w:right="540" w:hanging="53"/>
        <w:spacing w:after="0" w:line="220" w:lineRule="exact"/>
        <w:rPr>
          <w:sz w:val="20"/>
          <w:szCs w:val="20"/>
          <w:color w:val="auto"/>
        </w:rPr>
      </w:pPr>
      <w:r>
        <w:rPr>
          <w:rFonts w:ascii="Times New Roman" w:cs="Times New Roman" w:eastAsia="Times New Roman" w:hAnsi="Times New Roman"/>
          <w:sz w:val="18"/>
          <w:szCs w:val="18"/>
          <w:color w:val="auto"/>
        </w:rPr>
        <w:t>·the scope, progress, results and costs of drug discovery,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development, laboratory testing and clinical trials for our drug candidates;</w:t>
      </w:r>
    </w:p>
    <w:p>
      <w:pPr>
        <w:spacing w:after="0" w:line="158" w:lineRule="exact"/>
        <w:rPr>
          <w:sz w:val="20"/>
          <w:szCs w:val="20"/>
          <w:color w:val="auto"/>
        </w:rPr>
      </w:pPr>
    </w:p>
    <w:p>
      <w:pPr>
        <w:ind w:left="980" w:right="2240"/>
        <w:spacing w:after="0" w:line="480" w:lineRule="auto"/>
        <w:rPr>
          <w:sz w:val="20"/>
          <w:szCs w:val="20"/>
          <w:color w:val="auto"/>
        </w:rPr>
      </w:pPr>
      <w:r>
        <w:rPr>
          <w:rFonts w:ascii="Times New Roman" w:cs="Times New Roman" w:eastAsia="Times New Roman" w:hAnsi="Times New Roman"/>
          <w:sz w:val="17"/>
          <w:szCs w:val="17"/>
          <w:color w:val="auto"/>
        </w:rPr>
        <w:t>·the scope, prioritization and number of our research and development programs; ·the costs, timing and outcome of regulatory review of our drug candidates; ·our ability to establish and maintain collaborations on favorable terms, if at all;</w:t>
      </w:r>
    </w:p>
    <w:p>
      <w:pPr>
        <w:spacing w:after="0" w:line="2" w:lineRule="exact"/>
        <w:rPr>
          <w:sz w:val="20"/>
          <w:szCs w:val="20"/>
          <w:color w:val="auto"/>
        </w:rPr>
      </w:pPr>
    </w:p>
    <w:p>
      <w:pPr>
        <w:ind w:left="1020" w:right="820" w:hanging="53"/>
        <w:spacing w:after="0" w:line="237"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any collaboration agreements we obtain;</w:t>
      </w:r>
    </w:p>
    <w:p>
      <w:pPr>
        <w:spacing w:after="0" w:line="158" w:lineRule="exact"/>
        <w:rPr>
          <w:sz w:val="20"/>
          <w:szCs w:val="20"/>
          <w:color w:val="auto"/>
        </w:rPr>
      </w:pPr>
    </w:p>
    <w:p>
      <w:pPr>
        <w:ind w:left="1020" w:right="320" w:hanging="53"/>
        <w:spacing w:after="0" w:line="237" w:lineRule="auto"/>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sz w:val="20"/>
          <w:szCs w:val="20"/>
          <w:color w:val="auto"/>
        </w:rPr>
      </w:pPr>
    </w:p>
    <w:p>
      <w:pPr>
        <w:ind w:left="1020" w:right="280" w:hanging="53"/>
        <w:spacing w:after="0" w:line="215" w:lineRule="exact"/>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80" w:right="1940"/>
        <w:spacing w:after="0" w:line="327" w:lineRule="exact"/>
        <w:rPr>
          <w:sz w:val="20"/>
          <w:szCs w:val="20"/>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drug candidates and technologies; ·the costs of securing manufacturing arrangements for commercial production; and</w:t>
      </w:r>
    </w:p>
    <w:p>
      <w:pPr>
        <w:spacing w:after="0" w:line="158" w:lineRule="exact"/>
        <w:rPr>
          <w:sz w:val="20"/>
          <w:szCs w:val="20"/>
          <w:color w:val="auto"/>
        </w:rPr>
      </w:pPr>
    </w:p>
    <w:p>
      <w:pPr>
        <w:ind w:left="1020" w:right="20" w:hanging="53"/>
        <w:spacing w:after="0" w:line="237" w:lineRule="auto"/>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approvals to market our drug candidates.</w:t>
      </w:r>
    </w:p>
    <w:p>
      <w:pPr>
        <w:spacing w:after="0" w:line="130" w:lineRule="exact"/>
        <w:rPr>
          <w:sz w:val="20"/>
          <w:szCs w:val="20"/>
          <w:color w:val="auto"/>
        </w:rPr>
      </w:pPr>
    </w:p>
    <w:p>
      <w:pPr>
        <w:ind w:right="80" w:firstLine="648"/>
        <w:spacing w:after="0" w:line="190" w:lineRule="exact"/>
        <w:rPr>
          <w:sz w:val="20"/>
          <w:szCs w:val="20"/>
          <w:color w:val="auto"/>
        </w:rPr>
      </w:pPr>
      <w:r>
        <w:rPr>
          <w:rFonts w:ascii="Times New Roman" w:cs="Times New Roman" w:eastAsia="Times New Roman" w:hAnsi="Times New Roman"/>
          <w:sz w:val="18"/>
          <w:szCs w:val="18"/>
          <w:color w:val="auto"/>
        </w:rPr>
        <w:t>Identifying potential drug candidates and conducting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clinical studies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many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 Adequate additional financing may not be available to us on acceptable terms, or at all.</w:t>
      </w:r>
    </w:p>
    <w:p>
      <w:pPr>
        <w:spacing w:after="0" w:line="160"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equity offerings, debt financings, collaborations, strategic alliances and licensing arrangements. At this time, we do not have any committed external source of funds outside of those to be earned in connection with our agreements with Alexion and Roche. To the extent that we raise additional capital through the sale of equity or convertible debt securities, your ownership interest will be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58"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technologies,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right="20" w:firstLine="648"/>
        <w:spacing w:after="0" w:line="214" w:lineRule="auto"/>
        <w:rPr>
          <w:sz w:val="20"/>
          <w:szCs w:val="20"/>
          <w:color w:val="auto"/>
        </w:rPr>
      </w:pPr>
      <w:r>
        <w:rPr>
          <w:rFonts w:ascii="Times New Roman" w:cs="Times New Roman" w:eastAsia="Times New Roman" w:hAnsi="Times New Roman"/>
          <w:sz w:val="18"/>
          <w:szCs w:val="18"/>
          <w:color w:val="auto"/>
        </w:rPr>
        <w:t>In March 2016, we entered into the Ventana agreement pursuant to which Ventana has agreed to develop and commercialize the companion diagnostic for BLU-554 that we expect to use to identify HCC patients with aberrantly active FGFR4 signaling as indicated by FGF19 overexpression. Subject to the terms of the Ventana agreement, we will pay Ventana an aggregate amount of up to approximately $12.3 million over the term of the development program for the companion diagnostic test for BLU-554 plus pass through costs and certain other specified amounts. See “—Collaborations and Partnerships—Ventana” above for additional information on the Ventana agreement.</w:t>
      </w:r>
    </w:p>
    <w:p>
      <w:pPr>
        <w:spacing w:after="0" w:line="162" w:lineRule="exact"/>
        <w:rPr>
          <w:sz w:val="20"/>
          <w:szCs w:val="20"/>
          <w:color w:val="auto"/>
        </w:rPr>
      </w:pPr>
    </w:p>
    <w:p>
      <w:pPr>
        <w:jc w:val="both"/>
        <w:ind w:right="340" w:firstLine="648"/>
        <w:spacing w:after="0" w:line="226" w:lineRule="auto"/>
        <w:rPr>
          <w:sz w:val="20"/>
          <w:szCs w:val="20"/>
          <w:color w:val="auto"/>
        </w:rPr>
      </w:pPr>
      <w:r>
        <w:rPr>
          <w:rFonts w:ascii="Times New Roman" w:cs="Times New Roman" w:eastAsia="Times New Roman" w:hAnsi="Times New Roman"/>
          <w:sz w:val="18"/>
          <w:szCs w:val="18"/>
          <w:color w:val="auto"/>
        </w:rPr>
        <w:t>As of June 30, 2016, there have been no other material changes to our contractual obligations and commitments from those described under “Management’s Discussion and Analysis of Financial Condition and Results of Operations” included in the Annual Report on Form 10-K for the year ended December 31, 2015.</w:t>
      </w:r>
    </w:p>
    <w:p>
      <w:pPr>
        <w:spacing w:after="0" w:line="129" w:lineRule="exact"/>
        <w:rPr>
          <w:sz w:val="20"/>
          <w:szCs w:val="20"/>
          <w:color w:val="auto"/>
        </w:rPr>
      </w:pPr>
    </w:p>
    <w:p>
      <w:pPr>
        <w:jc w:val="center"/>
        <w:ind w:right="-39"/>
        <w:spacing w:after="0" w:line="207" w:lineRule="exact"/>
        <w:rPr>
          <w:sz w:val="20"/>
          <w:szCs w:val="20"/>
          <w:color w:val="auto"/>
        </w:rPr>
      </w:pPr>
      <w:r>
        <w:rPr>
          <w:rFonts w:ascii="Times New Roman" w:cs="Times New Roman" w:eastAsia="Times New Roman" w:hAnsi="Times New Roman"/>
          <w:sz w:val="18"/>
          <w:szCs w:val="18"/>
          <w:b w:val="1"/>
          <w:bCs w:val="1"/>
          <w:color w:val="auto"/>
        </w:rPr>
        <w:t>Off</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Balance Sheet Arrangements</w:t>
      </w:r>
    </w:p>
    <w:p>
      <w:pPr>
        <w:spacing w:after="0" w:line="185" w:lineRule="exact"/>
        <w:rPr>
          <w:sz w:val="20"/>
          <w:szCs w:val="20"/>
          <w:color w:val="auto"/>
        </w:rPr>
      </w:pPr>
    </w:p>
    <w:p>
      <w:pPr>
        <w:ind w:right="20" w:firstLine="648"/>
        <w:spacing w:after="0" w:line="220" w:lineRule="exact"/>
        <w:rPr>
          <w:sz w:val="20"/>
          <w:szCs w:val="20"/>
          <w:color w:val="auto"/>
        </w:rPr>
      </w:pPr>
      <w:r>
        <w:rPr>
          <w:rFonts w:ascii="Times New Roman" w:cs="Times New Roman" w:eastAsia="Times New Roman" w:hAnsi="Times New Roman"/>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balance sheet arrangements, as defined under applicable SEC rules.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ind w:right="460" w:firstLine="648"/>
        <w:spacing w:after="0" w:line="237" w:lineRule="auto"/>
        <w:rPr>
          <w:sz w:val="20"/>
          <w:szCs w:val="20"/>
          <w:color w:val="auto"/>
        </w:rPr>
      </w:pPr>
      <w:r>
        <w:rPr>
          <w:rFonts w:ascii="Times New Roman" w:cs="Times New Roman" w:eastAsia="Times New Roman" w:hAnsi="Times New Roman"/>
          <w:sz w:val="18"/>
          <w:szCs w:val="18"/>
          <w:color w:val="auto"/>
        </w:rPr>
        <w:t>As of June 30, 2016, we had cash, cash equivalents and investments of $172.6 million, consisting primarily of money market funds and investments in U.S. treasury obligations.</w:t>
      </w:r>
    </w:p>
    <w:p>
      <w:pPr>
        <w:spacing w:after="0" w:line="158" w:lineRule="exact"/>
        <w:rPr>
          <w:sz w:val="20"/>
          <w:szCs w:val="20"/>
          <w:color w:val="auto"/>
        </w:rPr>
      </w:pPr>
    </w:p>
    <w:p>
      <w:pPr>
        <w:ind w:right="140" w:firstLine="648"/>
        <w:spacing w:after="0" w:line="237" w:lineRule="auto"/>
        <w:rPr>
          <w:sz w:val="20"/>
          <w:szCs w:val="20"/>
          <w:color w:val="auto"/>
        </w:rPr>
      </w:pPr>
      <w:r>
        <w:rPr>
          <w:rFonts w:ascii="Times New Roman" w:cs="Times New Roman" w:eastAsia="Times New Roman" w:hAnsi="Times New Roman"/>
          <w:sz w:val="18"/>
          <w:szCs w:val="18"/>
          <w:color w:val="auto"/>
        </w:rPr>
        <w:t>Our primary exposure to market risk is interest rate sensitivity, which is affected by changes in the general level of U.S. interest rates, particularly because our investments are in short-term marketable securities. Due to the short-term</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39"/>
        <w:spacing w:after="0" w:line="220" w:lineRule="auto"/>
        <w:rPr>
          <w:sz w:val="20"/>
          <w:szCs w:val="20"/>
          <w:color w:val="auto"/>
        </w:rPr>
      </w:pPr>
      <w:r>
        <w:rPr>
          <w:rFonts w:ascii="Times New Roman" w:cs="Times New Roman" w:eastAsia="Times New Roman" w:hAnsi="Times New Roman"/>
          <w:sz w:val="18"/>
          <w:szCs w:val="18"/>
          <w:color w:val="auto"/>
        </w:rPr>
        <w:t>duration of our investment portfolio and the low risk profile of our investments, we believe an immediate 10% change in interest rates would not have a material effect on the fair market value of our investment portfolio. We have the ability to hold our investments until maturity, and therefore, we would not expect our operating results or cash flows to be affected to any significant degree by the effect of a change in market interest rates on our investment portfolio.</w:t>
      </w:r>
    </w:p>
    <w:p>
      <w:pPr>
        <w:spacing w:after="0" w:line="159" w:lineRule="exact"/>
        <w:rPr>
          <w:sz w:val="20"/>
          <w:szCs w:val="20"/>
          <w:color w:val="auto"/>
        </w:rPr>
      </w:pPr>
    </w:p>
    <w:p>
      <w:pPr>
        <w:ind w:right="199" w:firstLine="648"/>
        <w:spacing w:after="0" w:line="217" w:lineRule="auto"/>
        <w:rPr>
          <w:sz w:val="20"/>
          <w:szCs w:val="20"/>
          <w:color w:val="auto"/>
        </w:rPr>
      </w:pPr>
      <w:r>
        <w:rPr>
          <w:rFonts w:ascii="Times New Roman" w:cs="Times New Roman" w:eastAsia="Times New Roman" w:hAnsi="Times New Roman"/>
          <w:sz w:val="18"/>
          <w:szCs w:val="18"/>
          <w:color w:val="auto"/>
        </w:rPr>
        <w:t>We are also exposed to market risk related to changes in foreign currency exchange rates. From time to time, we contract with vendors that are located Asia and Europe, which are denominated in foreign currencies. We are subject to fluctuations in foreign currency rates in connection with these agreements. We do not currently hedge our foreign currency exchange rate risk. As of June 30, 2016 and December 31, 2015, we had minimal or no liabilities denominated in foreign currencies.</w:t>
      </w:r>
    </w:p>
    <w:p>
      <w:pPr>
        <w:spacing w:after="0" w:line="158" w:lineRule="exact"/>
        <w:rPr>
          <w:sz w:val="20"/>
          <w:szCs w:val="20"/>
          <w:color w:val="auto"/>
        </w:rPr>
      </w:pPr>
    </w:p>
    <w:p>
      <w:pPr>
        <w:jc w:val="both"/>
        <w:ind w:right="79" w:firstLine="648"/>
        <w:spacing w:after="0" w:line="226" w:lineRule="auto"/>
        <w:rPr>
          <w:sz w:val="20"/>
          <w:szCs w:val="20"/>
          <w:color w:val="auto"/>
        </w:rPr>
      </w:pPr>
      <w:r>
        <w:rPr>
          <w:rFonts w:ascii="Times New Roman" w:cs="Times New Roman" w:eastAsia="Times New Roman" w:hAnsi="Times New Roman"/>
          <w:sz w:val="18"/>
          <w:szCs w:val="18"/>
          <w:color w:val="auto"/>
        </w:rPr>
        <w:t>Inflation generally affects us by increasing our cost of labor and clinical trial costs. We do not believe that inflation had a material effect on our business, financial condition or results of operations during the three and six months ended June 30, 2016 and 2015.</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Management’s Evaluation of our Disclosure Controls and Procedures</w:t>
      </w:r>
    </w:p>
    <w:p>
      <w:pPr>
        <w:spacing w:after="0" w:line="79" w:lineRule="exact"/>
        <w:rPr>
          <w:sz w:val="20"/>
          <w:szCs w:val="20"/>
          <w:color w:val="auto"/>
        </w:rPr>
      </w:pPr>
    </w:p>
    <w:p>
      <w:pPr>
        <w:ind w:right="39" w:firstLine="648"/>
        <w:spacing w:after="0" w:line="223"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Securities Exchange Act of 1934, as amended, or the Exchange Act, that are designed to ensure that information required to be disclosed in the reports that we file or submit under the Exchange Act is (1) recorded, processed, summarized and reported, within the time periods specified in the Securities and Exchange Commission’s rules and forms and (2) accumulated and communicated to our management, including our principal executive and principal financial officer,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53" w:lineRule="exact"/>
        <w:rPr>
          <w:sz w:val="20"/>
          <w:szCs w:val="20"/>
          <w:color w:val="auto"/>
        </w:rPr>
      </w:pPr>
    </w:p>
    <w:p>
      <w:pPr>
        <w:ind w:right="19" w:firstLine="648"/>
        <w:spacing w:after="0" w:line="233"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Vice President of Finance (our principal executive officer and principal financial officer, respectively), evaluated the effectiveness of our disclosure controls and procedures as of June 30, 2016. Based upon such evaluation, our Chief Executive Officer and Vice President of Finance have concluded that, as of June 30, 2016, our disclosure controls and procedures were effective at the reasonable assurance level.</w:t>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79" w:lineRule="exact"/>
        <w:rPr>
          <w:sz w:val="20"/>
          <w:szCs w:val="20"/>
          <w:color w:val="auto"/>
        </w:rPr>
      </w:pPr>
    </w:p>
    <w:p>
      <w:pPr>
        <w:ind w:right="139" w:firstLine="648"/>
        <w:spacing w:after="0" w:line="226" w:lineRule="auto"/>
        <w:rPr>
          <w:sz w:val="20"/>
          <w:szCs w:val="20"/>
          <w:color w:val="auto"/>
        </w:rPr>
      </w:pPr>
      <w:r>
        <w:rPr>
          <w:rFonts w:ascii="Times New Roman" w:cs="Times New Roman" w:eastAsia="Times New Roman" w:hAnsi="Times New Roman"/>
          <w:sz w:val="18"/>
          <w:szCs w:val="18"/>
          <w:color w:val="auto"/>
        </w:rPr>
        <w:t>No change in our internal control over financial reporting (as defined in Rules 13a-15(f) and 15d-15(f) under the Exchange Act) occurred during the three months ended June 30, 2016 that has materially affected, or is reasonably likely to materially affect, our internal control over financial reporting.</w:t>
      </w:r>
    </w:p>
    <w:p>
      <w:pPr>
        <w:spacing w:after="0" w:line="37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are not currently a party to any material legal proceedings.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ind w:right="40" w:firstLine="648"/>
        <w:spacing w:after="0" w:line="215" w:lineRule="auto"/>
        <w:rPr>
          <w:sz w:val="20"/>
          <w:szCs w:val="20"/>
          <w:color w:val="auto"/>
        </w:rPr>
      </w:pPr>
      <w:r>
        <w:rPr>
          <w:rFonts w:ascii="Times New Roman" w:cs="Times New Roman" w:eastAsia="Times New Roman" w:hAnsi="Times New Roman"/>
          <w:sz w:val="18"/>
          <w:szCs w:val="18"/>
          <w:i w:val="1"/>
          <w:iCs w:val="1"/>
          <w:color w:val="auto"/>
        </w:rPr>
        <w:t>The following risk factors and other information included in this Quarterly Report on Form 10-Q should be carefully considered. The risks and uncertainties described below are not the only ones we face. Additional risks and uncertainties not presently known to us or that we presently deem less significant may also impair our business operations. Please see page 3 of this Quarterly Report on Form 10-Q for a discussion of some of the forward-looking statements that are qualified by these risk factors. If any of the following risks occur, our business, financial condition, results of operations and future growth prospects could be materially and adversely affected.</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Financial Position and Need for Additional Capital</w:t>
      </w:r>
    </w:p>
    <w:p>
      <w:pPr>
        <w:spacing w:after="0" w:line="185"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are a biopharmaceutical company with a limited operating history and have not generated any revenue from drug sales. We have incurred significant operating losses since our inception and anticipate that we will incur continued losses for the foreseeable future.</w:t>
      </w:r>
    </w:p>
    <w:p>
      <w:pPr>
        <w:spacing w:after="0" w:line="159"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We are a biopharmaceutical company with a limited operating history on which to base your investment decision. Biopharmaceutical drug development is a highly speculative undertaking and involves a substantial degree of risk. We commenced operations in April 2011. Our operations to date have been limited primarily to organizing and staffing our company, business planning, raising capital, developing our technology, identifying potential drug candidates and undertaking pre-clinical studies and commencing Phase 1 clinical trials for our most advanced drug candidates, BLU-285 and BLU-554.</w:t>
      </w:r>
    </w:p>
    <w:p>
      <w:pPr>
        <w:spacing w:after="0" w:line="162" w:lineRule="exact"/>
        <w:rPr>
          <w:sz w:val="20"/>
          <w:szCs w:val="20"/>
          <w:color w:val="auto"/>
        </w:rPr>
      </w:pPr>
    </w:p>
    <w:p>
      <w:pPr>
        <w:ind w:right="60" w:firstLine="648"/>
        <w:spacing w:after="0" w:line="212" w:lineRule="auto"/>
        <w:rPr>
          <w:sz w:val="20"/>
          <w:szCs w:val="20"/>
          <w:color w:val="auto"/>
        </w:rPr>
      </w:pPr>
      <w:r>
        <w:rPr>
          <w:rFonts w:ascii="Times New Roman" w:cs="Times New Roman" w:eastAsia="Times New Roman" w:hAnsi="Times New Roman"/>
          <w:sz w:val="18"/>
          <w:szCs w:val="18"/>
          <w:color w:val="auto"/>
        </w:rPr>
        <w:t>In June 2015, July 2015 and September 2015, respectively, the U.S. Food and Drug Administration, or FDA, accepted our Investigational New Drug, or IND, applications for BLU-554 for the treatment of advanced hepatocellular carcinoma, or HCC, and cholangiocarcinoma, BLU-285 for the treatment of unresectable, treatment-resistant gastrointestinal stromal tumor, or GIST, and BLU-285 for the treatment of advanced systemic mastocytosis, or SM. We have initiated dose-escalation Phase 1 clinical trials for each of these indications and are currently enrolling patients in each of these clinical trials. In September 2015, the FDA granted orphan drug designation to BLU-554 for the treatment of HCC, and in January 2016, the FDA granted orphan drug designation to BLU-285 for the treatment of GIST and SM. We have never generated any revenue from drug sales. We have not obtained regulatory approvals for any of our drug candidates.</w:t>
      </w:r>
    </w:p>
    <w:p>
      <w:pPr>
        <w:spacing w:after="0" w:line="129" w:lineRule="exact"/>
        <w:rPr>
          <w:sz w:val="20"/>
          <w:szCs w:val="20"/>
          <w:color w:val="auto"/>
        </w:rPr>
      </w:pPr>
    </w:p>
    <w:p>
      <w:pPr>
        <w:ind w:firstLine="648"/>
        <w:spacing w:after="0" w:line="189" w:lineRule="exact"/>
        <w:rPr>
          <w:sz w:val="20"/>
          <w:szCs w:val="20"/>
          <w:color w:val="auto"/>
        </w:rPr>
      </w:pPr>
      <w:r>
        <w:rPr>
          <w:rFonts w:ascii="Times New Roman" w:cs="Times New Roman" w:eastAsia="Times New Roman" w:hAnsi="Times New Roman"/>
          <w:sz w:val="18"/>
          <w:szCs w:val="18"/>
          <w:color w:val="auto"/>
        </w:rPr>
        <w:t>We have not yet demonstrated our ability to successfully complete any clinical trials, including large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scale, pivotal clinical trials, obtain regulatory approvals, manufacture a commercial scale drug, or arrange for a third party to do so on our behalf, or conduct sales and marketing activities necessary for successful commercialization. Typically, it takes many years to develop one new drug from the time it is discovered to when it is available for treating patients. Consequently, any predictions you make about our future success or viability may not be as accurate as they could be if we had a longer operating history. We will need to transition from a company with a research focus to a company capable of supporting commercial activities. We may not be successful in such a transition.</w:t>
      </w:r>
    </w:p>
    <w:p>
      <w:pPr>
        <w:spacing w:after="0" w:line="158" w:lineRule="exact"/>
        <w:rPr>
          <w:sz w:val="20"/>
          <w:szCs w:val="20"/>
          <w:color w:val="auto"/>
        </w:rPr>
      </w:pPr>
    </w:p>
    <w:p>
      <w:pPr>
        <w:ind w:right="20" w:firstLine="648"/>
        <w:spacing w:after="0" w:line="210" w:lineRule="auto"/>
        <w:rPr>
          <w:sz w:val="20"/>
          <w:szCs w:val="20"/>
          <w:color w:val="auto"/>
        </w:rPr>
      </w:pPr>
      <w:r>
        <w:rPr>
          <w:rFonts w:ascii="Times New Roman" w:cs="Times New Roman" w:eastAsia="Times New Roman" w:hAnsi="Times New Roman"/>
          <w:sz w:val="18"/>
          <w:szCs w:val="18"/>
          <w:color w:val="auto"/>
        </w:rPr>
        <w:t>Since inception, we have focused substantially all of our efforts and financial resources on developing our proprietary compound library, novel target discovery engine and initial drug candidates. In May 2015, we completed an initial public offering, or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resulting in gross proceeds of $168.6 million before deducting underwriting discounts and commissions and offering costs paid by us. To date, we have financed our operations primarily through our IPO, private placements of our convertible preferred stock and, to a lesser extent, the research, development and commercialization agreement, or Alexion agreement, that we entered into in March 2015 with Alexion Pharma Holding, or Alexion, the collaboration and license agreement, or Roche agreement, that we entered into in March 2016 with F. Hoffmann-La Roche Ltd and Hoffmann-La Roche Inc., or collectively, Roche, and a debt</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17" w:lineRule="auto"/>
        <w:rPr>
          <w:sz w:val="20"/>
          <w:szCs w:val="20"/>
          <w:color w:val="auto"/>
        </w:rPr>
      </w:pPr>
      <w:r>
        <w:rPr>
          <w:rFonts w:ascii="Times New Roman" w:cs="Times New Roman" w:eastAsia="Times New Roman" w:hAnsi="Times New Roman"/>
          <w:sz w:val="18"/>
          <w:szCs w:val="18"/>
          <w:color w:val="auto"/>
        </w:rPr>
        <w:t>financing. Through June 30, 2016, we have received an aggregate of $356.5 million from such transactions, including $168.6 million in gross proceeds from our IPO, $115.1 million in gross proceeds from the issuance of convertible preferred stock, $17.8 million of upfront and milestone payments from Alexion, a $45.0 million upfront payment from Roche and $10.0 million in gross proceeds from the debt financing. As of June 30, 2016, we had cash, cash equivalents and investments of $172.6 million.</w:t>
      </w:r>
    </w:p>
    <w:p>
      <w:pPr>
        <w:spacing w:after="0" w:line="158"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We have incurred net losses in each year since our inception, and as of June 30, 2016, we had an accumulated deficit of $169.4 million. Our net loss was $34.4 million for the six months ended June 30, 2016, $52.8 million for the year ended December 31, 2015, $40.3 million for the year ended December 31, 2014 and $20.9 million for the year ended December 31, 2013. Substantially all of our operating losses have resulted from costs incurred in connection with our research and development programs and from general and administrative costs associated with our operations. We expect to continue to incur significant expenses and operating losses over the next several years and for the foreseeable future. Our prior losses, combined with expected future losses, have had and will continue to have an adverse effect on our stockholders’ deficit and working capital. We expect our research and development expenses to significantly increase in connection with continuing our existing clinical trials and beginning additional clinical trials. In addition, if we obtain marketing approval for our drug candidates, we will incur significant sales, marketing and outsourced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manufacturing expenses. As a public company, we will continue to incur additional costs associated with operating as a public company. As a result, we expect to continue to incur significant and increasing operating losses for the foreseeable future.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revenue.</w:t>
      </w:r>
    </w:p>
    <w:p>
      <w:pPr>
        <w:spacing w:after="0" w:line="130" w:lineRule="exact"/>
        <w:rPr>
          <w:sz w:val="20"/>
          <w:szCs w:val="20"/>
          <w:color w:val="auto"/>
        </w:rPr>
      </w:pPr>
    </w:p>
    <w:p>
      <w:pPr>
        <w:ind w:right="100" w:firstLine="648"/>
        <w:spacing w:after="0" w:line="193" w:lineRule="exact"/>
        <w:rPr>
          <w:sz w:val="20"/>
          <w:szCs w:val="20"/>
          <w:color w:val="auto"/>
        </w:rPr>
      </w:pPr>
      <w:r>
        <w:rPr>
          <w:rFonts w:ascii="Times New Roman" w:cs="Times New Roman" w:eastAsia="Times New Roman" w:hAnsi="Times New Roman"/>
          <w:sz w:val="18"/>
          <w:szCs w:val="18"/>
          <w:color w:val="auto"/>
        </w:rPr>
        <w:t>To date, we have not generated any revenue from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and we do not know and do not expect to generate any revenue from the sale of drugs in the near future. We do not expect to generate significant revenue unless and until we obtain marketing approval of, and begin to sell,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one of our other drug candidates. Our ability to generate revenue depends on a number of factors, including, but not limited to, our ability to:</w:t>
      </w:r>
    </w:p>
    <w:p>
      <w:pPr>
        <w:spacing w:after="0" w:line="16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·initiate and successfully complete clinical trials that meet their clinical endpoints;</w:t>
      </w:r>
    </w:p>
    <w:p>
      <w:pPr>
        <w:spacing w:after="0" w:line="185" w:lineRule="exact"/>
        <w:rPr>
          <w:sz w:val="20"/>
          <w:szCs w:val="20"/>
          <w:color w:val="auto"/>
        </w:rPr>
      </w:pPr>
    </w:p>
    <w:p>
      <w:pPr>
        <w:ind w:left="1020" w:right="80" w:hanging="53"/>
        <w:spacing w:after="0" w:line="237" w:lineRule="auto"/>
        <w:rPr>
          <w:sz w:val="20"/>
          <w:szCs w:val="20"/>
          <w:color w:val="auto"/>
        </w:rPr>
      </w:pPr>
      <w:r>
        <w:rPr>
          <w:rFonts w:ascii="Times New Roman" w:cs="Times New Roman" w:eastAsia="Times New Roman" w:hAnsi="Times New Roman"/>
          <w:sz w:val="18"/>
          <w:szCs w:val="18"/>
          <w:color w:val="auto"/>
        </w:rPr>
        <w:t>·initiate and successfully complete all safety studies required to obtain U.S. and foreign marketing approval for our drug candidates;</w:t>
      </w:r>
    </w:p>
    <w:p>
      <w:pPr>
        <w:spacing w:after="0" w:line="158" w:lineRule="exact"/>
        <w:rPr>
          <w:sz w:val="20"/>
          <w:szCs w:val="20"/>
          <w:color w:val="auto"/>
        </w:rPr>
      </w:pPr>
    </w:p>
    <w:p>
      <w:pPr>
        <w:ind w:left="1020" w:right="620" w:hanging="53"/>
        <w:spacing w:after="0" w:line="237" w:lineRule="auto"/>
        <w:rPr>
          <w:sz w:val="20"/>
          <w:szCs w:val="20"/>
          <w:color w:val="auto"/>
        </w:rPr>
      </w:pPr>
      <w:r>
        <w:rPr>
          <w:rFonts w:ascii="Times New Roman" w:cs="Times New Roman" w:eastAsia="Times New Roman" w:hAnsi="Times New Roman"/>
          <w:sz w:val="18"/>
          <w:szCs w:val="18"/>
          <w:color w:val="auto"/>
        </w:rPr>
        <w:t>·commercialize our drug candidates, if approved, by developing a sales force or entering into additional collaborations with third parties; and</w:t>
      </w:r>
    </w:p>
    <w:p>
      <w:pPr>
        <w:spacing w:after="0" w:line="130" w:lineRule="exact"/>
        <w:rPr>
          <w:sz w:val="20"/>
          <w:szCs w:val="20"/>
          <w:color w:val="auto"/>
        </w:rPr>
      </w:pPr>
    </w:p>
    <w:p>
      <w:pPr>
        <w:jc w:val="center"/>
        <w:ind w:right="-539"/>
        <w:spacing w:after="0" w:line="207" w:lineRule="exact"/>
        <w:rPr>
          <w:sz w:val="20"/>
          <w:szCs w:val="20"/>
          <w:color w:val="auto"/>
        </w:rPr>
      </w:pPr>
      <w:r>
        <w:rPr>
          <w:rFonts w:ascii="Times New Roman" w:cs="Times New Roman" w:eastAsia="Times New Roman" w:hAnsi="Times New Roman"/>
          <w:sz w:val="18"/>
          <w:szCs w:val="18"/>
          <w:color w:val="auto"/>
        </w:rPr>
        <w:t>·achieve market acceptance of our drug candidates in the medical community and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213" w:lineRule="exact"/>
        <w:rPr>
          <w:sz w:val="20"/>
          <w:szCs w:val="20"/>
          <w:color w:val="auto"/>
        </w:rPr>
      </w:pPr>
    </w:p>
    <w:p>
      <w:pPr>
        <w:ind w:right="120" w:firstLine="648"/>
        <w:spacing w:after="0" w:line="217" w:lineRule="auto"/>
        <w:rPr>
          <w:sz w:val="20"/>
          <w:szCs w:val="20"/>
          <w:color w:val="auto"/>
        </w:rPr>
      </w:pPr>
      <w:r>
        <w:rPr>
          <w:rFonts w:ascii="Times New Roman" w:cs="Times New Roman" w:eastAsia="Times New Roman" w:hAnsi="Times New Roman"/>
          <w:sz w:val="18"/>
          <w:szCs w:val="18"/>
          <w:color w:val="auto"/>
        </w:rPr>
        <w:t>We expect to incur significant sales and marketing costs as we prepare to commercialize our drug candidates. Even if we initiate and successfully complete pivotal clinical trials of our drug candidates, and our drug candidates are approved for commercial sale, and despite expending these costs, our drug candidates may not be commercially successful. We may not achieve profitability soon after generating drug sales, if ever. If we are unable to generate drug revenue, we will not become profitable and may be unable to continue operations without continued funding.</w:t>
      </w:r>
    </w:p>
    <w:p>
      <w:pPr>
        <w:spacing w:after="0" w:line="15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8"/>
          <w:szCs w:val="18"/>
          <w:b w:val="1"/>
          <w:bCs w:val="1"/>
          <w:i w:val="1"/>
          <w:iCs w:val="1"/>
          <w:color w:val="auto"/>
        </w:rPr>
        <w:t>We may need to raise substantial additional funding. If we are unable to raise capital when needed, we would be forced to delay, reduce or eliminate some of our drug development programs or commercialization efforts.</w:t>
      </w:r>
    </w:p>
    <w:p>
      <w:pPr>
        <w:spacing w:after="0" w:line="129" w:lineRule="exact"/>
        <w:rPr>
          <w:sz w:val="20"/>
          <w:szCs w:val="20"/>
          <w:color w:val="auto"/>
        </w:rPr>
      </w:pPr>
    </w:p>
    <w:p>
      <w:pPr>
        <w:ind w:right="40" w:firstLine="648"/>
        <w:spacing w:after="0" w:line="189" w:lineRule="exact"/>
        <w:rPr>
          <w:sz w:val="20"/>
          <w:szCs w:val="20"/>
          <w:color w:val="auto"/>
        </w:rPr>
      </w:pPr>
      <w:r>
        <w:rPr>
          <w:rFonts w:ascii="Times New Roman" w:cs="Times New Roman" w:eastAsia="Times New Roman" w:hAnsi="Times New Roman"/>
          <w:sz w:val="18"/>
          <w:szCs w:val="18"/>
          <w:color w:val="auto"/>
        </w:rPr>
        <w:t>The development of pharmaceuticals is capital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intensive. We are currently advancing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through clinical development. We expect our expenses to increase in connection with our ongoing activities, particularly as we continue the research and development of, initiate or continue clinical trials of, and seek marketing approval for, our drug candidates. In addition, depending on the status of regulatory approval or, if we obtain marketing approval for any of our drug candidates, we expect to incur significant commercialization expenses related to drug sales, marketing, manufacturing and distribution to the extent that such sales, marketing and distribution are not the responsibility of Alexion, Roche or other collaborators. We may also need to raise additional funds sooner if</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17" w:lineRule="auto"/>
        <w:rPr>
          <w:sz w:val="20"/>
          <w:szCs w:val="20"/>
          <w:color w:val="auto"/>
        </w:rPr>
      </w:pPr>
      <w:r>
        <w:rPr>
          <w:rFonts w:ascii="Times New Roman" w:cs="Times New Roman" w:eastAsia="Times New Roman" w:hAnsi="Times New Roman"/>
          <w:sz w:val="18"/>
          <w:szCs w:val="18"/>
          <w:color w:val="auto"/>
        </w:rPr>
        <w:t>we choose to pursue additional indications or geographies for our drug candidates or otherwise expand more rapidly than we presently anticipate. Furthermore, we expect to continue to incur additional costs associated with operating as a public company. Accordingly, we will need to obtain substantial additional funding in connection with our continuing operations. If we are unable to raise capital when needed or on attractive terms, we would be forced to delay, reduce or eliminate certain of our research and development programs or future commercialization efforts.</w:t>
      </w:r>
    </w:p>
    <w:p>
      <w:pPr>
        <w:spacing w:after="0" w:line="158"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As of June 30, 2016, we had cash, cash equivalents and investments of $172.6 million. We expect that our existing cash, cash equivalents and investments will be sufficient to enable us to fund our operating expenses and capital expenditure requirements into early 2018. Our future capital requirements will depend on and could increase significantly as a result of many factors, including:</w:t>
      </w:r>
    </w:p>
    <w:p>
      <w:pPr>
        <w:spacing w:after="0" w:line="159" w:lineRule="exact"/>
        <w:rPr>
          <w:sz w:val="20"/>
          <w:szCs w:val="20"/>
          <w:color w:val="auto"/>
        </w:rPr>
      </w:pPr>
    </w:p>
    <w:p>
      <w:pPr>
        <w:ind w:left="1020" w:right="540" w:hanging="53"/>
        <w:spacing w:after="0" w:line="237" w:lineRule="auto"/>
        <w:rPr>
          <w:sz w:val="20"/>
          <w:szCs w:val="20"/>
          <w:color w:val="auto"/>
        </w:rPr>
      </w:pPr>
      <w:r>
        <w:rPr>
          <w:rFonts w:ascii="Times New Roman" w:cs="Times New Roman" w:eastAsia="Times New Roman" w:hAnsi="Times New Roman"/>
          <w:sz w:val="18"/>
          <w:szCs w:val="18"/>
          <w:color w:val="auto"/>
        </w:rPr>
        <w:t>·the scope, progress, results and costs of drug discovery, pre-clinical development, laboratory testing and clinical trials for our drug candidates;</w:t>
      </w:r>
    </w:p>
    <w:p>
      <w:pPr>
        <w:spacing w:after="0" w:line="158" w:lineRule="exact"/>
        <w:rPr>
          <w:sz w:val="20"/>
          <w:szCs w:val="20"/>
          <w:color w:val="auto"/>
        </w:rPr>
      </w:pPr>
    </w:p>
    <w:p>
      <w:pPr>
        <w:ind w:left="980" w:right="2240"/>
        <w:spacing w:after="0" w:line="454" w:lineRule="auto"/>
        <w:rPr>
          <w:sz w:val="20"/>
          <w:szCs w:val="20"/>
          <w:color w:val="auto"/>
        </w:rPr>
      </w:pPr>
      <w:r>
        <w:rPr>
          <w:rFonts w:ascii="Times New Roman" w:cs="Times New Roman" w:eastAsia="Times New Roman" w:hAnsi="Times New Roman"/>
          <w:sz w:val="18"/>
          <w:szCs w:val="18"/>
          <w:color w:val="auto"/>
        </w:rPr>
        <w:t>·the scope, prioritization and number of our research and development programs; · the success of our collaborations with Alexion and Roche;</w:t>
      </w:r>
    </w:p>
    <w:p>
      <w:pPr>
        <w:ind w:left="1020" w:right="140" w:hanging="53"/>
        <w:spacing w:after="0" w:line="237" w:lineRule="auto"/>
        <w:rPr>
          <w:sz w:val="20"/>
          <w:szCs w:val="20"/>
          <w:color w:val="auto"/>
        </w:rPr>
      </w:pPr>
      <w:r>
        <w:rPr>
          <w:rFonts w:ascii="Times New Roman" w:cs="Times New Roman" w:eastAsia="Times New Roman" w:hAnsi="Times New Roman"/>
          <w:sz w:val="18"/>
          <w:szCs w:val="18"/>
          <w:color w:val="auto"/>
        </w:rPr>
        <w:t>·the success of our current or future companion diagnostic collaborations, including our companion diagnostic with Ventana Medical Systems, Inc., or Ventana, for BLU-554;</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costs, timing and outcome of regulatory review of our drug candidates;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ability to establish and maintain additional collaborations on favorable terms, if at all;</w:t>
      </w:r>
    </w:p>
    <w:p>
      <w:pPr>
        <w:spacing w:after="0" w:line="185" w:lineRule="exact"/>
        <w:rPr>
          <w:sz w:val="20"/>
          <w:szCs w:val="20"/>
          <w:color w:val="auto"/>
        </w:rPr>
      </w:pPr>
    </w:p>
    <w:p>
      <w:pPr>
        <w:ind w:left="1020" w:right="60" w:hanging="53"/>
        <w:spacing w:after="0" w:line="237" w:lineRule="auto"/>
        <w:rPr>
          <w:sz w:val="20"/>
          <w:szCs w:val="20"/>
          <w:color w:val="auto"/>
        </w:rPr>
      </w:pPr>
      <w:r>
        <w:rPr>
          <w:rFonts w:ascii="Times New Roman" w:cs="Times New Roman" w:eastAsia="Times New Roman" w:hAnsi="Times New Roman"/>
          <w:sz w:val="18"/>
          <w:szCs w:val="18"/>
          <w:color w:val="auto"/>
        </w:rPr>
        <w:t>·the achievement of milestones or occurrence of other developments that trigger payments under any additional collaboration agreements we obtain;</w:t>
      </w:r>
    </w:p>
    <w:p>
      <w:pPr>
        <w:spacing w:after="0" w:line="158" w:lineRule="exact"/>
        <w:rPr>
          <w:sz w:val="20"/>
          <w:szCs w:val="20"/>
          <w:color w:val="auto"/>
        </w:rPr>
      </w:pPr>
    </w:p>
    <w:p>
      <w:pPr>
        <w:ind w:left="1020" w:right="320" w:hanging="53"/>
        <w:spacing w:after="0" w:line="237" w:lineRule="auto"/>
        <w:rPr>
          <w:sz w:val="20"/>
          <w:szCs w:val="20"/>
          <w:color w:val="auto"/>
        </w:rPr>
      </w:pPr>
      <w:r>
        <w:rPr>
          <w:rFonts w:ascii="Times New Roman" w:cs="Times New Roman" w:eastAsia="Times New Roman" w:hAnsi="Times New Roman"/>
          <w:sz w:val="18"/>
          <w:szCs w:val="18"/>
          <w:color w:val="auto"/>
        </w:rPr>
        <w:t>·the extent to which we are obligated to reimburse, or entitled to reimbursement of, clinical trial costs under future collaboration agreements, if any;</w:t>
      </w:r>
    </w:p>
    <w:p>
      <w:pPr>
        <w:spacing w:after="0" w:line="158" w:lineRule="exact"/>
        <w:rPr>
          <w:sz w:val="20"/>
          <w:szCs w:val="20"/>
          <w:color w:val="auto"/>
        </w:rPr>
      </w:pPr>
    </w:p>
    <w:p>
      <w:pPr>
        <w:ind w:left="1020" w:right="280" w:hanging="53"/>
        <w:spacing w:after="0" w:line="215" w:lineRule="exact"/>
        <w:rPr>
          <w:sz w:val="20"/>
          <w:szCs w:val="20"/>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claims;</w:t>
      </w:r>
    </w:p>
    <w:p>
      <w:pPr>
        <w:spacing w:after="0" w:line="109" w:lineRule="exact"/>
        <w:rPr>
          <w:sz w:val="20"/>
          <w:szCs w:val="20"/>
          <w:color w:val="auto"/>
        </w:rPr>
      </w:pPr>
    </w:p>
    <w:p>
      <w:pPr>
        <w:ind w:left="980" w:right="1960"/>
        <w:spacing w:after="0" w:line="327" w:lineRule="exact"/>
        <w:rPr>
          <w:sz w:val="20"/>
          <w:szCs w:val="20"/>
          <w:color w:val="auto"/>
        </w:rPr>
      </w:pPr>
      <w:r>
        <w:rPr>
          <w:rFonts w:ascii="Times New Roman" w:cs="Times New Roman" w:eastAsia="Times New Roman" w:hAnsi="Times New Roman"/>
          <w:sz w:val="18"/>
          <w:szCs w:val="18"/>
          <w:color w:val="auto"/>
        </w:rPr>
        <w:t>·the extent to which we acquire or in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license other drug candidates and technologies; ·the costs of securing manufacturing arrangements for commercial production; and</w:t>
      </w:r>
    </w:p>
    <w:p>
      <w:pPr>
        <w:spacing w:after="0" w:line="158"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·the costs of establishing or contracting for sales and marketing capabilities if we obtain regulatory clearances to market our drug candidates.</w:t>
      </w:r>
    </w:p>
    <w:p>
      <w:pPr>
        <w:spacing w:after="0" w:line="158"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Identifying potential drug candidates and conducting pre-clinical development and testing and clinical trials is a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expensive and uncertain process that takes years to complete, and we may never generate the necessary data or results required to obtain marketing approval and achieve drug sales. In addition, our drug candidates, if approved, may not achieve commercial success. Our commercial revenues, if any, will be derived from sales of drugs that we do not expect to be commercially available for many years, if at all. Accordingly, we will need to continue to rely on additional financing to achieve our business objectives.</w:t>
      </w:r>
    </w:p>
    <w:p>
      <w:pPr>
        <w:spacing w:after="0" w:line="133" w:lineRule="exact"/>
        <w:rPr>
          <w:sz w:val="20"/>
          <w:szCs w:val="20"/>
          <w:color w:val="auto"/>
        </w:rPr>
      </w:pPr>
    </w:p>
    <w:p>
      <w:pPr>
        <w:ind w:right="120" w:firstLine="648"/>
        <w:spacing w:after="0" w:line="189" w:lineRule="exact"/>
        <w:rPr>
          <w:sz w:val="20"/>
          <w:szCs w:val="20"/>
          <w:color w:val="auto"/>
        </w:rPr>
      </w:pPr>
      <w:r>
        <w:rPr>
          <w:rFonts w:ascii="Times New Roman" w:cs="Times New Roman" w:eastAsia="Times New Roman" w:hAnsi="Times New Roman"/>
          <w:sz w:val="18"/>
          <w:szCs w:val="18"/>
          <w:color w:val="auto"/>
        </w:rPr>
        <w:t>Any additional fundraising efforts may divert our management from their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terms of any financing may adversely affect the holdings or the rights of our stockholders and the issuance of additional securities, whether equity or debt, by us, or the possibility of such issuance, may cause the market price of our shares to decline. The sale of additional equity or convertible securities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3" w:lineRule="auto"/>
        <w:rPr>
          <w:sz w:val="20"/>
          <w:szCs w:val="20"/>
          <w:color w:val="auto"/>
        </w:rPr>
      </w:pPr>
      <w:r>
        <w:rPr>
          <w:rFonts w:ascii="Times New Roman" w:cs="Times New Roman" w:eastAsia="Times New Roman" w:hAnsi="Times New Roman"/>
          <w:sz w:val="18"/>
          <w:szCs w:val="18"/>
          <w:color w:val="auto"/>
        </w:rPr>
        <w:t>would dilute all of our stockholders. The incurrence of indebtedness would result in increased fixed payment obligations and we may be required to agree to certain restrictive covenants, such as limitations on our ability to incur additional debt, limitations on our ability to acquire, sell or license intellectual property rights and other operating restrictions that could adversely impact our ability to conduct our business. We could also be required to seek funds through arrangements with collaborators or otherwise at an earlier stage than otherwise would be desirable and we may be required to relinquish rights to some of our technologies or drug candidates or otherwise agree to terms unfavorable to us, any of which may have a material adverse effect on our business, operating results and prospects.</w:t>
      </w:r>
    </w:p>
    <w:p>
      <w:pPr>
        <w:spacing w:after="0" w:line="159" w:lineRule="exact"/>
        <w:rPr>
          <w:sz w:val="20"/>
          <w:szCs w:val="20"/>
          <w:color w:val="auto"/>
        </w:rPr>
      </w:pPr>
    </w:p>
    <w:p>
      <w:pPr>
        <w:ind w:firstLine="648"/>
        <w:spacing w:after="0" w:line="220" w:lineRule="auto"/>
        <w:rPr>
          <w:sz w:val="20"/>
          <w:szCs w:val="20"/>
          <w:color w:val="auto"/>
        </w:rPr>
      </w:pPr>
      <w:r>
        <w:rPr>
          <w:rFonts w:ascii="Times New Roman" w:cs="Times New Roman" w:eastAsia="Times New Roman" w:hAnsi="Times New Roman"/>
          <w:sz w:val="18"/>
          <w:szCs w:val="18"/>
          <w:color w:val="auto"/>
        </w:rPr>
        <w:t>If we are unable to obtain funding on a timely basis, we may be required to significantly curtail, delay or discontinue one or more of our research or development programs or the commercialization of any drug candidate or be unable to expand our operations or otherwise capitalize on our business opportunities, as desired, which could materially affect our business, financial condition and results of operations.</w:t>
      </w:r>
    </w:p>
    <w:p>
      <w:pPr>
        <w:spacing w:after="0" w:line="155"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b w:val="1"/>
          <w:bCs w:val="1"/>
          <w:i w:val="1"/>
          <w:iCs w:val="1"/>
          <w:color w:val="auto"/>
        </w:rPr>
        <w:t>Raising additional capital may cause dilution to our stockholders, restrict our operations or require us to relinquish rights to our technologies or drug candidates.</w:t>
      </w:r>
    </w:p>
    <w:p>
      <w:pPr>
        <w:spacing w:after="0" w:line="15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our collaborations with Alexion and Roche, each of which is limited in scope and duration, and funds already borrowed under the loan and security agreement that we entered into with Silicon Valley Bank in May 2013. Pursuant to our registration statement on Form S-3 (File No. 333-211266), which was declared effective by the SEC on July 25, 2016, we may sell up to $250,000,000 in aggregate dollar amount of securities, including common stock, from time to time in one or more offerings. To the extent that we raise additional capital through the sale of common stock or securities convertible or exchangeable into common stock, your ownership interest will be diluted, and the terms of these securities may include liquidation or other preferences that materially adversely affect your rights as a common stockholder. Debt financing, if available, would increase our fixed payment obligations and may involve agreements that include covenants limiting or restricting our ability to take specific actions, such as incurring additional debt, making capital expenditures or declaring dividends.</w:t>
      </w:r>
    </w:p>
    <w:p>
      <w:pPr>
        <w:spacing w:after="0" w:line="160" w:lineRule="exact"/>
        <w:rPr>
          <w:sz w:val="20"/>
          <w:szCs w:val="20"/>
          <w:color w:val="auto"/>
        </w:rPr>
      </w:pPr>
    </w:p>
    <w:p>
      <w:pPr>
        <w:ind w:right="180" w:firstLine="648"/>
        <w:spacing w:after="0" w:line="214" w:lineRule="auto"/>
        <w:rPr>
          <w:sz w:val="20"/>
          <w:szCs w:val="20"/>
          <w:color w:val="auto"/>
        </w:rPr>
      </w:pPr>
      <w:r>
        <w:rPr>
          <w:rFonts w:ascii="Times New Roman" w:cs="Times New Roman" w:eastAsia="Times New Roman" w:hAnsi="Times New Roman"/>
          <w:sz w:val="18"/>
          <w:szCs w:val="18"/>
          <w:color w:val="auto"/>
        </w:rPr>
        <w:t>If we raise funds through additional collaborations, strategic alliances or licensing arrangements with third parties, we may have to relinquish valuable rights to our intellectual property, future revenue streams, research programs or drug candidates or to grant licenses on terms that may not be favorable to us. If we are unable to raise additional funds through equity or debt financings when needed, we may be required to delay, limit, reduce or terminate our drug development or future commercialization efforts or grant rights to develop and market drug candidates that we would otherwise prefer to develop and market ourselves.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Drug Development and Regulatory Approval</w:t>
      </w:r>
    </w:p>
    <w:p>
      <w:pPr>
        <w:spacing w:after="0" w:line="185" w:lineRule="exact"/>
        <w:rPr>
          <w:sz w:val="20"/>
          <w:szCs w:val="20"/>
          <w:color w:val="auto"/>
        </w:rPr>
      </w:pPr>
    </w:p>
    <w:p>
      <w:pPr>
        <w:ind w:right="160"/>
        <w:spacing w:after="0" w:line="218" w:lineRule="auto"/>
        <w:rPr>
          <w:sz w:val="20"/>
          <w:szCs w:val="20"/>
          <w:color w:val="auto"/>
        </w:rPr>
      </w:pPr>
      <w:r>
        <w:rPr>
          <w:rFonts w:ascii="Times New Roman" w:cs="Times New Roman" w:eastAsia="Times New Roman" w:hAnsi="Times New Roman"/>
          <w:sz w:val="18"/>
          <w:szCs w:val="18"/>
          <w:b w:val="1"/>
          <w:bCs w:val="1"/>
          <w:i w:val="1"/>
          <w:iCs w:val="1"/>
          <w:color w:val="auto"/>
        </w:rPr>
        <w:t>We are very early in our development efforts with only two drug candidates, BLU-285 and BLU-554, in clinical development. All of our other drug candidates are currently in pre-clinical or earlier stages of development. If we are unable to advance our other drug candidates to clinical development, obtain regulatory approval for our lead drug candidates or other drug candidates and ultimately commercialize our lead drug candidates or other drug candidates, or experience significant delays in doing so, our business will be materially harmed.</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We are very early in our development efforts with only two drug candidates, BLU-285 and BLU-554, in clinical development. All of our other drug candidates are currently in pre-clinical or earlier stages of development. We have invested substantially all of our efforts and financial resources in the identification and pre-clinical development of kinase inhibitors, including the development of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Our ability to generate drug revenues, which we do not expect will occur for many years, if ever, will depend heavily on the successful development and eventual commercialization of our drug candidates, which may never occur. We currently generate no revenues from sales of any drugs, and we may never be able to develop or commercialize a marketable drug. Each of our drug candidates will require additional pre-clinical or clinical development, management of clinical, pre-clinical and manufacturing activities, regulatory approval in multiple jurisdictions, obtaining manufacturing supply, building of a commercial organization, substantial investment and significant marketing efforts before we generate any revenues from drug sales. In addition, our drug development programs contemplate the development of companion diagnostics, which</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4" w:lineRule="auto"/>
        <w:rPr>
          <w:sz w:val="20"/>
          <w:szCs w:val="20"/>
          <w:color w:val="auto"/>
        </w:rPr>
      </w:pPr>
      <w:r>
        <w:rPr>
          <w:rFonts w:ascii="Times New Roman" w:cs="Times New Roman" w:eastAsia="Times New Roman" w:hAnsi="Times New Roman"/>
          <w:sz w:val="18"/>
          <w:szCs w:val="18"/>
          <w:color w:val="auto"/>
        </w:rPr>
        <w:t>are assays or tests to identify an appropriate patient population. For example, we have entered into an agreement with Ventana to develop and commercialize a companion diagnostic for BLU-554 in order to identify HCC patients with aberrantly active FGFR4 signaling as indicated by FGF19 overexpression. Companion diagnostics are subject to regulation as medical devices and must themselves be approved for marketing by the FDA or certain other foreign regulatory agencies before we may commercialize our drug candidates. The success of our lead drug candidates and other drug candidates will depend on several factors, including the following:</w:t>
      </w:r>
    </w:p>
    <w:p>
      <w:pPr>
        <w:spacing w:after="0" w:line="162" w:lineRule="exact"/>
        <w:rPr>
          <w:sz w:val="20"/>
          <w:szCs w:val="20"/>
          <w:color w:val="auto"/>
        </w:rPr>
      </w:pPr>
    </w:p>
    <w:p>
      <w:pPr>
        <w:ind w:left="1020" w:right="420" w:hanging="53"/>
        <w:spacing w:after="0" w:line="237" w:lineRule="auto"/>
        <w:rPr>
          <w:sz w:val="20"/>
          <w:szCs w:val="20"/>
          <w:color w:val="auto"/>
        </w:rPr>
      </w:pPr>
      <w:r>
        <w:rPr>
          <w:rFonts w:ascii="Times New Roman" w:cs="Times New Roman" w:eastAsia="Times New Roman" w:hAnsi="Times New Roman"/>
          <w:sz w:val="18"/>
          <w:szCs w:val="18"/>
          <w:color w:val="auto"/>
        </w:rPr>
        <w:t>·successful enrollment in, and completion of, clinical trials, including our current Phase 1 clinical trials for BLU-285 and BLU-554;</w:t>
      </w:r>
    </w:p>
    <w:p>
      <w:pPr>
        <w:spacing w:after="0" w:line="158" w:lineRule="exact"/>
        <w:rPr>
          <w:sz w:val="20"/>
          <w:szCs w:val="20"/>
          <w:color w:val="auto"/>
        </w:rPr>
      </w:pPr>
    </w:p>
    <w:p>
      <w:pPr>
        <w:ind w:left="980" w:right="2640"/>
        <w:spacing w:after="0" w:line="480" w:lineRule="auto"/>
        <w:rPr>
          <w:sz w:val="20"/>
          <w:szCs w:val="20"/>
          <w:color w:val="auto"/>
        </w:rPr>
      </w:pPr>
      <w:r>
        <w:rPr>
          <w:rFonts w:ascii="Times New Roman" w:cs="Times New Roman" w:eastAsia="Times New Roman" w:hAnsi="Times New Roman"/>
          <w:sz w:val="17"/>
          <w:szCs w:val="17"/>
          <w:color w:val="auto"/>
        </w:rPr>
        <w:t>·successful completion of pre-clinical studies for our other drug candidates; · approval of INDs for future clinical trials for our other drug candidates;</w:t>
      </w:r>
    </w:p>
    <w:p>
      <w:pPr>
        <w:spacing w:after="0" w:line="1" w:lineRule="exact"/>
        <w:rPr>
          <w:sz w:val="20"/>
          <w:szCs w:val="20"/>
          <w:color w:val="auto"/>
        </w:rPr>
      </w:pPr>
    </w:p>
    <w:p>
      <w:pPr>
        <w:jc w:val="both"/>
        <w:ind w:left="1020" w:right="40" w:hanging="53"/>
        <w:spacing w:after="0" w:line="226" w:lineRule="auto"/>
        <w:rPr>
          <w:sz w:val="20"/>
          <w:szCs w:val="20"/>
          <w:color w:val="auto"/>
        </w:rPr>
      </w:pPr>
      <w:r>
        <w:rPr>
          <w:rFonts w:ascii="Times New Roman" w:cs="Times New Roman" w:eastAsia="Times New Roman" w:hAnsi="Times New Roman"/>
          <w:sz w:val="18"/>
          <w:szCs w:val="18"/>
          <w:color w:val="auto"/>
        </w:rPr>
        <w:t>·successful development of companion diagnostics for use with our drug candidates, including the development of a companion diagnostic for BLU-554 for identifying HCC patients with FGF19 signaling and BLU-285 for identifying GIST patients with the PDGFRα D842V mutation;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receipt of regulatory approvals from applicable regulatory authorities;</w:t>
      </w:r>
    </w:p>
    <w:p>
      <w:pPr>
        <w:spacing w:after="0" w:line="156" w:lineRule="exact"/>
        <w:rPr>
          <w:sz w:val="20"/>
          <w:szCs w:val="20"/>
          <w:color w:val="auto"/>
        </w:rPr>
      </w:pPr>
    </w:p>
    <w:p>
      <w:pPr>
        <w:ind w:left="1020" w:hanging="53"/>
        <w:spacing w:after="0" w:line="220" w:lineRule="exact"/>
        <w:rPr>
          <w:sz w:val="20"/>
          <w:szCs w:val="20"/>
          <w:color w:val="auto"/>
        </w:rPr>
      </w:pPr>
      <w:r>
        <w:rPr>
          <w:rFonts w:ascii="Times New Roman" w:cs="Times New Roman" w:eastAsia="Times New Roman" w:hAnsi="Times New Roman"/>
          <w:sz w:val="18"/>
          <w:szCs w:val="18"/>
          <w:color w:val="auto"/>
        </w:rPr>
        <w:t>·establishing commercial manufacturing capabilities or making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for clinical supply and commercial manufacturing;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·obtaining and maintaining patent and trade secret protection or regulatory exclusivity for our drug candidates;</w:t>
      </w:r>
    </w:p>
    <w:p>
      <w:pPr>
        <w:spacing w:after="0" w:line="185" w:lineRule="exact"/>
        <w:rPr>
          <w:sz w:val="20"/>
          <w:szCs w:val="20"/>
          <w:color w:val="auto"/>
        </w:rPr>
      </w:pP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·launching commercial sales of our drug candidates, if and when approved, whether alone or in collaboration with others;</w:t>
      </w:r>
    </w:p>
    <w:p>
      <w:pPr>
        <w:spacing w:after="0" w:line="158"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·acceptance of the drug candidates, if and when approved, by patients, the medical community and third party payors;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effectively competing with other therapies;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·obtaining and maintaining healthcare coverage and adequate reimbursement;</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enforcing and defending intellectual property rights and claims; and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·maintaining a continued acceptable safety profile of the drug candidates following approval.</w:t>
      </w:r>
    </w:p>
    <w:p>
      <w:pPr>
        <w:spacing w:after="0" w:line="185" w:lineRule="exact"/>
        <w:rPr>
          <w:sz w:val="20"/>
          <w:szCs w:val="20"/>
          <w:color w:val="auto"/>
        </w:rPr>
      </w:pPr>
    </w:p>
    <w:p>
      <w:pPr>
        <w:ind w:firstLine="648"/>
        <w:spacing w:after="0" w:line="226"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our drug candidates, which would materially harm our business. If we do not receive regulatory approvals for our drug candidates, we may not be able to continue our operations.</w:t>
      </w:r>
    </w:p>
    <w:p>
      <w:pPr>
        <w:spacing w:after="0" w:line="154" w:lineRule="exact"/>
        <w:rPr>
          <w:sz w:val="20"/>
          <w:szCs w:val="20"/>
          <w:color w:val="auto"/>
        </w:rPr>
      </w:pPr>
    </w:p>
    <w:p>
      <w:pPr>
        <w:ind w:right="140"/>
        <w:spacing w:after="0"/>
        <w:rPr>
          <w:sz w:val="20"/>
          <w:szCs w:val="20"/>
          <w:color w:val="auto"/>
        </w:rPr>
      </w:pPr>
      <w:r>
        <w:rPr>
          <w:rFonts w:ascii="Times New Roman" w:cs="Times New Roman" w:eastAsia="Times New Roman" w:hAnsi="Times New Roman"/>
          <w:sz w:val="18"/>
          <w:szCs w:val="18"/>
          <w:b w:val="1"/>
          <w:bCs w:val="1"/>
          <w:i w:val="1"/>
          <w:iCs w:val="1"/>
          <w:color w:val="auto"/>
        </w:rPr>
        <w:t>Our approach to the discovery and development of drug candidates that inhibit kinases is unproven, and we do not know whether we will be able to develop any drugs of commercial value.</w:t>
      </w:r>
    </w:p>
    <w:p>
      <w:pPr>
        <w:spacing w:after="0" w:line="157" w:lineRule="exact"/>
        <w:rPr>
          <w:sz w:val="20"/>
          <w:szCs w:val="20"/>
          <w:color w:val="auto"/>
        </w:rPr>
      </w:pPr>
    </w:p>
    <w:p>
      <w:pPr>
        <w:jc w:val="both"/>
        <w:ind w:right="80" w:firstLine="648"/>
        <w:spacing w:after="0" w:line="214" w:lineRule="auto"/>
        <w:rPr>
          <w:sz w:val="20"/>
          <w:szCs w:val="20"/>
          <w:color w:val="auto"/>
        </w:rPr>
      </w:pPr>
      <w:r>
        <w:rPr>
          <w:rFonts w:ascii="Times New Roman" w:cs="Times New Roman" w:eastAsia="Times New Roman" w:hAnsi="Times New Roman"/>
          <w:sz w:val="18"/>
          <w:szCs w:val="18"/>
          <w:color w:val="auto"/>
        </w:rPr>
        <w:t>Our scientific approach focuses on using our novel target discovery engine and our proprietary compound library to identify new kinase targets in disease indications. Our focus on using our novel target discovery engine to identify potential kinase targets in disease indications may not result in the discovery and development of commercially viable drugs for these diseases. The use of our proprietary compound library may not lead to the development of commercially viable drugs. Even if we are able to develop a drug candidate that successfully targets these kinases in pre-clinical studies, we may not succeed in demonstrating safety and efficacy of the drug candidate in clinical trials.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4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drug candidates.</w:t>
      </w:r>
    </w:p>
    <w:p>
      <w:pPr>
        <w:spacing w:after="0" w:line="159" w:lineRule="exact"/>
        <w:rPr>
          <w:sz w:val="20"/>
          <w:szCs w:val="20"/>
          <w:color w:val="auto"/>
        </w:rPr>
      </w:pPr>
    </w:p>
    <w:p>
      <w:pPr>
        <w:ind w:right="80" w:firstLine="648"/>
        <w:spacing w:after="0" w:line="209" w:lineRule="auto"/>
        <w:rPr>
          <w:sz w:val="20"/>
          <w:szCs w:val="20"/>
          <w:color w:val="auto"/>
        </w:rPr>
      </w:pPr>
      <w:r>
        <w:rPr>
          <w:rFonts w:ascii="Times New Roman" w:cs="Times New Roman" w:eastAsia="Times New Roman" w:hAnsi="Times New Roman"/>
          <w:sz w:val="18"/>
          <w:szCs w:val="18"/>
          <w:color w:val="auto"/>
        </w:rPr>
        <w:t>Each of our lead drug candidates, BLU-285 and BLU-554, is in clinical development, and all of our other drug candidates are in pre-clinical development. The risk of failure for our lead drug candidates and other drug candidates is high. It is impossible to predict when or if any of our drug candidates will prove effective and safe in humans or will receive regulatory approval. Before obtaining marketing approval from regulatory authorities for the sale of any drug candidate, we must complete pre-clinical studies and then conduct extensive clinical trials to demonstrate the safety and efficacy of our drug candidates in humans. Clinical testing is expensive, difficult to design and implement, can take many years to complete and is uncertain as to outcome. A failure of one or more clinical trials can occur at any stage of testing. The outcome of pre-clinical development testing and early clinical trials may not be predictive of the success of later clinical trials, and interim results of a clinical trial do not necessarily predict final results. Moreover, pre-clinical and clinical data are often susceptible to varying interpretations and analyses, and many companies that have believed their drug candidates performed satisfactorily in pre-clinical studies and clinical trials have nonetheless failed to obtain marketing approval of their product candidates. Our pre-clinical studies, current Phase 1 clinical trials and future clinical trials may not be successful.</w:t>
      </w:r>
    </w:p>
    <w:p>
      <w:pPr>
        <w:spacing w:after="0" w:line="146" w:lineRule="exact"/>
        <w:rPr>
          <w:sz w:val="20"/>
          <w:szCs w:val="20"/>
          <w:color w:val="auto"/>
        </w:rPr>
      </w:pPr>
    </w:p>
    <w:p>
      <w:pPr>
        <w:ind w:right="220" w:firstLine="648"/>
        <w:spacing w:after="0" w:line="226" w:lineRule="auto"/>
        <w:rPr>
          <w:sz w:val="20"/>
          <w:szCs w:val="20"/>
          <w:color w:val="auto"/>
        </w:rPr>
      </w:pPr>
      <w:r>
        <w:rPr>
          <w:rFonts w:ascii="Times New Roman" w:cs="Times New Roman" w:eastAsia="Times New Roman" w:hAnsi="Times New Roman"/>
          <w:sz w:val="18"/>
          <w:szCs w:val="18"/>
          <w:color w:val="auto"/>
        </w:rPr>
        <w:t>We have initiated dose-escalation Phase 1 clinical trials for BLU-285 for the treatment of unresectable, treatment-resistant GIST, BLU-554 for the treatment of advanced HCC and cholangiocarcinoma and BLU-285 for the treatment of advanced SM.</w:t>
      </w:r>
    </w:p>
    <w:p>
      <w:pPr>
        <w:spacing w:after="0" w:line="131" w:lineRule="exact"/>
        <w:rPr>
          <w:sz w:val="20"/>
          <w:szCs w:val="20"/>
          <w:color w:val="auto"/>
        </w:rPr>
      </w:pPr>
    </w:p>
    <w:p>
      <w:pPr>
        <w:ind w:right="60" w:firstLine="648"/>
        <w:spacing w:after="0" w:line="190" w:lineRule="exact"/>
        <w:rPr>
          <w:sz w:val="20"/>
          <w:szCs w:val="20"/>
          <w:color w:val="auto"/>
        </w:rPr>
      </w:pPr>
      <w:r>
        <w:rPr>
          <w:rFonts w:ascii="Times New Roman" w:cs="Times New Roman" w:eastAsia="Times New Roman" w:hAnsi="Times New Roman"/>
          <w:sz w:val="18"/>
          <w:szCs w:val="18"/>
          <w:color w:val="auto"/>
        </w:rPr>
        <w:t>Successful completion of our clinical trials is a prerequisite to submitting a new drug application, or NDA, to the FDA and a Marketing Authorization Application, or MAA, in the European Union for each drug candidate and, consequently, the ultimate approval and commercial marketing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and our other drug candidates. We do not know whether any of our clinical trials for our lead drug candidates will be completed on schedule, if at all.</w:t>
      </w:r>
    </w:p>
    <w:p>
      <w:pPr>
        <w:spacing w:after="0" w:line="146"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may experience delays in completing our pre-clinical studies and initiating or completing clinical trials, and we may experience numerous unforeseen events during, or as a result of, any future clinical trials that we could conduct that could delay or prevent our ability to receive marketing approval or commercialize our drug candidates, including:</w:t>
      </w:r>
    </w:p>
    <w:p>
      <w:pPr>
        <w:spacing w:after="0" w:line="145" w:lineRule="exact"/>
        <w:rPr>
          <w:sz w:val="20"/>
          <w:szCs w:val="20"/>
          <w:color w:val="auto"/>
        </w:rPr>
      </w:pPr>
    </w:p>
    <w:p>
      <w:pPr>
        <w:ind w:left="1020" w:right="880" w:hanging="53"/>
        <w:spacing w:after="0" w:line="237" w:lineRule="auto"/>
        <w:rPr>
          <w:sz w:val="20"/>
          <w:szCs w:val="20"/>
          <w:color w:val="auto"/>
        </w:rPr>
      </w:pPr>
      <w:r>
        <w:rPr>
          <w:rFonts w:ascii="Times New Roman" w:cs="Times New Roman" w:eastAsia="Times New Roman" w:hAnsi="Times New Roman"/>
          <w:sz w:val="18"/>
          <w:szCs w:val="18"/>
          <w:color w:val="auto"/>
        </w:rPr>
        <w:t>·regulators or institutional review boards, or IRBs, or ethics committees may not authorize us or our investigators to commence a clinical trial or conduct a clinical trial at a prospective trial site;</w:t>
      </w:r>
    </w:p>
    <w:p>
      <w:pPr>
        <w:spacing w:after="0" w:line="145" w:lineRule="exact"/>
        <w:rPr>
          <w:sz w:val="20"/>
          <w:szCs w:val="20"/>
          <w:color w:val="auto"/>
        </w:rPr>
      </w:pPr>
    </w:p>
    <w:p>
      <w:pPr>
        <w:ind w:left="1020" w:right="120" w:hanging="53"/>
        <w:spacing w:after="0" w:line="226" w:lineRule="auto"/>
        <w:rPr>
          <w:sz w:val="20"/>
          <w:szCs w:val="20"/>
          <w:color w:val="auto"/>
        </w:rPr>
      </w:pPr>
      <w:r>
        <w:rPr>
          <w:rFonts w:ascii="Times New Roman" w:cs="Times New Roman" w:eastAsia="Times New Roman" w:hAnsi="Times New Roman"/>
          <w:sz w:val="18"/>
          <w:szCs w:val="18"/>
          <w:color w:val="auto"/>
        </w:rPr>
        <w:t>·we may experience delays in reaching, or fail to reach, agreement on acceptable terms with prospective trial sites and prospective contract research organizations, or CROs, the terms of which can be subject to extensive negotiation and may vary significantly among different CROs and trial sites;</w:t>
      </w:r>
    </w:p>
    <w:p>
      <w:pPr>
        <w:spacing w:after="0" w:line="145" w:lineRule="exact"/>
        <w:rPr>
          <w:sz w:val="20"/>
          <w:szCs w:val="20"/>
          <w:color w:val="auto"/>
        </w:rPr>
      </w:pPr>
    </w:p>
    <w:p>
      <w:pPr>
        <w:jc w:val="both"/>
        <w:ind w:left="1020" w:right="420" w:hanging="53"/>
        <w:spacing w:after="0" w:line="226" w:lineRule="auto"/>
        <w:rPr>
          <w:sz w:val="20"/>
          <w:szCs w:val="20"/>
          <w:color w:val="auto"/>
        </w:rPr>
      </w:pPr>
      <w:r>
        <w:rPr>
          <w:rFonts w:ascii="Times New Roman" w:cs="Times New Roman" w:eastAsia="Times New Roman" w:hAnsi="Times New Roman"/>
          <w:sz w:val="18"/>
          <w:szCs w:val="18"/>
          <w:color w:val="auto"/>
        </w:rPr>
        <w:t>·clinical trials of our drug candidates may produce negative or inconclusive results, and we may decide, or regulators may require us, to conduct additional pre-clinical studies or clinical trials or we may decide to abandon drug development programs;</w:t>
      </w:r>
    </w:p>
    <w:p>
      <w:pPr>
        <w:spacing w:after="0" w:line="145" w:lineRule="exact"/>
        <w:rPr>
          <w:sz w:val="20"/>
          <w:szCs w:val="20"/>
          <w:color w:val="auto"/>
        </w:rPr>
      </w:pPr>
    </w:p>
    <w:p>
      <w:pPr>
        <w:jc w:val="both"/>
        <w:ind w:left="1020" w:right="440" w:hanging="53"/>
        <w:spacing w:after="0" w:line="202" w:lineRule="exact"/>
        <w:rPr>
          <w:sz w:val="20"/>
          <w:szCs w:val="20"/>
          <w:color w:val="auto"/>
        </w:rPr>
      </w:pPr>
      <w:r>
        <w:rPr>
          <w:rFonts w:ascii="Times New Roman" w:cs="Times New Roman" w:eastAsia="Times New Roman" w:hAnsi="Times New Roman"/>
          <w:sz w:val="18"/>
          <w:szCs w:val="18"/>
          <w:color w:val="auto"/>
        </w:rPr>
        <w:t>·the number of patients required for clinical trials of our drug candidates may be larger than we anticipate, enrollment in these clinical trials may be slower than we anticipate or participants may drop out of these clinical trials or fail to return for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treatment follow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at a higher rate than we anticipate;</w:t>
      </w:r>
    </w:p>
    <w:p>
      <w:pPr>
        <w:spacing w:after="0" w:line="124" w:lineRule="exact"/>
        <w:rPr>
          <w:sz w:val="20"/>
          <w:szCs w:val="20"/>
          <w:color w:val="auto"/>
        </w:rPr>
      </w:pPr>
    </w:p>
    <w:p>
      <w:pPr>
        <w:ind w:left="1020" w:right="140" w:hanging="53"/>
        <w:spacing w:after="0" w:line="226" w:lineRule="auto"/>
        <w:rPr>
          <w:sz w:val="20"/>
          <w:szCs w:val="20"/>
          <w:color w:val="auto"/>
        </w:rPr>
      </w:pPr>
      <w:r>
        <w:rPr>
          <w:rFonts w:ascii="Times New Roman" w:cs="Times New Roman" w:eastAsia="Times New Roman" w:hAnsi="Times New Roman"/>
          <w:sz w:val="18"/>
          <w:szCs w:val="18"/>
          <w:color w:val="auto"/>
        </w:rPr>
        <w:t>·our third party contractors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45" w:lineRule="exact"/>
        <w:rPr>
          <w:sz w:val="20"/>
          <w:szCs w:val="20"/>
          <w:color w:val="auto"/>
        </w:rPr>
      </w:pPr>
    </w:p>
    <w:p>
      <w:pPr>
        <w:ind w:left="1020" w:hanging="53"/>
        <w:spacing w:after="0" w:line="226" w:lineRule="auto"/>
        <w:rPr>
          <w:sz w:val="20"/>
          <w:szCs w:val="20"/>
          <w:color w:val="auto"/>
        </w:rPr>
      </w:pPr>
      <w:r>
        <w:rPr>
          <w:rFonts w:ascii="Times New Roman" w:cs="Times New Roman" w:eastAsia="Times New Roman" w:hAnsi="Times New Roman"/>
          <w:sz w:val="18"/>
          <w:szCs w:val="18"/>
          <w:color w:val="auto"/>
        </w:rPr>
        <w:t>·we may elect to, or regulators or IRBs or ethics committees may require that we or our investigators suspend or terminate clinical research for various reasons, including noncompliance with regulatory requirements or a finding that the participants are being exposed to unacceptable health risks;</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cost of clinical trials of our drug candidates may be greater than we anticipate;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179" w:hanging="53"/>
        <w:spacing w:after="0" w:line="237" w:lineRule="auto"/>
        <w:rPr>
          <w:sz w:val="20"/>
          <w:szCs w:val="20"/>
          <w:color w:val="auto"/>
        </w:rPr>
      </w:pPr>
      <w:r>
        <w:rPr>
          <w:rFonts w:ascii="Times New Roman" w:cs="Times New Roman" w:eastAsia="Times New Roman" w:hAnsi="Times New Roman"/>
          <w:sz w:val="18"/>
          <w:szCs w:val="18"/>
          <w:color w:val="auto"/>
        </w:rPr>
        <w:t>·the supply or quality of our drug candidates or other materials necessary to conduct clinical trials of our drug candidates may be insufficient or inadequate;</w:t>
      </w:r>
    </w:p>
    <w:p>
      <w:pPr>
        <w:spacing w:after="0" w:line="145" w:lineRule="exact"/>
        <w:rPr>
          <w:sz w:val="20"/>
          <w:szCs w:val="20"/>
          <w:color w:val="auto"/>
        </w:rPr>
      </w:pPr>
    </w:p>
    <w:p>
      <w:pPr>
        <w:jc w:val="both"/>
        <w:ind w:left="1020" w:right="219" w:hanging="53"/>
        <w:spacing w:after="0" w:line="220" w:lineRule="auto"/>
        <w:rPr>
          <w:sz w:val="20"/>
          <w:szCs w:val="20"/>
          <w:color w:val="auto"/>
        </w:rPr>
      </w:pPr>
      <w:r>
        <w:rPr>
          <w:rFonts w:ascii="Times New Roman" w:cs="Times New Roman" w:eastAsia="Times New Roman" w:hAnsi="Times New Roman"/>
          <w:sz w:val="18"/>
          <w:szCs w:val="18"/>
          <w:color w:val="auto"/>
        </w:rPr>
        <w:t>·our drug candidates may have undesirable side effects or other unexpected characteristics, causing us or our investigators, regulators or IRBs or ethics committees to suspend or terminate the trials, or reports may arise from pre-clinical or clinical testing of other cancer therapies that raise safety or efficacy concerns about our drug candidates; and</w:t>
      </w:r>
    </w:p>
    <w:p>
      <w:pPr>
        <w:spacing w:after="0" w:line="146" w:lineRule="exact"/>
        <w:rPr>
          <w:sz w:val="20"/>
          <w:szCs w:val="20"/>
          <w:color w:val="auto"/>
        </w:rPr>
      </w:pPr>
    </w:p>
    <w:p>
      <w:pPr>
        <w:ind w:left="1020" w:right="79" w:hanging="53"/>
        <w:spacing w:after="0" w:line="237" w:lineRule="auto"/>
        <w:rPr>
          <w:sz w:val="20"/>
          <w:szCs w:val="20"/>
          <w:color w:val="auto"/>
        </w:rPr>
      </w:pPr>
      <w:r>
        <w:rPr>
          <w:rFonts w:ascii="Times New Roman" w:cs="Times New Roman" w:eastAsia="Times New Roman" w:hAnsi="Times New Roman"/>
          <w:sz w:val="18"/>
          <w:szCs w:val="18"/>
          <w:color w:val="auto"/>
        </w:rPr>
        <w:t>·the FDA or other regulatory authorities may require us to submit additional data or impose other requirements before permitting us to initiate a clinical trial.</w:t>
      </w:r>
    </w:p>
    <w:p>
      <w:pPr>
        <w:spacing w:after="0" w:line="145" w:lineRule="exact"/>
        <w:rPr>
          <w:sz w:val="20"/>
          <w:szCs w:val="20"/>
          <w:color w:val="auto"/>
        </w:rPr>
      </w:pPr>
    </w:p>
    <w:p>
      <w:pPr>
        <w:ind w:right="39" w:firstLine="648"/>
        <w:spacing w:after="0" w:line="209" w:lineRule="auto"/>
        <w:rPr>
          <w:sz w:val="20"/>
          <w:szCs w:val="20"/>
          <w:color w:val="auto"/>
        </w:rPr>
      </w:pPr>
      <w:r>
        <w:rPr>
          <w:rFonts w:ascii="Times New Roman" w:cs="Times New Roman" w:eastAsia="Times New Roman" w:hAnsi="Times New Roman"/>
          <w:sz w:val="18"/>
          <w:szCs w:val="18"/>
          <w:color w:val="auto"/>
        </w:rPr>
        <w:t>We could encounter delays if a clinical trial is suspended or terminated by us, by the IRBs of the institutions in which such trials are being conducted, by the Data Safety Monitoring Board, or DSMB, for such trial or by the FDA or other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Many of the factors that cause, or lead to, a delay in the commencement or completion of clinical trials may also ultimately lead to the denial of regulatory approval of our drug candidates. Further, the FDA may disagree with our clinical trial design and our interpretation of data from clinical trials, or may change the requirements for approval even after it has reviewed and commented on the design for our clinical trials.</w:t>
      </w:r>
    </w:p>
    <w:p>
      <w:pPr>
        <w:spacing w:after="0" w:line="151" w:lineRule="exact"/>
        <w:rPr>
          <w:sz w:val="20"/>
          <w:szCs w:val="20"/>
          <w:color w:val="auto"/>
        </w:rPr>
      </w:pPr>
    </w:p>
    <w:p>
      <w:pPr>
        <w:jc w:val="both"/>
        <w:ind w:right="159" w:firstLine="648"/>
        <w:spacing w:after="0" w:line="226" w:lineRule="auto"/>
        <w:rPr>
          <w:sz w:val="20"/>
          <w:szCs w:val="20"/>
          <w:color w:val="auto"/>
        </w:rPr>
      </w:pPr>
      <w:r>
        <w:rPr>
          <w:rFonts w:ascii="Times New Roman" w:cs="Times New Roman" w:eastAsia="Times New Roman" w:hAnsi="Times New Roman"/>
          <w:sz w:val="18"/>
          <w:szCs w:val="18"/>
          <w:color w:val="auto"/>
        </w:rPr>
        <w:t>If we are required to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31" w:lineRule="exact"/>
        <w:rPr>
          <w:sz w:val="20"/>
          <w:szCs w:val="20"/>
          <w:color w:val="auto"/>
        </w:rPr>
      </w:pPr>
    </w:p>
    <w:p>
      <w:pPr>
        <w:ind w:left="1060" w:hanging="85"/>
        <w:spacing w:after="0"/>
        <w:tabs>
          <w:tab w:leader="none" w:pos="10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drug candidates;</w:t>
      </w:r>
    </w:p>
    <w:p>
      <w:pPr>
        <w:spacing w:after="0" w:line="171" w:lineRule="exact"/>
        <w:rPr>
          <w:rFonts w:ascii="Times New Roman" w:cs="Times New Roman" w:eastAsia="Times New Roman" w:hAnsi="Times New Roman"/>
          <w:sz w:val="18"/>
          <w:szCs w:val="18"/>
          <w:color w:val="auto"/>
        </w:rPr>
      </w:pPr>
    </w:p>
    <w:p>
      <w:pPr>
        <w:ind w:left="1140" w:hanging="165"/>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·obtain approval for indications or patient populations that are not as broad as intended or desired;</w:t>
      </w:r>
    </w:p>
    <w:p>
      <w:pPr>
        <w:spacing w:after="0" w:line="143"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 be subject to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requirements; or</w:t>
      </w:r>
    </w:p>
    <w:p>
      <w:pPr>
        <w:spacing w:after="0" w:line="20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·have the drug removed from the market after obtaining marketing approval.</w:t>
      </w:r>
    </w:p>
    <w:p>
      <w:pPr>
        <w:spacing w:after="0" w:line="171" w:lineRule="exact"/>
        <w:rPr>
          <w:sz w:val="20"/>
          <w:szCs w:val="20"/>
          <w:color w:val="auto"/>
        </w:rPr>
      </w:pPr>
    </w:p>
    <w:p>
      <w:pPr>
        <w:ind w:right="59" w:firstLine="648"/>
        <w:spacing w:after="0" w:line="213" w:lineRule="auto"/>
        <w:rPr>
          <w:sz w:val="20"/>
          <w:szCs w:val="20"/>
          <w:color w:val="auto"/>
        </w:rPr>
      </w:pPr>
      <w:r>
        <w:rPr>
          <w:rFonts w:ascii="Times New Roman" w:cs="Times New Roman" w:eastAsia="Times New Roman" w:hAnsi="Times New Roman"/>
          <w:sz w:val="18"/>
          <w:szCs w:val="18"/>
          <w:color w:val="auto"/>
        </w:rPr>
        <w:t>Our drug development costs will also increase if we experience delays in testing or regulatory approvals. We do not know whether any of our clinical trials will begin as planned, will need to be restructured or will be completed on schedule, or at all. Significant pre-clinical study or clinical trial delays also could shorten any periods during which we may have the exclusive right to commercialize our drug candidates or allow our competitors to bring products to market before we do and impair our ability to successfully commercialize our drug candidates and may harm our business and results of operations. Any delays in our pre-clinical or future clinical development programs may harm our business, financial condition and prospects significantly.</w:t>
      </w:r>
    </w:p>
    <w:p>
      <w:pPr>
        <w:spacing w:after="0" w:line="142" w:lineRule="exact"/>
        <w:rPr>
          <w:sz w:val="20"/>
          <w:szCs w:val="20"/>
          <w:color w:val="auto"/>
        </w:rPr>
      </w:pPr>
    </w:p>
    <w:p>
      <w:pPr>
        <w:ind w:right="479"/>
        <w:spacing w:after="0"/>
        <w:rPr>
          <w:sz w:val="20"/>
          <w:szCs w:val="20"/>
          <w:color w:val="auto"/>
        </w:rPr>
      </w:pPr>
      <w:r>
        <w:rPr>
          <w:rFonts w:ascii="Times New Roman" w:cs="Times New Roman" w:eastAsia="Times New Roman" w:hAnsi="Times New Roman"/>
          <w:sz w:val="18"/>
          <w:szCs w:val="18"/>
          <w:b w:val="1"/>
          <w:bCs w:val="1"/>
          <w:i w:val="1"/>
          <w:iCs w:val="1"/>
          <w:color w:val="auto"/>
        </w:rPr>
        <w:t>We may choose not to develop a potential product candidate, or we may suspend or terminate one or more discovery programs or pre-clinical drug candidates or programs.</w:t>
      </w:r>
    </w:p>
    <w:p>
      <w:pPr>
        <w:spacing w:after="0" w:line="157" w:lineRule="exact"/>
        <w:rPr>
          <w:sz w:val="20"/>
          <w:szCs w:val="20"/>
          <w:color w:val="auto"/>
        </w:rPr>
      </w:pPr>
    </w:p>
    <w:p>
      <w:pPr>
        <w:ind w:right="59" w:firstLine="648"/>
        <w:spacing w:after="0" w:line="213" w:lineRule="auto"/>
        <w:rPr>
          <w:sz w:val="20"/>
          <w:szCs w:val="20"/>
          <w:color w:val="auto"/>
        </w:rPr>
      </w:pPr>
      <w:r>
        <w:rPr>
          <w:rFonts w:ascii="Times New Roman" w:cs="Times New Roman" w:eastAsia="Times New Roman" w:hAnsi="Times New Roman"/>
          <w:sz w:val="18"/>
          <w:szCs w:val="18"/>
          <w:color w:val="auto"/>
        </w:rPr>
        <w:t>At any time and for any reason, we may determine that one or more of our discovery programs or pre-clinical drug candidates or programs does not have sufficient potential to warrant the allocation of resources toward such program or drug candidate. Accordingly, we may choose not to develop a potential drug candidate or elect to suspend or terminate one or more of our discovery programs or pre-clinical drug candidates or programs. If we suspend or terminate a program or drug candidate in which we have invested significant resources, we will have expended resources on a program that will not provide a full return on our investment and may have missed the opportunity to have allocated those resources to potentially more productive uses, including existing or future programs or drug candidates.</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drug candidates if we are unable to locate and enroll a sufficient number of eligible patients to participate in these trials as required by the FDA or similar regulatory authorities outside the United States. In particular, because we are focused on diseases in genomically defined patient populations, our ability to enroll eligible patients may be limited or may result in slower enrollment than we anticipate. In addition, some of our competitors have ongoing clinical trials for drug candidates that treat the same indications as our drug candidates, and patients who would otherwise be eligible for our clinical trials may instead enroll in clinical trials of our competitors’ drug candidates.</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Patient enrollment may be affected by other factors including:</w:t>
      </w:r>
    </w:p>
    <w:p>
      <w:pPr>
        <w:spacing w:after="0" w:line="185" w:lineRule="exact"/>
        <w:rPr>
          <w:sz w:val="20"/>
          <w:szCs w:val="20"/>
          <w:color w:val="auto"/>
        </w:rPr>
      </w:pPr>
    </w:p>
    <w:p>
      <w:pPr>
        <w:ind w:left="1100" w:hanging="125"/>
        <w:spacing w:after="0"/>
        <w:tabs>
          <w:tab w:leader="none" w:pos="11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of the target patient population;</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eligibility criteria for the clinical trial;</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an appropriate genomic screening test;</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drug candidate under study;</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facilitate timely enrollment in clinical trials;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84" w:lineRule="exact"/>
        <w:rPr>
          <w:rFonts w:ascii="Times New Roman" w:cs="Times New Roman" w:eastAsia="Times New Roman" w:hAnsi="Times New Roman"/>
          <w:sz w:val="18"/>
          <w:szCs w:val="18"/>
          <w:color w:val="auto"/>
        </w:rPr>
      </w:pPr>
    </w:p>
    <w:p>
      <w:pPr>
        <w:ind w:left="980" w:right="2640" w:hanging="5"/>
        <w:spacing w:after="0" w:line="478" w:lineRule="auto"/>
        <w:tabs>
          <w:tab w:leader="none" w:pos="1061"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monitor patients adequately during and after treatment; and ·the proximity and availability of clinical trial sites for prospective patients.</w:t>
      </w:r>
    </w:p>
    <w:p>
      <w:pPr>
        <w:spacing w:after="0" w:line="1" w:lineRule="exact"/>
        <w:rPr>
          <w:sz w:val="20"/>
          <w:szCs w:val="20"/>
          <w:color w:val="auto"/>
        </w:rPr>
      </w:pPr>
    </w:p>
    <w:p>
      <w:pPr>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Because the target patient populations for our drug candidates are relatively small, it may be difficult to successfully identify patients, which may lead to delays in enrollment for our trials. If the market opportunities for our drug candidates are smaller than we believe they are, our product revenues may be adversely affected and our business may suffer.</w:t>
      </w:r>
    </w:p>
    <w:p>
      <w:pPr>
        <w:spacing w:after="0" w:line="159" w:lineRule="exact"/>
        <w:rPr>
          <w:sz w:val="20"/>
          <w:szCs w:val="20"/>
          <w:color w:val="auto"/>
        </w:rPr>
      </w:pPr>
    </w:p>
    <w:p>
      <w:pPr>
        <w:ind w:right="20" w:firstLine="648"/>
        <w:spacing w:after="0" w:line="179" w:lineRule="exact"/>
        <w:rPr>
          <w:sz w:val="20"/>
          <w:szCs w:val="20"/>
          <w:color w:val="auto"/>
        </w:rPr>
      </w:pPr>
      <w:r>
        <w:rPr>
          <w:rFonts w:ascii="Times New Roman" w:cs="Times New Roman" w:eastAsia="Times New Roman" w:hAnsi="Times New Roman"/>
          <w:sz w:val="18"/>
          <w:szCs w:val="18"/>
          <w:color w:val="auto"/>
        </w:rPr>
        <w:t>We focus our research and product development on treatments for cancer and rare genetic diseases, including genomically defined cancer and diseases driven by abnormal kinase activation. Because the target patient populations for our drug candidates are relatively small, including our lead drug candidates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it may be difficult to successfully identify patients. We have entered into an agreement with Ventana to develop and commercialize a companion diagnostic for BLU-554 in order to identify HCC patients with aberrantly active FGFR4 signaling as indicated by FGF19 overexpression. We may engage third parties to develop companion diagnostics for use in some of our other current or future clinical trials. However, Ventana or other third parties may not be successful in developing such companion diagnostics, furthering the difficulty in identifying patients for our clinical trials. Our inability to enroll a sufficient number of patients in our clinical trials would result in significant delays and could require us to abandon one or more clinical trials altogether. Enrollment delays in our clinical trials may result in increased development costs for our drug candidates, which would cause the value of our company to decline and limit our ability to obtain additional financing. If we are unable to include patients with the driver of the disease, including the applicable genomic alteration for diseases in genomically defined patient populations, this could compromise our ability to seek participation in FDA’s expedited review and approval programs, including breakthrough therapy designation and fast track designation, or otherwise to seek to accelerate clinical development and regulatory timelines. In addition, our projections of both the number of people who have these diseases, as well as the subset of people with these diseases who have the potential to benefit from treatment with our drug candidates, are based on estimates. These estimates may prove to be incorrect, and new studies may reduce the estimated incidence or prevalence of these diseases. The number of patients in the United States, European Union and elsewhere may turn out to be lower than expected, may not be otherwise amenable to</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20"/>
        <w:spacing w:after="0" w:line="237" w:lineRule="auto"/>
        <w:rPr>
          <w:sz w:val="20"/>
          <w:szCs w:val="20"/>
          <w:color w:val="auto"/>
        </w:rPr>
      </w:pPr>
      <w:r>
        <w:rPr>
          <w:rFonts w:ascii="Times New Roman" w:cs="Times New Roman" w:eastAsia="Times New Roman" w:hAnsi="Times New Roman"/>
          <w:sz w:val="18"/>
          <w:szCs w:val="18"/>
          <w:color w:val="auto"/>
        </w:rPr>
        <w:t>treatment with our products or patients may become increasingly difficult to identify and access, all of which would adversely affect our business, prospects and ability to achieve or sustain profitability.</w:t>
      </w:r>
    </w:p>
    <w:p>
      <w:pPr>
        <w:spacing w:after="0" w:line="154" w:lineRule="exact"/>
        <w:rPr>
          <w:sz w:val="20"/>
          <w:szCs w:val="20"/>
          <w:color w:val="auto"/>
        </w:rPr>
      </w:pPr>
    </w:p>
    <w:p>
      <w:pPr>
        <w:ind w:right="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are not able to obtain, or if there are delays in obtaining, required regulatory approvals both for our drug candidates and for the related companion diagnostics, we will not be able to commercialize, or will be delayed in commercializing, our drug candidates, and our ability to generate revenue will be materially impaired.</w:t>
      </w:r>
    </w:p>
    <w:p>
      <w:pPr>
        <w:spacing w:after="0" w:line="159" w:lineRule="exact"/>
        <w:rPr>
          <w:sz w:val="20"/>
          <w:szCs w:val="20"/>
          <w:color w:val="auto"/>
        </w:rPr>
      </w:pPr>
    </w:p>
    <w:p>
      <w:pPr>
        <w:ind w:firstLine="648"/>
        <w:spacing w:after="0" w:line="207" w:lineRule="auto"/>
        <w:rPr>
          <w:sz w:val="20"/>
          <w:szCs w:val="20"/>
          <w:color w:val="auto"/>
        </w:rPr>
      </w:pPr>
      <w:r>
        <w:rPr>
          <w:rFonts w:ascii="Times New Roman" w:cs="Times New Roman" w:eastAsia="Times New Roman" w:hAnsi="Times New Roman"/>
          <w:sz w:val="18"/>
          <w:szCs w:val="18"/>
          <w:color w:val="auto"/>
        </w:rPr>
        <w:t>Our drug candidates and the related companion diagnostics, including the companion diagnostic that we are developing with Ventana for BLU-554 in order to identify HCC patients with aberrantly active FGFR4 signaling as indicated by FGF19 overexpression, and the activities associated with their development and commercialization, including their design, testing, manufacture, safety, efficacy, recordkeeping, labeling, storage, approval, advertising, promotion, sale, distribution, import and export are subject to comprehensive regulation by the FDA and other regulatory agencies in the United States and by comparable authorities in other countries. Before we can commercialize any of our drug candidates, we must obtain marketing approval. We may also need marketing approval for the related companion diagnostics, including the companion diagnostic for BLU-554 that we are developing with Ventana. We have not received approval to market any of our drug candidates or related companion diagnostics from regulatory authorities in any jurisdiction and it is possible that none of our drug candidates or any drug candidates or related companion diagnostics we may seek to develop in the future will ever obtain regulatory approval. We have only limited experience in filing and supporting the applications necessary to gain regulatory approvals and expect to rely on third-party CROs and/or regulatory consultants to assist us in this process. Securing regulatory approval requires the submission of extensive pre-clinical and clinical data and supporting information to the various regulatory authorities for each therapeutic indication to establish the drug candidate’s safety and efficacy. Securing regulatory approval also requires the submission of information about the drug manufacturing process to, and inspection of manufacturing facilities by, the relevant regulatory authority. Our drug candidates may not be effective, may be only moderately effective or may prove to have undesirable or unintended side effects, toxicities or other characteristics that may preclude our obtaining marketing approval or prevent or limit commercial use.</w:t>
      </w:r>
    </w:p>
    <w:p>
      <w:pPr>
        <w:spacing w:after="0" w:line="163"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The process of obtaining regulatory approvals, both in the United States and abroad, is expensive, may take many years if additional clinical trials are required, if approval is obtained at all, and can vary substantially based upon a variety of factors, including the type, complexity and novelty of the drug candidates involved. Changes in marketing approval policies during the development period, changes in or the enactment of additional statutes or regulations, or changes in regulatory review for each submitted NDA for a drug candidate,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or PMA, application for a companion diagnostic or equivalent application types, may cause delays in the approval or rejection of an application. The FDA and comparable authorities in other countries have substantial discretion in the approval process and may refuse to accept any application or may decide that our data are insufficient for approval and require additional pre-clinical, clinical or other studies. Our drug candidates could be delayed in receiving, or fail to receive, regulatory approval for many reasons, including the following:</w:t>
      </w:r>
    </w:p>
    <w:p>
      <w:pPr>
        <w:spacing w:after="0" w:line="158" w:lineRule="exact"/>
        <w:rPr>
          <w:sz w:val="20"/>
          <w:szCs w:val="20"/>
          <w:color w:val="auto"/>
        </w:rPr>
      </w:pPr>
    </w:p>
    <w:p>
      <w:pPr>
        <w:ind w:left="1020" w:right="180" w:hanging="53"/>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the design or implementation of our clinical trials;</w:t>
      </w:r>
    </w:p>
    <w:p>
      <w:pPr>
        <w:spacing w:after="0" w:line="158" w:lineRule="exact"/>
        <w:rPr>
          <w:sz w:val="20"/>
          <w:szCs w:val="20"/>
          <w:color w:val="auto"/>
        </w:rPr>
      </w:pPr>
    </w:p>
    <w:p>
      <w:pPr>
        <w:ind w:left="1020" w:right="200" w:hanging="53"/>
        <w:spacing w:after="0" w:line="226" w:lineRule="auto"/>
        <w:rPr>
          <w:sz w:val="20"/>
          <w:szCs w:val="20"/>
          <w:color w:val="auto"/>
        </w:rPr>
      </w:pPr>
      <w:r>
        <w:rPr>
          <w:rFonts w:ascii="Times New Roman" w:cs="Times New Roman" w:eastAsia="Times New Roman" w:hAnsi="Times New Roman"/>
          <w:sz w:val="18"/>
          <w:szCs w:val="18"/>
          <w:color w:val="auto"/>
        </w:rPr>
        <w:t>·we may be unable to demonstrate to the satisfaction of the FDA or comparable foreign regulatory authorities that a drug candidate is safe and effective for its proposed indication or a related companion diagnostic is suitable to identify appropriate patient populations;</w:t>
      </w:r>
    </w:p>
    <w:p>
      <w:pPr>
        <w:spacing w:after="0" w:line="158" w:lineRule="exact"/>
        <w:rPr>
          <w:sz w:val="20"/>
          <w:szCs w:val="20"/>
          <w:color w:val="auto"/>
        </w:rPr>
      </w:pPr>
    </w:p>
    <w:p>
      <w:pPr>
        <w:ind w:left="1020" w:right="860" w:hanging="53"/>
        <w:spacing w:after="0" w:line="237" w:lineRule="auto"/>
        <w:rPr>
          <w:sz w:val="20"/>
          <w:szCs w:val="20"/>
          <w:color w:val="auto"/>
        </w:rPr>
      </w:pPr>
      <w:r>
        <w:rPr>
          <w:rFonts w:ascii="Times New Roman" w:cs="Times New Roman" w:eastAsia="Times New Roman" w:hAnsi="Times New Roman"/>
          <w:sz w:val="18"/>
          <w:szCs w:val="18"/>
          <w:color w:val="auto"/>
        </w:rPr>
        <w:t>·the results of clinical trials may not meet the level of statistical significance required by the FDA or comparable foreign regulatory authorities for approval;</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may be unable to demonstrate that a drug candidate’s clinical and other benefits outweigh its safety risks;</w:t>
      </w:r>
    </w:p>
    <w:p>
      <w:pPr>
        <w:spacing w:after="0" w:line="185" w:lineRule="exact"/>
        <w:rPr>
          <w:sz w:val="20"/>
          <w:szCs w:val="20"/>
          <w:color w:val="auto"/>
        </w:rPr>
      </w:pP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·the FDA or comparable foreign regulatory authorities may disagree with our interpretation of data from pre-clinical studies or clinical trials;</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80" w:hanging="53"/>
        <w:spacing w:after="0" w:line="237" w:lineRule="auto"/>
        <w:rPr>
          <w:sz w:val="20"/>
          <w:szCs w:val="20"/>
          <w:color w:val="auto"/>
        </w:rPr>
      </w:pPr>
      <w:r>
        <w:rPr>
          <w:rFonts w:ascii="Times New Roman" w:cs="Times New Roman" w:eastAsia="Times New Roman" w:hAnsi="Times New Roman"/>
          <w:sz w:val="18"/>
          <w:szCs w:val="18"/>
          <w:color w:val="auto"/>
        </w:rPr>
        <w:t>·the data collected from clinical trials of our drug candidates may not be sufficient to support the submission of an NDA or other submission or to obtain regulatory approval in the United States or elsewhere;</w:t>
      </w:r>
    </w:p>
    <w:p>
      <w:pPr>
        <w:spacing w:after="0" w:line="158" w:lineRule="exact"/>
        <w:rPr>
          <w:sz w:val="20"/>
          <w:szCs w:val="20"/>
          <w:color w:val="auto"/>
        </w:rPr>
      </w:pPr>
    </w:p>
    <w:p>
      <w:pPr>
        <w:ind w:left="1020" w:right="440" w:hanging="53"/>
        <w:spacing w:after="0" w:line="215" w:lineRule="exact"/>
        <w:rPr>
          <w:sz w:val="20"/>
          <w:szCs w:val="20"/>
          <w:color w:val="auto"/>
        </w:rPr>
      </w:pPr>
      <w:r>
        <w:rPr>
          <w:rFonts w:ascii="Times New Roman" w:cs="Times New Roman" w:eastAsia="Times New Roman" w:hAnsi="Times New Roman"/>
          <w:sz w:val="17"/>
          <w:szCs w:val="17"/>
          <w:color w:val="auto"/>
        </w:rPr>
        <w:t>·the FDA or comparable foreign regulatory authorities may fail to approve the manufacturing processes or facilities of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manufacturers with which we contract for clinical and commercial supplies; and</w:t>
      </w:r>
    </w:p>
    <w:p>
      <w:pPr>
        <w:spacing w:after="0" w:line="139" w:lineRule="exact"/>
        <w:rPr>
          <w:sz w:val="20"/>
          <w:szCs w:val="20"/>
          <w:color w:val="auto"/>
        </w:rPr>
      </w:pPr>
    </w:p>
    <w:p>
      <w:pPr>
        <w:ind w:left="1020" w:right="100" w:hanging="53"/>
        <w:spacing w:after="0" w:line="237" w:lineRule="auto"/>
        <w:rPr>
          <w:sz w:val="20"/>
          <w:szCs w:val="20"/>
          <w:color w:val="auto"/>
        </w:rPr>
      </w:pPr>
      <w:r>
        <w:rPr>
          <w:rFonts w:ascii="Times New Roman" w:cs="Times New Roman" w:eastAsia="Times New Roman" w:hAnsi="Times New Roman"/>
          <w:sz w:val="18"/>
          <w:szCs w:val="18"/>
          <w:color w:val="auto"/>
        </w:rPr>
        <w:t>·the approval policies or regulations of the FDA or comparable foreign regulatory authorities may significantly change in a manner rendering our clinical data insufficient for approval.</w:t>
      </w:r>
    </w:p>
    <w:p>
      <w:pPr>
        <w:spacing w:after="0" w:line="158" w:lineRule="exact"/>
        <w:rPr>
          <w:sz w:val="20"/>
          <w:szCs w:val="20"/>
          <w:color w:val="auto"/>
        </w:rPr>
      </w:pPr>
    </w:p>
    <w:p>
      <w:pPr>
        <w:ind w:firstLine="648"/>
        <w:spacing w:after="0" w:line="185" w:lineRule="exact"/>
        <w:rPr>
          <w:sz w:val="20"/>
          <w:szCs w:val="20"/>
          <w:color w:val="auto"/>
        </w:rPr>
      </w:pPr>
      <w:r>
        <w:rPr>
          <w:rFonts w:ascii="Times New Roman" w:cs="Times New Roman" w:eastAsia="Times New Roman" w:hAnsi="Times New Roman"/>
          <w:sz w:val="18"/>
          <w:szCs w:val="18"/>
          <w:color w:val="auto"/>
        </w:rPr>
        <w:t>In addition, even if we were to obtain approval, regulatory authorities may approve any of our drug candidates for fewer or more limited indications than we request, may not approve the price we intend to charge for our drugs and related companion diagnostics, may grant approval contingent on the performance of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clinical trials, or may approve a drug candidate with a label that does not include the labeling claims necessary or desirable for the successful commercialization of that drug candidate. Any of the foregoing scenarios could materially harm the commercial prospects for our drug candidates.</w:t>
      </w:r>
    </w:p>
    <w:p>
      <w:pPr>
        <w:spacing w:after="0" w:line="162" w:lineRule="exact"/>
        <w:rPr>
          <w:sz w:val="20"/>
          <w:szCs w:val="20"/>
          <w:color w:val="auto"/>
        </w:rPr>
      </w:pPr>
    </w:p>
    <w:p>
      <w:pPr>
        <w:ind w:right="380" w:firstLine="648"/>
        <w:spacing w:after="0" w:line="226" w:lineRule="auto"/>
        <w:rPr>
          <w:sz w:val="20"/>
          <w:szCs w:val="20"/>
          <w:color w:val="auto"/>
        </w:rPr>
      </w:pPr>
      <w:r>
        <w:rPr>
          <w:rFonts w:ascii="Times New Roman" w:cs="Times New Roman" w:eastAsia="Times New Roman" w:hAnsi="Times New Roman"/>
          <w:sz w:val="18"/>
          <w:szCs w:val="18"/>
          <w:color w:val="auto"/>
        </w:rPr>
        <w:t>If we experience delays in obtaining approval or if we fail to obtain approval of our drug candidates and related companion diagnostics, the commercial prospects for our drug candidates may be harmed and our ability to generate revenues will be materially impaired.</w:t>
      </w:r>
    </w:p>
    <w:p>
      <w:pPr>
        <w:spacing w:after="0" w:line="154" w:lineRule="exact"/>
        <w:rPr>
          <w:sz w:val="20"/>
          <w:szCs w:val="20"/>
          <w:color w:val="auto"/>
        </w:rPr>
      </w:pPr>
    </w:p>
    <w:p>
      <w:pPr>
        <w:ind w:right="18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Our drug candidates may cause undesirable side effects that could delay or prevent their regulatory approval, limit the commercial profile of an approved label, or result in significant negative consequences following marketing approval, if any.</w:t>
      </w:r>
    </w:p>
    <w:p>
      <w:pPr>
        <w:spacing w:after="0" w:line="159" w:lineRule="exact"/>
        <w:rPr>
          <w:sz w:val="20"/>
          <w:szCs w:val="20"/>
          <w:color w:val="auto"/>
        </w:rPr>
      </w:pPr>
    </w:p>
    <w:p>
      <w:pPr>
        <w:ind w:right="120" w:firstLine="648"/>
        <w:spacing w:after="0" w:line="182" w:lineRule="exact"/>
        <w:rPr>
          <w:sz w:val="20"/>
          <w:szCs w:val="20"/>
          <w:color w:val="auto"/>
        </w:rPr>
      </w:pPr>
      <w:r>
        <w:rPr>
          <w:rFonts w:ascii="Times New Roman" w:cs="Times New Roman" w:eastAsia="Times New Roman" w:hAnsi="Times New Roman"/>
          <w:sz w:val="18"/>
          <w:szCs w:val="18"/>
          <w:color w:val="auto"/>
        </w:rPr>
        <w:t>Undesirable side effects caused by our drug candidates could cause us to interrupt, delay or halt pre-clinical studies or could cause us or regulatory authorities to interrupt, delay or halt clinical trials and could result in a more restrictive label or the delay or denial of regulatory approval by the FDA or other regulatory authorities. As is the case with all oncology drugs, it is likely that there may be side effects associated with the use of our drug candidates. Results of our trials could reveal a high and unacceptable severity and prevalence of these or other side effects. In such an event, our trials could be suspended or terminated and the FDA or comparable foreign regulatory authorities could order us to cease further development of or deny approval of our drug candidates for any or all targeted indications. The drug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side effects could affect patient recruitment or the ability of enrolled patients to complete the trial or result in potential product liability claims. Any of these occurrences may harm our business, financial condition and prospects significantly.</w:t>
      </w:r>
    </w:p>
    <w:p>
      <w:pPr>
        <w:spacing w:after="0" w:line="130" w:lineRule="exact"/>
        <w:rPr>
          <w:sz w:val="20"/>
          <w:szCs w:val="20"/>
          <w:color w:val="auto"/>
        </w:rPr>
      </w:pPr>
    </w:p>
    <w:p>
      <w:pPr>
        <w:ind w:right="20" w:firstLine="648"/>
        <w:spacing w:after="0" w:line="187" w:lineRule="exact"/>
        <w:rPr>
          <w:sz w:val="20"/>
          <w:szCs w:val="20"/>
          <w:color w:val="auto"/>
        </w:rPr>
      </w:pPr>
      <w:r>
        <w:rPr>
          <w:rFonts w:ascii="Times New Roman" w:cs="Times New Roman" w:eastAsia="Times New Roman" w:hAnsi="Times New Roman"/>
          <w:sz w:val="18"/>
          <w:szCs w:val="18"/>
          <w:color w:val="auto"/>
        </w:rPr>
        <w:t>Further, our drug candidates could cause undesirable side effects in clinical trials related to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toxicity. For example, the FGF19/FGFR4 signaling axis has been shown to play a role in the regulation of de novo bile acid synthesis. Modulation of this signaling axis by treatment with a small molecule FGFR4 inhibitor could lead to the clinical symptoms that were observed with administration of an FGF19 antibody. If 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target toxicity is observed, or if our drug candidates have characteristics that are unexpected, we may need to abandon their development or limit development to more narrow uses or subpopulations in which the undesirable side effects or other characteristics are less prevalent, less severe or more acceptable from a risk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benefit perspective. Many compounds that initially showed promise in early stage testing for treating cancer have later been found to cause side effects that prevented further development of the compound.</w:t>
      </w:r>
    </w:p>
    <w:p>
      <w:pPr>
        <w:spacing w:after="0" w:line="159" w:lineRule="exact"/>
        <w:rPr>
          <w:sz w:val="20"/>
          <w:szCs w:val="20"/>
          <w:color w:val="auto"/>
        </w:rPr>
      </w:pPr>
    </w:p>
    <w:p>
      <w:pPr>
        <w:jc w:val="both"/>
        <w:ind w:right="20" w:firstLine="648"/>
        <w:spacing w:after="0" w:line="217" w:lineRule="auto"/>
        <w:rPr>
          <w:sz w:val="20"/>
          <w:szCs w:val="20"/>
          <w:color w:val="auto"/>
        </w:rPr>
      </w:pPr>
      <w:r>
        <w:rPr>
          <w:rFonts w:ascii="Times New Roman" w:cs="Times New Roman" w:eastAsia="Times New Roman" w:hAnsi="Times New Roman"/>
          <w:sz w:val="18"/>
          <w:szCs w:val="18"/>
          <w:color w:val="auto"/>
        </w:rPr>
        <w:t>Further, clinical trials by their nature utilize a sample of the potential patient population. With a limited number of patients and limited duration of exposure, rare and severe side effects of our drug candidates may only be uncovered with a significantly larger number of patients exposed to the drug candidate. If our drug candidates receive marketing approval and we or others identify undesirable side effects caused by such drug candidates (or any other similar drugs) after such approval, a number of potentially significant negative consequences could result, including: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·regulatory authorities may withdraw or limit their approval of such drug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1020" w:right="720" w:hanging="53"/>
        <w:spacing w:after="0" w:line="237" w:lineRule="auto"/>
        <w:rPr>
          <w:sz w:val="20"/>
          <w:szCs w:val="20"/>
          <w:color w:val="auto"/>
        </w:rPr>
      </w:pPr>
      <w:r>
        <w:rPr>
          <w:rFonts w:ascii="Times New Roman" w:cs="Times New Roman" w:eastAsia="Times New Roman" w:hAnsi="Times New Roman"/>
          <w:sz w:val="18"/>
          <w:szCs w:val="18"/>
          <w:color w:val="auto"/>
        </w:rPr>
        <w:t>·regulatory authorities may require the addition of labeling statements, such as a “boxed” warning or a contraindication;</w:t>
      </w:r>
    </w:p>
    <w:p>
      <w:pPr>
        <w:spacing w:after="0" w:line="158" w:lineRule="exact"/>
        <w:rPr>
          <w:sz w:val="20"/>
          <w:szCs w:val="20"/>
          <w:color w:val="auto"/>
        </w:rPr>
      </w:pPr>
    </w:p>
    <w:p>
      <w:pPr>
        <w:ind w:left="1020" w:right="440" w:hanging="53"/>
        <w:spacing w:after="0" w:line="237" w:lineRule="auto"/>
        <w:rPr>
          <w:sz w:val="20"/>
          <w:szCs w:val="20"/>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58" w:lineRule="exact"/>
        <w:rPr>
          <w:sz w:val="20"/>
          <w:szCs w:val="20"/>
          <w:color w:val="auto"/>
        </w:rPr>
      </w:pPr>
    </w:p>
    <w:p>
      <w:pPr>
        <w:ind w:left="1020" w:right="20" w:hanging="53"/>
        <w:spacing w:after="0" w:line="237" w:lineRule="auto"/>
        <w:rPr>
          <w:sz w:val="20"/>
          <w:szCs w:val="20"/>
          <w:color w:val="auto"/>
        </w:rPr>
      </w:pPr>
      <w:r>
        <w:rPr>
          <w:rFonts w:ascii="Times New Roman" w:cs="Times New Roman" w:eastAsia="Times New Roman" w:hAnsi="Times New Roman"/>
          <w:sz w:val="18"/>
          <w:szCs w:val="18"/>
          <w:color w:val="auto"/>
        </w:rPr>
        <w:t>·we may be required to change the way such drug candidates are distributed or administered, conduct additional clinical trials or change the labeling of the drug candidates;</w:t>
      </w:r>
    </w:p>
    <w:p>
      <w:pPr>
        <w:spacing w:after="0" w:line="158" w:lineRule="exact"/>
        <w:rPr>
          <w:sz w:val="20"/>
          <w:szCs w:val="20"/>
          <w:color w:val="auto"/>
        </w:rPr>
      </w:pPr>
    </w:p>
    <w:p>
      <w:pPr>
        <w:jc w:val="both"/>
        <w:ind w:left="1020" w:hanging="53"/>
        <w:spacing w:after="0" w:line="226" w:lineRule="auto"/>
        <w:rPr>
          <w:sz w:val="20"/>
          <w:szCs w:val="20"/>
          <w:color w:val="auto"/>
        </w:rPr>
      </w:pPr>
      <w:r>
        <w:rPr>
          <w:rFonts w:ascii="Times New Roman" w:cs="Times New Roman" w:eastAsia="Times New Roman" w:hAnsi="Times New Roman"/>
          <w:sz w:val="18"/>
          <w:szCs w:val="18"/>
          <w:color w:val="auto"/>
        </w:rPr>
        <w:t>·regulatory authorities may require a Risk Evaluation and Mitigation Strategy, or REMS, plan to mitigate risks, which could include medication guides, physician communication plans, or elements to assure safe use, such as restricted distribution methods, patient registries and other risk minimization tools;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may be subject to regulatory investigations and government enforcement actions;</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we may decide to remove such drug candidates from the marketplace;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·we could be sued and held liable for injury caused to individuals exposed to or taking our drug candidates; and</w:t>
      </w:r>
    </w:p>
    <w:p>
      <w:pPr>
        <w:spacing w:after="0" w:line="185" w:lineRule="exact"/>
        <w:rPr>
          <w:sz w:val="20"/>
          <w:szCs w:val="20"/>
          <w:color w:val="auto"/>
        </w:rPr>
      </w:pPr>
    </w:p>
    <w:p>
      <w:pPr>
        <w:ind w:left="980"/>
        <w:spacing w:after="0"/>
        <w:tabs>
          <w:tab w:leader="none" w:pos="11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our reputation may suffer.</w:t>
      </w:r>
    </w:p>
    <w:p>
      <w:pPr>
        <w:spacing w:after="0" w:line="185" w:lineRule="exact"/>
        <w:rPr>
          <w:sz w:val="20"/>
          <w:szCs w:val="20"/>
          <w:color w:val="auto"/>
        </w:rPr>
      </w:pPr>
    </w:p>
    <w:p>
      <w:pPr>
        <w:ind w:right="120" w:firstLine="648"/>
        <w:spacing w:after="0" w:line="226" w:lineRule="auto"/>
        <w:rPr>
          <w:sz w:val="20"/>
          <w:szCs w:val="20"/>
          <w:color w:val="auto"/>
        </w:rPr>
      </w:pPr>
      <w:r>
        <w:rPr>
          <w:rFonts w:ascii="Times New Roman" w:cs="Times New Roman" w:eastAsia="Times New Roman" w:hAnsi="Times New Roman"/>
          <w:sz w:val="18"/>
          <w:szCs w:val="18"/>
          <w:color w:val="auto"/>
        </w:rPr>
        <w:t>We believe that any of these events could prevent us from achieving or maintaining market acceptance of the affected drug candidates and could substantially increase the costs of commercializing our drug candidates, if approved, and significantly impact our ability to successfully commercialize our drug candidates and generate revenues.</w:t>
      </w:r>
    </w:p>
    <w:p>
      <w:pPr>
        <w:spacing w:after="0" w:line="154" w:lineRule="exact"/>
        <w:rPr>
          <w:sz w:val="20"/>
          <w:szCs w:val="20"/>
          <w:color w:val="auto"/>
        </w:rPr>
      </w:pPr>
    </w:p>
    <w:p>
      <w:pPr>
        <w:jc w:val="both"/>
        <w:ind w:right="6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A breakthrough therapy designation by the FDA for our drug candidates may not lead to a faster development or regulatory review or approval process, and it does not increase the likelihood that our drug candidates will receive marketing approval.</w:t>
      </w:r>
    </w:p>
    <w:p>
      <w:pPr>
        <w:spacing w:after="0" w:line="159"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We may seek a breakthrough therapy designation for some of our drug candidates. A breakthrough therapy is defined as a drug that is intended, alone or in combination with one or more other drugs, to treat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disease or condition, and preliminary clinical evidence indicates that the drug may demonstrate substantial improvement over existing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w:t>
      </w:r>
    </w:p>
    <w:p>
      <w:pPr>
        <w:spacing w:after="0" w:line="158" w:lineRule="exact"/>
        <w:rPr>
          <w:sz w:val="20"/>
          <w:szCs w:val="20"/>
          <w:color w:val="auto"/>
        </w:rPr>
      </w:pPr>
    </w:p>
    <w:p>
      <w:pPr>
        <w:ind w:firstLine="648"/>
        <w:spacing w:after="0" w:line="213" w:lineRule="auto"/>
        <w:rPr>
          <w:sz w:val="20"/>
          <w:szCs w:val="20"/>
          <w:color w:val="auto"/>
        </w:rPr>
      </w:pPr>
      <w:r>
        <w:rPr>
          <w:rFonts w:ascii="Times New Roman" w:cs="Times New Roman" w:eastAsia="Times New Roman" w:hAnsi="Times New Roman"/>
          <w:sz w:val="18"/>
          <w:szCs w:val="18"/>
          <w:color w:val="auto"/>
        </w:rPr>
        <w:t>Designation as a breakthrough therapy is within the discretion of the FDA. Accordingly, even if we believe one of our drug candidates meets the criteria for designation as a breakthrough therapy, the FDA may disagree and instead determine not to make such designation. In any event, the receipt of a breakthrough therapy designation for a drug candidate may not result in a faster development process, review or approval compared to drugs considered for approval under conventional FDA procedures and does not assure ultimate approval by the FDA. In addition, even if one or more of our drug candidates qualify as breakthrough therapies, the FDA may later decide that the drugs no longer meet the conditions for qualification.</w:t>
      </w:r>
    </w:p>
    <w:p>
      <w:pPr>
        <w:spacing w:after="0" w:line="155" w:lineRule="exact"/>
        <w:rPr>
          <w:sz w:val="20"/>
          <w:szCs w:val="20"/>
          <w:color w:val="auto"/>
        </w:rPr>
      </w:pPr>
    </w:p>
    <w:p>
      <w:pPr>
        <w:ind w:right="560"/>
        <w:spacing w:after="0"/>
        <w:rPr>
          <w:sz w:val="20"/>
          <w:szCs w:val="20"/>
          <w:color w:val="auto"/>
        </w:rPr>
      </w:pPr>
      <w:r>
        <w:rPr>
          <w:rFonts w:ascii="Times New Roman" w:cs="Times New Roman" w:eastAsia="Times New Roman" w:hAnsi="Times New Roman"/>
          <w:sz w:val="18"/>
          <w:szCs w:val="18"/>
          <w:b w:val="1"/>
          <w:bCs w:val="1"/>
          <w:i w:val="1"/>
          <w:iCs w:val="1"/>
          <w:color w:val="auto"/>
        </w:rPr>
        <w:t>A fast track designation by the FDA may not actually lead to a faster development or regulatory review or approval process.</w:t>
      </w:r>
    </w:p>
    <w:p>
      <w:pPr>
        <w:spacing w:after="0" w:line="157" w:lineRule="exact"/>
        <w:rPr>
          <w:sz w:val="20"/>
          <w:szCs w:val="20"/>
          <w:color w:val="auto"/>
        </w:rPr>
      </w:pPr>
    </w:p>
    <w:p>
      <w:pPr>
        <w:ind w:right="180" w:firstLine="648"/>
        <w:spacing w:after="0" w:line="188" w:lineRule="exact"/>
        <w:rPr>
          <w:sz w:val="20"/>
          <w:szCs w:val="20"/>
          <w:color w:val="auto"/>
        </w:rPr>
      </w:pPr>
      <w:r>
        <w:rPr>
          <w:rFonts w:ascii="Times New Roman" w:cs="Times New Roman" w:eastAsia="Times New Roman" w:hAnsi="Times New Roman"/>
          <w:sz w:val="18"/>
          <w:szCs w:val="18"/>
          <w:color w:val="auto"/>
        </w:rPr>
        <w:t>We may seek fast track designation for some of our drug candidates. If a drug is intended for the treatment of a serious or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condition and the drug demonstrates the potential to address unmet medical needs for this condition, the drug sponsor may apply for fast track designation. The FDA has broad discretion whether or not to grant this designation, so even if we believe a particular drug candidate is eligible for this designation, we cannot assure you that the FDA would decide to grant it. Even if we do receive fast track designation, we may not experience a faster</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80"/>
        <w:spacing w:after="0" w:line="263" w:lineRule="auto"/>
        <w:rPr>
          <w:sz w:val="20"/>
          <w:szCs w:val="20"/>
          <w:color w:val="auto"/>
        </w:rPr>
      </w:pPr>
      <w:r>
        <w:rPr>
          <w:rFonts w:ascii="Times New Roman" w:cs="Times New Roman" w:eastAsia="Times New Roman" w:hAnsi="Times New Roman"/>
          <w:sz w:val="17"/>
          <w:szCs w:val="17"/>
          <w:color w:val="auto"/>
        </w:rPr>
        <w:t>development process, review or approval compared to conventional FDA procedures. The FDA may withdraw fast track designation if it believes that the designation is no longer supported by data from our clinical development program.</w:t>
      </w:r>
    </w:p>
    <w:p>
      <w:pPr>
        <w:spacing w:after="0" w:line="135"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While we have received orphan drug designation for our lead drug candidates, BLU-285 and BLU-554 for specified indications, we may seek orphan drug designation for some of our other drug candidates. However, we may be unsuccessful in obtaining or may be unable to maintain the benefits associated with orphan drug designation, including the potential for market exclusivity.</w:t>
      </w:r>
    </w:p>
    <w:p>
      <w:pPr>
        <w:spacing w:after="0" w:line="160" w:lineRule="exact"/>
        <w:rPr>
          <w:sz w:val="20"/>
          <w:szCs w:val="20"/>
          <w:color w:val="auto"/>
        </w:rPr>
      </w:pPr>
    </w:p>
    <w:p>
      <w:pPr>
        <w:ind w:firstLine="648"/>
        <w:spacing w:after="0" w:line="183" w:lineRule="exact"/>
        <w:rPr>
          <w:sz w:val="20"/>
          <w:szCs w:val="20"/>
          <w:color w:val="auto"/>
        </w:rPr>
      </w:pPr>
      <w:r>
        <w:rPr>
          <w:rFonts w:ascii="Times New Roman" w:cs="Times New Roman" w:eastAsia="Times New Roman" w:hAnsi="Times New Roman"/>
          <w:sz w:val="18"/>
          <w:szCs w:val="18"/>
          <w:color w:val="auto"/>
        </w:rPr>
        <w:t>In September 2015, the FDA granted orphan drug designation to BLU-554 for the treatment of HCC, and in January 2016, the FDA granted orphan drug designation to BLU-285 for the treatment of GIST and SM. As part of our business strategy, we may seek orphan drug designation for some of our other drug candidates, and we may be unsuccessful. Regulatory authorities in some jurisdictions, including the United States and the European Union, may designate drugs for relatively small patient populations as orphan drugs. Under the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fee waivers.</w:t>
      </w:r>
    </w:p>
    <w:p>
      <w:pPr>
        <w:spacing w:after="0" w:line="143" w:lineRule="exact"/>
        <w:rPr>
          <w:sz w:val="20"/>
          <w:szCs w:val="20"/>
          <w:color w:val="auto"/>
        </w:rPr>
      </w:pPr>
    </w:p>
    <w:p>
      <w:pPr>
        <w:ind w:right="140" w:firstLine="648"/>
        <w:spacing w:after="0" w:line="182" w:lineRule="exact"/>
        <w:rPr>
          <w:sz w:val="20"/>
          <w:szCs w:val="20"/>
          <w:color w:val="auto"/>
        </w:rPr>
      </w:pPr>
      <w:r>
        <w:rPr>
          <w:rFonts w:ascii="Times New Roman" w:cs="Times New Roman" w:eastAsia="Times New Roman" w:hAnsi="Times New Roman"/>
          <w:sz w:val="18"/>
          <w:szCs w:val="18"/>
          <w:color w:val="auto"/>
        </w:rPr>
        <w:t>Similarly, in the European Union, the European Commission grants orphan drug designation after receiving the opinion of the European Medicines Agency’s, or EMA, Committee for Orphan Medicinal Products on an orphan drug designation application. Orphan drug designation is intended to promote the development of drugs that are intended for the diagnosis, prevention or treatment of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or chronically debilitating conditions affecting not more than 5 in 10,000 persons in the European Union and for which no satisfactory method of diagnosis, prevention, or treatment has been authorized (or the product would be a significant benefit to those affected). In addition, designation is granted for drugs intended for the diagnosis, prevention, or treatment of a life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threatening, seriously debilitating or serious and chronic condition and when, without incentives, it is unlikely that sales of the drug in the European Union would be sufficient to justify the necessary investment in developing the drug. In the European Union, orphan drug designation entitles a party to financial incentives such as reduction of fees or fee waivers.</w:t>
      </w:r>
    </w:p>
    <w:p>
      <w:pPr>
        <w:spacing w:after="0" w:line="161"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Generally, if a drug with an orphan drug designation subsequently receives the first marketing approval for the indication for which it has such designation, the drug is entitled to a period of marketing exclusivity, which precludes the EMA or the FDA from approving another marketing application for the same drug and indication for that time period, except in limited circumstances. The applicable period is seven years in the United States and ten years in the European Union. The European Union exclusivity period can be reduced to six years if a drug no longer meets the criteria for orphan drug designation or if the drug is sufficiently profitable so that market exclusivity is no longer justified.</w:t>
      </w:r>
    </w:p>
    <w:p>
      <w:pPr>
        <w:spacing w:after="0" w:line="162" w:lineRule="exact"/>
        <w:rPr>
          <w:sz w:val="20"/>
          <w:szCs w:val="20"/>
          <w:color w:val="auto"/>
        </w:rPr>
      </w:pPr>
    </w:p>
    <w:p>
      <w:pPr>
        <w:ind w:right="20" w:firstLine="648"/>
        <w:spacing w:after="0" w:line="208" w:lineRule="auto"/>
        <w:rPr>
          <w:sz w:val="20"/>
          <w:szCs w:val="20"/>
          <w:color w:val="auto"/>
        </w:rPr>
      </w:pPr>
      <w:r>
        <w:rPr>
          <w:rFonts w:ascii="Times New Roman" w:cs="Times New Roman" w:eastAsia="Times New Roman" w:hAnsi="Times New Roman"/>
          <w:sz w:val="18"/>
          <w:szCs w:val="18"/>
          <w:color w:val="auto"/>
        </w:rPr>
        <w:t>Even if we obtain orphan drug exclusivity for a drug, that exclusivity may not effectively protect the designated drug from competition because different drugs can be approved for the same condition. Even after an orphan drug is approved, the FDA can subsequently approve the same drug for the same condition if the FDA concludes that the later drug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designation. Moreover, orphan drug exclusive marketing rights in the United States may be lost if the FDA later determines that the request for designation was materially defective or if the manufacturer is unable to assure sufficient quantity of the drug to meet the needs of patients with the rare disease or condition. Orphan drug designation neither shortens the development time or regulatory review time of a drug nor gives the drug any advantage in the regulatory review or approval process. While we intend to seek orphan drug designation for our other drug candidates in addition to BLU-554 for the treatment of HCC and BLU -285 for the treatment of GIST and SM, we may never receive such designations. Even if we receive orphan drug designation for any of our drug candidates, there is no guarantee that we will enjoy the benefits of those designations.</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9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Even if we receive regulatory approval for any of our drug candidates, we will be subject to ongoing obligations and continued regulatory review, which may result in significant additional expense. In addition, our drug candidates, if approved, could be subject to labeling and other restrictions and market withdrawal and we may be subject to penalties if we fail to comply with regulatory requirements or experience unanticipated problems with our drugs.</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If the FDA or a comparable foreign regulatory authority approves any of our drug candidates, the manufacturing</w:t>
      </w:r>
    </w:p>
    <w:p>
      <w:pPr>
        <w:spacing w:after="0" w:line="203" w:lineRule="auto"/>
        <w:rPr>
          <w:sz w:val="20"/>
          <w:szCs w:val="20"/>
          <w:color w:val="auto"/>
        </w:rPr>
      </w:pPr>
      <w:r>
        <w:rPr>
          <w:rFonts w:ascii="Times New Roman" w:cs="Times New Roman" w:eastAsia="Times New Roman" w:hAnsi="Times New Roman"/>
          <w:sz w:val="18"/>
          <w:szCs w:val="18"/>
          <w:color w:val="auto"/>
        </w:rPr>
        <w:t>processes, labeling, packaging, distribution, adverse event reporting, storage, advertising, promotion and recordkeeping for</w:t>
      </w:r>
    </w:p>
    <w:p>
      <w:pPr>
        <w:spacing w:after="0" w:line="204" w:lineRule="auto"/>
        <w:rPr>
          <w:sz w:val="20"/>
          <w:szCs w:val="20"/>
          <w:color w:val="auto"/>
        </w:rPr>
      </w:pPr>
      <w:r>
        <w:rPr>
          <w:rFonts w:ascii="Times New Roman" w:cs="Times New Roman" w:eastAsia="Times New Roman" w:hAnsi="Times New Roman"/>
          <w:sz w:val="18"/>
          <w:szCs w:val="18"/>
          <w:color w:val="auto"/>
        </w:rPr>
        <w:t>the drug will be subject to extensive and ongoing regulatory requirements. These requirements include submissions of safety</w:t>
      </w:r>
    </w:p>
    <w:p>
      <w:pPr>
        <w:spacing w:after="0" w:line="176" w:lineRule="exact"/>
        <w:rPr>
          <w:sz w:val="20"/>
          <w:szCs w:val="20"/>
          <w:color w:val="auto"/>
        </w:rPr>
      </w:pPr>
      <w:r>
        <w:rPr>
          <w:rFonts w:ascii="Times New Roman" w:cs="Times New Roman" w:eastAsia="Times New Roman" w:hAnsi="Times New Roman"/>
          <w:sz w:val="18"/>
          <w:szCs w:val="18"/>
          <w:color w:val="auto"/>
        </w:rPr>
        <w:t>and other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information and reports, registration, as well as continued compliance with current Good</w:t>
      </w:r>
    </w:p>
    <w:p>
      <w:pPr>
        <w:spacing w:after="0" w:line="204" w:lineRule="auto"/>
        <w:rPr>
          <w:sz w:val="20"/>
          <w:szCs w:val="20"/>
          <w:color w:val="auto"/>
        </w:rPr>
      </w:pPr>
      <w:r>
        <w:rPr>
          <w:rFonts w:ascii="Times New Roman" w:cs="Times New Roman" w:eastAsia="Times New Roman" w:hAnsi="Times New Roman"/>
          <w:sz w:val="18"/>
          <w:szCs w:val="18"/>
          <w:color w:val="auto"/>
        </w:rPr>
        <w:t>Manufacturing Practices, or cGMPs, and Good Clinical Practices, or GCPs, for any clinical trials that we conduct</w:t>
      </w:r>
    </w:p>
    <w:p>
      <w:pPr>
        <w:spacing w:after="0" w:line="176" w:lineRule="exact"/>
        <w:rPr>
          <w:sz w:val="20"/>
          <w:szCs w:val="20"/>
          <w:color w:val="auto"/>
        </w:rPr>
      </w:pPr>
      <w:r>
        <w:rPr>
          <w:rFonts w:ascii="Times New Roman" w:cs="Times New Roman" w:eastAsia="Times New Roman" w:hAnsi="Times New Roman"/>
          <w:sz w:val="18"/>
          <w:szCs w:val="18"/>
          <w:color w:val="auto"/>
        </w:rPr>
        <w:t>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approval. Any regulatory approvals that we receive for our drug candidates may also be subject to limitations on the</w:t>
      </w:r>
    </w:p>
    <w:p>
      <w:pPr>
        <w:spacing w:after="0" w:line="204" w:lineRule="auto"/>
        <w:rPr>
          <w:sz w:val="20"/>
          <w:szCs w:val="20"/>
          <w:color w:val="auto"/>
        </w:rPr>
      </w:pPr>
      <w:r>
        <w:rPr>
          <w:rFonts w:ascii="Times New Roman" w:cs="Times New Roman" w:eastAsia="Times New Roman" w:hAnsi="Times New Roman"/>
          <w:sz w:val="18"/>
          <w:szCs w:val="18"/>
          <w:color w:val="auto"/>
        </w:rPr>
        <w:t>approved indicated uses for which the drug may be marketed or to the conditions of approval, or contain requirements for</w:t>
      </w:r>
    </w:p>
    <w:p>
      <w:pPr>
        <w:spacing w:after="0" w:line="176" w:lineRule="exact"/>
        <w:rPr>
          <w:sz w:val="20"/>
          <w:szCs w:val="20"/>
          <w:color w:val="auto"/>
        </w:rPr>
      </w:pPr>
      <w:r>
        <w:rPr>
          <w:rFonts w:ascii="Times New Roman" w:cs="Times New Roman" w:eastAsia="Times New Roman" w:hAnsi="Times New Roman"/>
          <w:sz w:val="18"/>
          <w:szCs w:val="18"/>
          <w:color w:val="auto"/>
        </w:rPr>
        <w:t>potentially costly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marketing testing, including Phase 4 clinical trials, and surveillance to monitor the safety and efficacy</w:t>
      </w:r>
    </w:p>
    <w:p>
      <w:pPr>
        <w:spacing w:after="0" w:line="203" w:lineRule="auto"/>
        <w:rPr>
          <w:sz w:val="20"/>
          <w:szCs w:val="20"/>
          <w:color w:val="auto"/>
        </w:rPr>
      </w:pPr>
      <w:r>
        <w:rPr>
          <w:rFonts w:ascii="Times New Roman" w:cs="Times New Roman" w:eastAsia="Times New Roman" w:hAnsi="Times New Roman"/>
          <w:sz w:val="18"/>
          <w:szCs w:val="18"/>
          <w:color w:val="auto"/>
        </w:rPr>
        <w:t>of the drug. Later discovery of previously unknown problems with a drug, including adverse events of unanticipated severity</w:t>
      </w:r>
    </w:p>
    <w:p>
      <w:pPr>
        <w:spacing w:after="0" w:line="176" w:lineRule="exact"/>
        <w:rPr>
          <w:sz w:val="20"/>
          <w:szCs w:val="20"/>
          <w:color w:val="auto"/>
        </w:rPr>
      </w:pPr>
      <w:r>
        <w:rPr>
          <w:rFonts w:ascii="Times New Roman" w:cs="Times New Roman" w:eastAsia="Times New Roman" w:hAnsi="Times New Roman"/>
          <w:sz w:val="18"/>
          <w:szCs w:val="18"/>
          <w:color w:val="auto"/>
        </w:rPr>
        <w:t>or frequency, or with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manufacturing processes, or failure to comply with regulatory</w:t>
      </w:r>
    </w:p>
    <w:p>
      <w:pPr>
        <w:spacing w:after="0"/>
        <w:rPr>
          <w:sz w:val="20"/>
          <w:szCs w:val="20"/>
          <w:color w:val="auto"/>
        </w:rPr>
      </w:pPr>
      <w:r>
        <w:rPr>
          <w:rFonts w:ascii="Times New Roman" w:cs="Times New Roman" w:eastAsia="Times New Roman" w:hAnsi="Times New Roman"/>
          <w:sz w:val="18"/>
          <w:szCs w:val="18"/>
          <w:color w:val="auto"/>
        </w:rPr>
        <w:t>requirements, may result in, among other things:</w:t>
      </w:r>
    </w:p>
    <w:p>
      <w:pPr>
        <w:spacing w:after="0" w:line="165" w:lineRule="exact"/>
        <w:rPr>
          <w:sz w:val="20"/>
          <w:szCs w:val="20"/>
          <w:color w:val="auto"/>
        </w:rPr>
      </w:pPr>
    </w:p>
    <w:p>
      <w:pPr>
        <w:ind w:left="1020" w:right="639" w:hanging="53"/>
        <w:spacing w:after="0" w:line="237" w:lineRule="auto"/>
        <w:rPr>
          <w:sz w:val="20"/>
          <w:szCs w:val="20"/>
          <w:color w:val="auto"/>
        </w:rPr>
      </w:pPr>
      <w:r>
        <w:rPr>
          <w:rFonts w:ascii="Times New Roman" w:cs="Times New Roman" w:eastAsia="Times New Roman" w:hAnsi="Times New Roman"/>
          <w:sz w:val="18"/>
          <w:szCs w:val="18"/>
          <w:color w:val="auto"/>
        </w:rPr>
        <w:t>·restrictions on the marketing or manufacturing of the drug, withdrawal of the drug from the market, or voluntary drug recalls;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fines, warning letters or holds on clinical trials;</w:t>
      </w:r>
    </w:p>
    <w:p>
      <w:pPr>
        <w:spacing w:after="0" w:line="185" w:lineRule="exact"/>
        <w:rPr>
          <w:sz w:val="20"/>
          <w:szCs w:val="20"/>
          <w:color w:val="auto"/>
        </w:rPr>
      </w:pPr>
    </w:p>
    <w:p>
      <w:pPr>
        <w:ind w:left="1020" w:right="279" w:hanging="53"/>
        <w:spacing w:after="0" w:line="237" w:lineRule="auto"/>
        <w:rPr>
          <w:sz w:val="20"/>
          <w:szCs w:val="20"/>
          <w:color w:val="auto"/>
        </w:rPr>
      </w:pPr>
      <w:r>
        <w:rPr>
          <w:rFonts w:ascii="Times New Roman" w:cs="Times New Roman" w:eastAsia="Times New Roman" w:hAnsi="Times New Roman"/>
          <w:sz w:val="18"/>
          <w:szCs w:val="18"/>
          <w:color w:val="auto"/>
        </w:rPr>
        <w:t>·refusal by the FDA to approve pending applications or supplements to approved applications filed by us, or suspension or revocation of marketing approvals;</w:t>
      </w:r>
    </w:p>
    <w:p>
      <w:pPr>
        <w:spacing w:after="0" w:line="158" w:lineRule="exact"/>
        <w:rPr>
          <w:sz w:val="20"/>
          <w:szCs w:val="20"/>
          <w:color w:val="auto"/>
        </w:rPr>
      </w:pPr>
    </w:p>
    <w:p>
      <w:pPr>
        <w:ind w:left="980" w:right="2239"/>
        <w:spacing w:after="0" w:line="454" w:lineRule="auto"/>
        <w:rPr>
          <w:sz w:val="20"/>
          <w:szCs w:val="20"/>
          <w:color w:val="auto"/>
        </w:rPr>
      </w:pPr>
      <w:r>
        <w:rPr>
          <w:rFonts w:ascii="Times New Roman" w:cs="Times New Roman" w:eastAsia="Times New Roman" w:hAnsi="Times New Roman"/>
          <w:sz w:val="18"/>
          <w:szCs w:val="18"/>
          <w:color w:val="auto"/>
        </w:rPr>
        <w:t>·drug seizure or detention, or refusal to permit the import or export of drugs; and · injunctions or the imposition of civil or criminal penalties.</w:t>
      </w:r>
    </w:p>
    <w:p>
      <w:pPr>
        <w:ind w:right="19" w:firstLine="648"/>
        <w:spacing w:after="0" w:line="217" w:lineRule="auto"/>
        <w:rPr>
          <w:sz w:val="20"/>
          <w:szCs w:val="20"/>
          <w:color w:val="auto"/>
        </w:rPr>
      </w:pPr>
      <w:r>
        <w:rPr>
          <w:rFonts w:ascii="Times New Roman" w:cs="Times New Roman" w:eastAsia="Times New Roman" w:hAnsi="Times New Roman"/>
          <w:sz w:val="18"/>
          <w:szCs w:val="18"/>
          <w:color w:val="auto"/>
        </w:rPr>
        <w:t>The FDA’s policies may change and additional government regulations may be enacted that could prevent, limit or delay regulatory approval of our drug candidates.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achieve or sustain profitability.</w:t>
      </w:r>
    </w:p>
    <w:p>
      <w:pPr>
        <w:spacing w:after="0" w:line="154" w:lineRule="exact"/>
        <w:rPr>
          <w:sz w:val="20"/>
          <w:szCs w:val="20"/>
          <w:color w:val="auto"/>
        </w:rPr>
      </w:pPr>
    </w:p>
    <w:p>
      <w:pPr>
        <w:ind w:right="799"/>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expand our development platform to build a pipeline of drug candidates.</w:t>
      </w:r>
    </w:p>
    <w:p>
      <w:pPr>
        <w:spacing w:after="0" w:line="157" w:lineRule="exact"/>
        <w:rPr>
          <w:sz w:val="20"/>
          <w:szCs w:val="20"/>
          <w:color w:val="auto"/>
        </w:rPr>
      </w:pPr>
    </w:p>
    <w:p>
      <w:pPr>
        <w:ind w:right="19" w:firstLine="648"/>
        <w:spacing w:after="0" w:line="211" w:lineRule="auto"/>
        <w:rPr>
          <w:sz w:val="20"/>
          <w:szCs w:val="20"/>
          <w:color w:val="auto"/>
        </w:rPr>
      </w:pPr>
      <w:r>
        <w:rPr>
          <w:rFonts w:ascii="Times New Roman" w:cs="Times New Roman" w:eastAsia="Times New Roman" w:hAnsi="Times New Roman"/>
          <w:sz w:val="18"/>
          <w:szCs w:val="18"/>
          <w:color w:val="auto"/>
        </w:rPr>
        <w:t>A key element of our strategy is to use our novel target discovery engine to identify kinases that are drivers of diseases in genomically defined patient populations with high unmet medical need in order to build a pipeline of drug candidates. Although our research and development efforts to date have resulted in a pipeline of drug candidates, we may not be able to continue to identify novel kinase drivers and develop drug candidates. Even if we are successful in continuing to build our pipeline, the potential drug candidates that we identify may not be suitable for clinical development. For example, they may be shown to have harmful side effects or other characteristics that indicate that they are unlikely to be drugs that will receive marketing approval and achieve market acceptance. If we do not successfully develop and commercialize drug candidates based upon our approach, we will not be able to obtain drug revenues in future periods, which likely would result in significant harm to our financial position and adversely affect our stock price.</w:t>
      </w:r>
    </w:p>
    <w:p>
      <w:pPr>
        <w:spacing w:after="0" w:line="154" w:lineRule="exact"/>
        <w:rPr>
          <w:sz w:val="20"/>
          <w:szCs w:val="20"/>
          <w:color w:val="auto"/>
        </w:rPr>
      </w:pPr>
    </w:p>
    <w:p>
      <w:pPr>
        <w:ind w:right="259"/>
        <w:spacing w:after="0"/>
        <w:rPr>
          <w:sz w:val="20"/>
          <w:szCs w:val="20"/>
          <w:color w:val="auto"/>
        </w:rPr>
      </w:pPr>
      <w:r>
        <w:rPr>
          <w:rFonts w:ascii="Times New Roman" w:cs="Times New Roman" w:eastAsia="Times New Roman" w:hAnsi="Times New Roman"/>
          <w:sz w:val="18"/>
          <w:szCs w:val="18"/>
          <w:b w:val="1"/>
          <w:bCs w:val="1"/>
          <w:i w:val="1"/>
          <w:iCs w:val="1"/>
          <w:color w:val="auto"/>
        </w:rPr>
        <w:t>We may expend our limited resources to pursue a particular drug candidate or indication and fail to capitalize on drug candidates or indications that may be more profitable or for which there is a greater likelihood of success.</w:t>
      </w:r>
    </w:p>
    <w:p>
      <w:pPr>
        <w:spacing w:after="0" w:line="157" w:lineRule="exact"/>
        <w:rPr>
          <w:sz w:val="20"/>
          <w:szCs w:val="20"/>
          <w:color w:val="auto"/>
        </w:rPr>
      </w:pPr>
    </w:p>
    <w:p>
      <w:pPr>
        <w:ind w:right="239" w:firstLine="648"/>
        <w:spacing w:after="0" w:line="220" w:lineRule="auto"/>
        <w:rPr>
          <w:sz w:val="20"/>
          <w:szCs w:val="20"/>
          <w:color w:val="auto"/>
        </w:rPr>
      </w:pPr>
      <w:r>
        <w:rPr>
          <w:rFonts w:ascii="Times New Roman" w:cs="Times New Roman" w:eastAsia="Times New Roman" w:hAnsi="Times New Roman"/>
          <w:sz w:val="18"/>
          <w:szCs w:val="18"/>
          <w:color w:val="auto"/>
        </w:rPr>
        <w:t>Because we have limited financial and managerial resources, we focus on research programs and drug candidates that we identify for specific indications. As a result, we may forego or delay pursuit of opportunities with other drug candidates or for other indications that later prove to have greater commercial potential. Our resource allocation decisions may cause us to fail to capitalize on viable commercial drugs or profitable market opportunities. Our</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17" w:lineRule="auto"/>
        <w:rPr>
          <w:sz w:val="20"/>
          <w:szCs w:val="20"/>
          <w:color w:val="auto"/>
        </w:rPr>
      </w:pPr>
      <w:r>
        <w:rPr>
          <w:rFonts w:ascii="Times New Roman" w:cs="Times New Roman" w:eastAsia="Times New Roman" w:hAnsi="Times New Roman"/>
          <w:sz w:val="18"/>
          <w:szCs w:val="18"/>
          <w:color w:val="auto"/>
        </w:rPr>
        <w:t>spending on current and future research and development programs and drug candidates for specific indications may not yield any commercially viable drugs. If we do not accurately evaluate the commercial potential or target market for a particular drug candidate, we may relinquish valuable rights to that drug candidate through collaboration, licensing or other royalty arrangements in cases in which it would have been more advantageous for us to retain sole development and commercialization rights to such drug candidate.</w:t>
      </w:r>
    </w:p>
    <w:p>
      <w:pPr>
        <w:spacing w:after="0" w:line="1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Commercialization</w:t>
      </w:r>
    </w:p>
    <w:p>
      <w:pPr>
        <w:spacing w:after="0" w:line="131" w:lineRule="exact"/>
        <w:rPr>
          <w:sz w:val="20"/>
          <w:szCs w:val="20"/>
          <w:color w:val="auto"/>
        </w:rPr>
      </w:pPr>
    </w:p>
    <w:p>
      <w:pPr>
        <w:ind w:right="16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The incidence and prevalence for target patient populations of our drug candidates have not been established with precision. If the market opportunities for our drug candidates are smaller than we estimate or if any approval that we obtain is based on a narrower definition of the patient population, our revenue and ability to achieve profitability will be adversely affected, possibly materially.</w:t>
      </w:r>
    </w:p>
    <w:p>
      <w:pPr>
        <w:spacing w:after="0" w:line="106" w:lineRule="exact"/>
        <w:rPr>
          <w:sz w:val="20"/>
          <w:szCs w:val="20"/>
          <w:color w:val="auto"/>
        </w:rPr>
      </w:pPr>
    </w:p>
    <w:p>
      <w:pPr>
        <w:ind w:right="40" w:firstLine="648"/>
        <w:spacing w:after="0" w:line="206" w:lineRule="auto"/>
        <w:rPr>
          <w:sz w:val="20"/>
          <w:szCs w:val="20"/>
          <w:color w:val="auto"/>
        </w:rPr>
      </w:pPr>
      <w:r>
        <w:rPr>
          <w:rFonts w:ascii="Times New Roman" w:cs="Times New Roman" w:eastAsia="Times New Roman" w:hAnsi="Times New Roman"/>
          <w:sz w:val="18"/>
          <w:szCs w:val="18"/>
          <w:color w:val="auto"/>
        </w:rPr>
        <w:t>The precise incidence and prevalence for SM, GIST and HCC are unknown. Our projections of both the number of people who have these diseases, as well as the subset of people with these diseases who have the potential to benefit from treatment with our drug candidates, are based on estimates. We estimate that there are approximately: (i) 4,300 addressable patients with advanced forms of SM, including smoldering SM, and approximately 16,000 addressable patients with indolent SM in the United States, France, Germany, Italy, Spain, the United Kingdom and Japan, or the Major Markets;</w:t>
      </w:r>
    </w:p>
    <w:p>
      <w:pPr>
        <w:spacing w:after="0" w:line="3" w:lineRule="exact"/>
        <w:rPr>
          <w:sz w:val="20"/>
          <w:szCs w:val="20"/>
          <w:color w:val="auto"/>
        </w:rPr>
      </w:pPr>
    </w:p>
    <w:p>
      <w:pPr>
        <w:ind w:right="560" w:firstLine="3"/>
        <w:spacing w:after="0" w:line="179" w:lineRule="exact"/>
        <w:tabs>
          <w:tab w:leader="none" w:pos="26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addressable patients with PDGFRα D842V</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driven, unresectable or metastatic GIST in the Major Markets and approximately 20,000 addressable patients in the Major Markets with unresectable or metastatic frontline GIST; and</w:t>
      </w:r>
    </w:p>
    <w:p>
      <w:pPr>
        <w:ind w:right="40" w:firstLine="3"/>
        <w:spacing w:after="0" w:line="226" w:lineRule="auto"/>
        <w:tabs>
          <w:tab w:leader="none" w:pos="31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 first line and 6,000 second line addressable HCC patients with aberrantly active FGFR4 signaling as indicated by FGF19 overexpression in the Major Markets.</w:t>
      </w:r>
    </w:p>
    <w:p>
      <w:pPr>
        <w:spacing w:after="0" w:line="75" w:lineRule="exact"/>
        <w:rPr>
          <w:sz w:val="20"/>
          <w:szCs w:val="20"/>
          <w:color w:val="auto"/>
        </w:rPr>
      </w:pPr>
    </w:p>
    <w:p>
      <w:pPr>
        <w:ind w:right="60" w:firstLine="648"/>
        <w:spacing w:after="0" w:line="189" w:lineRule="exact"/>
        <w:rPr>
          <w:sz w:val="20"/>
          <w:szCs w:val="20"/>
          <w:color w:val="auto"/>
        </w:rPr>
      </w:pPr>
      <w:r>
        <w:rPr>
          <w:rFonts w:ascii="Times New Roman" w:cs="Times New Roman" w:eastAsia="Times New Roman" w:hAnsi="Times New Roman"/>
          <w:sz w:val="18"/>
          <w:szCs w:val="18"/>
          <w:color w:val="auto"/>
        </w:rPr>
        <w:t>The total addressable market opportunity for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for the treatment of patients with SM and GIST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for the treatment of HCC patients with aberrantly active FGFR4 signaling will ultimately depend upon, among other things, the diagnosis criteria included in the final label for each of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if our drug candidates are approved for sale for these indications, acceptance by the medical community and patient access, drug pricing and reimbursement. The number of patients in the Major Markets and elsewhere may turn out to be lower than expected, patients may not be otherwise amenable to treatment with our drugs, or new patients may become increasingly difficult to identify or gain access to, all of which would adversely affect our results of operations and our business.</w:t>
      </w:r>
    </w:p>
    <w:p>
      <w:pPr>
        <w:spacing w:after="0" w:line="100" w:lineRule="exact"/>
        <w:rPr>
          <w:sz w:val="20"/>
          <w:szCs w:val="20"/>
          <w:color w:val="auto"/>
        </w:rPr>
      </w:pPr>
    </w:p>
    <w:p>
      <w:pPr>
        <w:ind w:right="200"/>
        <w:spacing w:after="0"/>
        <w:rPr>
          <w:sz w:val="20"/>
          <w:szCs w:val="20"/>
          <w:color w:val="auto"/>
        </w:rPr>
      </w:pPr>
      <w:r>
        <w:rPr>
          <w:rFonts w:ascii="Times New Roman" w:cs="Times New Roman" w:eastAsia="Times New Roman" w:hAnsi="Times New Roman"/>
          <w:sz w:val="18"/>
          <w:szCs w:val="18"/>
          <w:b w:val="1"/>
          <w:bCs w:val="1"/>
          <w:i w:val="1"/>
          <w:iCs w:val="1"/>
          <w:color w:val="auto"/>
        </w:rPr>
        <w:t>We face substantial competition, which may result in others discovering, developing or commercializing drugs before or more successfully than we do.</w:t>
      </w:r>
    </w:p>
    <w:p>
      <w:pPr>
        <w:spacing w:after="0" w:line="103"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The development and commercialization of new drugs is highly competitive. We face competition with respect to our current drug candidates, and will face competition with respect to any drug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drugs or are pursuing the development of therapies in the field of kinase inhibition for cancer and other diseases. Some of these competitive drugs and therapies are based on scientific approaches that are the same as or similar to our approach, and others are based on entirely different approaches.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04"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Specifically, there are a large number of companies developing or marketing treatments for cancer, including many major pharmaceutical and biotechnology companies. If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receives marketing approval for advanced SM, GIST and/or for GIST patients with the PDGFRα D842V mutation, it may face competition from other drug candidates in development for these indications, including drug candidates in development by AB Science S.A., AROG Pharmaceuticals, Inc., ARIAD Pharmaceuticals, Inc., Deciphera Pharmaceuticals, LLC, Kolltan Pharmaceuticals, Inc., Novartis AG and Plexxikon Inc., a wholly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owned subsidiary of Daiichi Sankyo Company, Limited. Further, if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receives marketing approval for patients with HCC with FGF19 overexpression, it will face competition from sorafenib, the only approved systemic medical therapy for HCC. In addition, BLU-554 may face competition from other drug candidates in development by AstraZeneca plc, Bayer AG, Celgene Corporation, Eisai Inc., H3 Biomedicine Inc., Johnson &amp; Johnson, Novartis AG, Sanofi S.A., Taiho Pharmaceutical Co., Ltd. and Xoma Ltd. If BLU-667 receives marketing approval for patients with RET or mutations, it may face competition from other drug candidates in development, including drug candidates in development by ARIAD Pharmaceuticals, Inc., AstraZeneca plc, Eisai Inc.,</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7" w:name="page48"/>
    <w:bookmarkEnd w:id="4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Exelixis, Inc., GlaxoSmithKline plc, Ignyta, Inc., Loxo Oncology, Inc., Mirati Therapeutics, Inc., Novartis AG, Pfizer Inc.</w:t>
      </w:r>
    </w:p>
    <w:p>
      <w:pPr>
        <w:spacing w:after="0"/>
        <w:rPr>
          <w:sz w:val="20"/>
          <w:szCs w:val="20"/>
          <w:color w:val="auto"/>
        </w:rPr>
      </w:pPr>
      <w:r>
        <w:rPr>
          <w:rFonts w:ascii="Times New Roman" w:cs="Times New Roman" w:eastAsia="Times New Roman" w:hAnsi="Times New Roman"/>
          <w:sz w:val="18"/>
          <w:szCs w:val="18"/>
          <w:color w:val="auto"/>
        </w:rPr>
        <w:t>and Roche.</w:t>
      </w:r>
    </w:p>
    <w:p>
      <w:pPr>
        <w:spacing w:after="0" w:line="111"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biotechnology and diagnostic industries may result in even more resources being concentrated among a smaller number of our competitors. Smaller or early 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04"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Our commercial opportunity could be reduced or eliminated if our competitors develop and commercialize drugs that are safer, more effective, have fewer or less severe side effects, are more convenient or are less expensive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The key competitive factors affecting the success of all of our drug candidates, if approved, are likely to be their efficacy, safety, convenience, price, the effectiveness of companion diagnostics in guiding the use of related drugs, the level of generic competition and the availability of reimbursement from government and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w:t>
      </w:r>
    </w:p>
    <w:p>
      <w:pPr>
        <w:spacing w:after="0" w:line="140"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57" w:lineRule="exact"/>
        <w:rPr>
          <w:sz w:val="20"/>
          <w:szCs w:val="20"/>
          <w:color w:val="auto"/>
        </w:rPr>
      </w:pPr>
    </w:p>
    <w:p>
      <w:pPr>
        <w:ind w:right="360" w:firstLine="648"/>
        <w:spacing w:after="0" w:line="220" w:lineRule="auto"/>
        <w:rPr>
          <w:sz w:val="20"/>
          <w:szCs w:val="20"/>
          <w:color w:val="auto"/>
        </w:rPr>
      </w:pPr>
      <w:r>
        <w:rPr>
          <w:rFonts w:ascii="Times New Roman" w:cs="Times New Roman" w:eastAsia="Times New Roman" w:hAnsi="Times New Roman"/>
          <w:sz w:val="18"/>
          <w:szCs w:val="18"/>
          <w:color w:val="auto"/>
        </w:rPr>
        <w:t>We will face an inherent risk of product liability exposure related to the testing of our drug candidates in human clinical trials and will face an even greater risk if we commercially sell any drug candidates that we may develop. If we cannot successfully defend ourselves against claims that our drug candidates caused injuries, we could incur substantial liabilities. Regardless of merit or eventual outcome, liability claims may result in:</w:t>
      </w:r>
    </w:p>
    <w:p>
      <w:pPr>
        <w:spacing w:after="0" w:line="159" w:lineRule="exact"/>
        <w:rPr>
          <w:sz w:val="20"/>
          <w:szCs w:val="20"/>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for any drug candidates that we may develop;</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84" w:lineRule="exact"/>
        <w:rPr>
          <w:rFonts w:ascii="Times New Roman" w:cs="Times New Roman" w:eastAsia="Times New Roman" w:hAnsi="Times New Roman"/>
          <w:sz w:val="18"/>
          <w:szCs w:val="18"/>
          <w:color w:val="auto"/>
        </w:rPr>
      </w:pPr>
    </w:p>
    <w:p>
      <w:pPr>
        <w:ind w:left="1100" w:hanging="125"/>
        <w:spacing w:after="0"/>
        <w:tabs>
          <w:tab w:leader="none" w:pos="11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84" w:lineRule="exact"/>
        <w:rPr>
          <w:rFonts w:ascii="Times New Roman" w:cs="Times New Roman" w:eastAsia="Times New Roman" w:hAnsi="Times New Roman"/>
          <w:sz w:val="18"/>
          <w:szCs w:val="18"/>
          <w:color w:val="auto"/>
        </w:rPr>
      </w:pPr>
    </w:p>
    <w:p>
      <w:pPr>
        <w:ind w:left="1260" w:hanging="285"/>
        <w:spacing w:after="0"/>
        <w:tabs>
          <w:tab w:leader="none" w:pos="1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drug candidates that we may develop.</w:t>
      </w:r>
    </w:p>
    <w:p>
      <w:pPr>
        <w:spacing w:after="0" w:line="185" w:lineRule="exact"/>
        <w:rPr>
          <w:sz w:val="20"/>
          <w:szCs w:val="20"/>
          <w:color w:val="auto"/>
        </w:rPr>
      </w:pPr>
    </w:p>
    <w:p>
      <w:pPr>
        <w:ind w:right="100"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product liability insurance coverage, it may not be adequate to cover all liabilities that we may incur. We anticipate that we will need to increase our insurance coverage when we begin later-stage clinical trials and if we successfully commercialize any drug candidate. Insurance coverage is increasingly expensive. We may not be able to maintain insurance coverage at a reasonable cost or in an amount adequate to satisfy any liability that may arise.</w:t>
      </w:r>
    </w:p>
    <w:p>
      <w:pPr>
        <w:spacing w:after="0" w:line="155" w:lineRule="exact"/>
        <w:rPr>
          <w:sz w:val="20"/>
          <w:szCs w:val="20"/>
          <w:color w:val="auto"/>
        </w:rPr>
      </w:pPr>
    </w:p>
    <w:p>
      <w:pPr>
        <w:ind w:right="2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we or our collaborators, including Ventana, are unable to successfully develop and commercialize companion diagnostics for our drug candidates, or experience significant delays in doing so we may not realize the full commercial potential of our drug candidates.</w:t>
      </w:r>
    </w:p>
    <w:p>
      <w:pPr>
        <w:spacing w:after="0" w:line="159" w:lineRule="exact"/>
        <w:rPr>
          <w:sz w:val="20"/>
          <w:szCs w:val="20"/>
          <w:color w:val="auto"/>
        </w:rPr>
      </w:pPr>
    </w:p>
    <w:p>
      <w:pPr>
        <w:ind w:right="360" w:firstLine="648"/>
        <w:spacing w:after="0" w:line="237" w:lineRule="auto"/>
        <w:rPr>
          <w:sz w:val="20"/>
          <w:szCs w:val="20"/>
          <w:color w:val="auto"/>
        </w:rPr>
      </w:pPr>
      <w:r>
        <w:rPr>
          <w:rFonts w:ascii="Times New Roman" w:cs="Times New Roman" w:eastAsia="Times New Roman" w:hAnsi="Times New Roman"/>
          <w:sz w:val="18"/>
          <w:szCs w:val="18"/>
          <w:color w:val="auto"/>
        </w:rPr>
        <w:t>Because we are focused on precision medicine, in which predictive biomarkers will be used to identify the right patients for our drug candidates, we believe that our success may depend, in part, on the development and</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07" w:lineRule="auto"/>
        <w:rPr>
          <w:sz w:val="20"/>
          <w:szCs w:val="20"/>
          <w:color w:val="auto"/>
        </w:rPr>
      </w:pPr>
      <w:r>
        <w:rPr>
          <w:rFonts w:ascii="Times New Roman" w:cs="Times New Roman" w:eastAsia="Times New Roman" w:hAnsi="Times New Roman"/>
          <w:sz w:val="18"/>
          <w:szCs w:val="18"/>
          <w:color w:val="auto"/>
        </w:rPr>
        <w:t>commercialization of companion diagnostics. There has been limited success to date industrywide in developing and commercializing these types of companion diagnostics. To be successful, we need to address a number of scientific, technical and logistical challenges. We have entered into an agreement with Ventana to develop and commercialize a companion diagnostic for BLU-554 in order to identify HCC patients with aberrantly active FGFR4 signaling as indicated by FGF19 overexpression. However, we have not yet initiated development and commercialization of this companion diagnostic or companion diagnostics for any of our other programs. We have little experience in the development and commercialization of companion diagnostics and may not be successful in developing and commercializing appropriate companion diagnostics to pair with any of our drug candidates that receive marketing approval. Companion diagnostics are subject to regulation by the FDA and similar regulatory authorities outside the United States as medical devices and require separate regulatory approval prior to commercialization. Given our limited experience in developing and commercializing companion diagnostics, we expect to rely on Ventana to design, manufacture, obtain regulatory approval for and commercialize the companion diagnostic for BLU-554, and we expect to rely in whole or in part on other third parties to design, manufacture, obtain regulatory approval for and commercialize any other companion diagnostics for our drug candidates. We and our collaborators, including Ventana, may encounter difficulties in developing and obtaining approval for the companion diagnostics, including issues relating to selectivity/specificity, analytical validation, reproducibility, or clinical validation. In addition, our collaborators for any companion diagnostic that we may seek to develop, our collaborators, including Ventana:</w:t>
      </w:r>
    </w:p>
    <w:p>
      <w:pPr>
        <w:spacing w:after="0" w:line="16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·may not perform their respective obligations as expected or as required under our agreements with them;</w:t>
      </w:r>
    </w:p>
    <w:p>
      <w:pPr>
        <w:spacing w:after="0" w:line="185" w:lineRule="exact"/>
        <w:rPr>
          <w:sz w:val="20"/>
          <w:szCs w:val="20"/>
          <w:color w:val="auto"/>
        </w:rPr>
      </w:pP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·may not pursue commercialization of a companion diagnostic test even if it receives any required regulatory approvals;</w:t>
      </w:r>
    </w:p>
    <w:p>
      <w:pPr>
        <w:spacing w:after="0" w:line="158" w:lineRule="exact"/>
        <w:rPr>
          <w:sz w:val="20"/>
          <w:szCs w:val="20"/>
          <w:color w:val="auto"/>
        </w:rPr>
      </w:pPr>
    </w:p>
    <w:p>
      <w:pPr>
        <w:ind w:left="1020" w:right="260" w:hanging="53"/>
        <w:spacing w:after="0" w:line="226" w:lineRule="auto"/>
        <w:rPr>
          <w:sz w:val="20"/>
          <w:szCs w:val="20"/>
          <w:color w:val="auto"/>
        </w:rPr>
      </w:pPr>
      <w:r>
        <w:rPr>
          <w:rFonts w:ascii="Times New Roman" w:cs="Times New Roman" w:eastAsia="Times New Roman" w:hAnsi="Times New Roman"/>
          <w:sz w:val="18"/>
          <w:szCs w:val="18"/>
          <w:color w:val="auto"/>
        </w:rPr>
        <w:t>·may elect not to continue the development of a companion diagnostic test based on changes in their or other third parties’ strategic focus or available funding, or external factors such as an acquisition, that divert resources or create competing priorities;</w:t>
      </w:r>
    </w:p>
    <w:p>
      <w:pPr>
        <w:spacing w:after="0" w:line="158" w:lineRule="exact"/>
        <w:rPr>
          <w:sz w:val="20"/>
          <w:szCs w:val="20"/>
          <w:color w:val="auto"/>
        </w:rPr>
      </w:pPr>
    </w:p>
    <w:p>
      <w:pPr>
        <w:ind w:left="980" w:right="140"/>
        <w:spacing w:after="0" w:line="454" w:lineRule="auto"/>
        <w:rPr>
          <w:sz w:val="20"/>
          <w:szCs w:val="20"/>
          <w:color w:val="auto"/>
        </w:rPr>
      </w:pPr>
      <w:r>
        <w:rPr>
          <w:rFonts w:ascii="Times New Roman" w:cs="Times New Roman" w:eastAsia="Times New Roman" w:hAnsi="Times New Roman"/>
          <w:sz w:val="18"/>
          <w:szCs w:val="18"/>
          <w:color w:val="auto"/>
        </w:rPr>
        <w:t>·may not commit sufficient resources to the marketing and distribution of the a companion diagnostic test; and · may terminate their relationship with us.</w:t>
      </w:r>
    </w:p>
    <w:p>
      <w:pPr>
        <w:ind w:right="180" w:firstLine="648"/>
        <w:spacing w:after="0" w:line="220" w:lineRule="auto"/>
        <w:rPr>
          <w:sz w:val="20"/>
          <w:szCs w:val="20"/>
          <w:color w:val="auto"/>
        </w:rPr>
      </w:pPr>
      <w:r>
        <w:rPr>
          <w:rFonts w:ascii="Times New Roman" w:cs="Times New Roman" w:eastAsia="Times New Roman" w:hAnsi="Times New Roman"/>
          <w:sz w:val="18"/>
          <w:szCs w:val="18"/>
          <w:color w:val="auto"/>
        </w:rPr>
        <w:t>Any delay or failure by us or our collaborators, including Ventana, to develop or obtain regulatory approval of the companion diagnostics could delay or prevent approval of our drug candidates. If we, or any third parties that we engage to assist us, including Ventana, are unable to successfully develop and commercialize companion diagnostics for our drug candidates, or experience delays in doing so:</w:t>
      </w:r>
    </w:p>
    <w:p>
      <w:pPr>
        <w:spacing w:after="0" w:line="159" w:lineRule="exact"/>
        <w:rPr>
          <w:sz w:val="20"/>
          <w:szCs w:val="20"/>
          <w:color w:val="auto"/>
        </w:rPr>
      </w:pPr>
    </w:p>
    <w:p>
      <w:pPr>
        <w:ind w:left="1020" w:right="400" w:hanging="53"/>
        <w:spacing w:after="0" w:line="237" w:lineRule="auto"/>
        <w:rPr>
          <w:sz w:val="20"/>
          <w:szCs w:val="20"/>
          <w:color w:val="auto"/>
        </w:rPr>
      </w:pPr>
      <w:r>
        <w:rPr>
          <w:rFonts w:ascii="Times New Roman" w:cs="Times New Roman" w:eastAsia="Times New Roman" w:hAnsi="Times New Roman"/>
          <w:sz w:val="18"/>
          <w:szCs w:val="18"/>
          <w:color w:val="auto"/>
        </w:rPr>
        <w:t>·the development of our drug candidates may be adversely affected if we are unable to appropriately select patients for enrollment in our clinical trials;</w:t>
      </w:r>
    </w:p>
    <w:p>
      <w:pPr>
        <w:spacing w:after="0" w:line="158" w:lineRule="exact"/>
        <w:rPr>
          <w:sz w:val="20"/>
          <w:szCs w:val="20"/>
          <w:color w:val="auto"/>
        </w:rPr>
      </w:pPr>
    </w:p>
    <w:p>
      <w:pPr>
        <w:ind w:left="1020" w:right="680" w:hanging="53"/>
        <w:spacing w:after="0" w:line="237" w:lineRule="auto"/>
        <w:rPr>
          <w:sz w:val="20"/>
          <w:szCs w:val="20"/>
          <w:color w:val="auto"/>
        </w:rPr>
      </w:pPr>
      <w:r>
        <w:rPr>
          <w:rFonts w:ascii="Times New Roman" w:cs="Times New Roman" w:eastAsia="Times New Roman" w:hAnsi="Times New Roman"/>
          <w:sz w:val="18"/>
          <w:szCs w:val="18"/>
          <w:color w:val="auto"/>
        </w:rPr>
        <w:t xml:space="preserve">·our drug candidates may not receive marketing approval if safe and effective use of a therapeutic drug candidate depends on an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diagnostic; and</w:t>
      </w:r>
    </w:p>
    <w:p>
      <w:pPr>
        <w:spacing w:after="0" w:line="158" w:lineRule="exact"/>
        <w:rPr>
          <w:sz w:val="20"/>
          <w:szCs w:val="20"/>
          <w:color w:val="auto"/>
        </w:rPr>
      </w:pPr>
    </w:p>
    <w:p>
      <w:pPr>
        <w:ind w:left="1020" w:right="60" w:hanging="53"/>
        <w:spacing w:after="0" w:line="226" w:lineRule="auto"/>
        <w:rPr>
          <w:sz w:val="20"/>
          <w:szCs w:val="20"/>
          <w:color w:val="auto"/>
        </w:rPr>
      </w:pPr>
      <w:r>
        <w:rPr>
          <w:rFonts w:ascii="Times New Roman" w:cs="Times New Roman" w:eastAsia="Times New Roman" w:hAnsi="Times New Roman"/>
          <w:sz w:val="18"/>
          <w:szCs w:val="18"/>
          <w:color w:val="auto"/>
        </w:rPr>
        <w:t>·we may not realize the full commercial potential of any drug candidates that receive marketing approval if, among other reasons, we are unable to appropriately select patients who are likely to benefit from therapy with our drugs.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result, our business would be harmed, possibly materially.</w:t>
      </w:r>
    </w:p>
    <w:p>
      <w:pPr>
        <w:spacing w:after="0" w:line="185" w:lineRule="exact"/>
        <w:rPr>
          <w:sz w:val="20"/>
          <w:szCs w:val="20"/>
          <w:color w:val="auto"/>
        </w:rPr>
      </w:pPr>
    </w:p>
    <w:p>
      <w:pPr>
        <w:ind w:right="140" w:firstLine="648"/>
        <w:spacing w:after="0" w:line="214" w:lineRule="auto"/>
        <w:rPr>
          <w:sz w:val="20"/>
          <w:szCs w:val="20"/>
          <w:color w:val="auto"/>
        </w:rPr>
      </w:pPr>
      <w:r>
        <w:rPr>
          <w:rFonts w:ascii="Times New Roman" w:cs="Times New Roman" w:eastAsia="Times New Roman" w:hAnsi="Times New Roman"/>
          <w:sz w:val="18"/>
          <w:szCs w:val="18"/>
          <w:color w:val="auto"/>
        </w:rPr>
        <w:t>In addition, third party collaborators, including Ventana, may encounter production difficulties that could constrain the supply of the companion diagnostics, and both they and we may have difficulties gaining acceptance of the use of the companion diagnostics in the clinical community. If such companion diagnostics fail to gain market acceptance, it would have an adverse effect on our ability to derive revenues from sales of our drug candidates, if approved. In addition, the diagnostic company with whom we contract may decide to discontinue selling or manufacturing the companion diagnostic that we anticipate using in connection with development and</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20"/>
        <w:spacing w:after="0" w:line="233" w:lineRule="auto"/>
        <w:rPr>
          <w:sz w:val="20"/>
          <w:szCs w:val="20"/>
          <w:color w:val="auto"/>
        </w:rPr>
      </w:pPr>
      <w:r>
        <w:rPr>
          <w:rFonts w:ascii="Times New Roman" w:cs="Times New Roman" w:eastAsia="Times New Roman" w:hAnsi="Times New Roman"/>
          <w:sz w:val="17"/>
          <w:szCs w:val="17"/>
          <w:color w:val="auto"/>
        </w:rPr>
        <w:t>commercialization of our drug candidates or our relationship with such diagnostic company may otherwise terminate. We may not be able to enter into arrangements with another diagnostic company to obtain supplies of an alternative diagnostic test for use in connection with the development and commercialization of our drug candidates or do so on commercially reasonable terms, which could adversely affect and/or delay the development or commercialization of our drug candidates.</w:t>
      </w:r>
    </w:p>
    <w:p>
      <w:pPr>
        <w:spacing w:after="0" w:line="155" w:lineRule="exact"/>
        <w:rPr>
          <w:sz w:val="20"/>
          <w:szCs w:val="20"/>
          <w:color w:val="auto"/>
        </w:rPr>
      </w:pPr>
    </w:p>
    <w:p>
      <w:pPr>
        <w:ind w:right="66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Even if we are able to commercialize any drug candidates, such drugs may become subject to unfavorable pricing regulations or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coverage and reimbursement policies, which would harm our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921385</wp:posOffset>
            </wp:positionH>
            <wp:positionV relativeFrom="paragraph">
              <wp:posOffset>-99060</wp:posOffset>
            </wp:positionV>
            <wp:extent cx="64135" cy="393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drug candidate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drug candidates, even if our drug candidates obtain marketing approval.</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Our ability to commercialize any drug candidates successfully also will depend in part on the extent to which coverage and reimbursement for these drug candidates and related treatments will be available from government authorities, private health insurers and other organizations.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such as private health insurers and health maintenance organizations, decide which medications they will pay for and establish reimbursement levels. A primary trend in the U.S. healthcare industry and elsewhere is cost containment. Government authorities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have attempted to control costs by limiting coverage and the amount of reimbursement for particular drugs. Increasingly,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are requiring that drug companies provide them with predetermined discounts from list prices and are challenging the prices charged for drugs. We cannot be sure that coverage will be available for any drug candidate that we commercialize and, if coverage is available, the level of reimbursement. Reimbursement may impact the demand for, or the price of, any drug candidate for which we obtain marketing approval. If reimbursement is not available or is available only to limited levels, we may not be able to successfully commercialize any drug candidate for which we obtain marketing approval.</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may be significant delays in obtaining reimbursement for newly approved drugs, and coverage may be more</w:t>
      </w:r>
    </w:p>
    <w:p>
      <w:pPr>
        <w:spacing w:after="0" w:line="203" w:lineRule="auto"/>
        <w:rPr>
          <w:sz w:val="20"/>
          <w:szCs w:val="20"/>
          <w:color w:val="auto"/>
        </w:rPr>
      </w:pPr>
      <w:r>
        <w:rPr>
          <w:rFonts w:ascii="Times New Roman" w:cs="Times New Roman" w:eastAsia="Times New Roman" w:hAnsi="Times New Roman"/>
          <w:sz w:val="18"/>
          <w:szCs w:val="18"/>
          <w:color w:val="auto"/>
        </w:rPr>
        <w:t>limited than the purposes for which the drug is approved by the FDA or similar regulatory authorities outside the United</w:t>
      </w:r>
    </w:p>
    <w:p>
      <w:pPr>
        <w:spacing w:after="0" w:line="204" w:lineRule="auto"/>
        <w:rPr>
          <w:sz w:val="20"/>
          <w:szCs w:val="20"/>
          <w:color w:val="auto"/>
        </w:rPr>
      </w:pPr>
      <w:r>
        <w:rPr>
          <w:rFonts w:ascii="Times New Roman" w:cs="Times New Roman" w:eastAsia="Times New Roman" w:hAnsi="Times New Roman"/>
          <w:sz w:val="18"/>
          <w:szCs w:val="18"/>
          <w:color w:val="auto"/>
        </w:rPr>
        <w:t>States. Moreover, eligibility for reimbursement does not imply that any drug will be paid for in all cases or at a rate that</w:t>
      </w:r>
    </w:p>
    <w:p>
      <w:pPr>
        <w:spacing w:after="0" w:line="203" w:lineRule="auto"/>
        <w:rPr>
          <w:sz w:val="20"/>
          <w:szCs w:val="20"/>
          <w:color w:val="auto"/>
        </w:rPr>
      </w:pPr>
      <w:r>
        <w:rPr>
          <w:rFonts w:ascii="Times New Roman" w:cs="Times New Roman" w:eastAsia="Times New Roman" w:hAnsi="Times New Roman"/>
          <w:sz w:val="18"/>
          <w:szCs w:val="18"/>
          <w:color w:val="auto"/>
        </w:rPr>
        <w:t>covers our costs, including research, development, manufacture, sale and distribution. Interim reimbursement levels for new</w:t>
      </w:r>
    </w:p>
    <w:p>
      <w:pPr>
        <w:spacing w:after="0" w:line="204" w:lineRule="auto"/>
        <w:rPr>
          <w:sz w:val="20"/>
          <w:szCs w:val="20"/>
          <w:color w:val="auto"/>
        </w:rPr>
      </w:pPr>
      <w:r>
        <w:rPr>
          <w:rFonts w:ascii="Times New Roman" w:cs="Times New Roman" w:eastAsia="Times New Roman" w:hAnsi="Times New Roman"/>
          <w:sz w:val="18"/>
          <w:szCs w:val="18"/>
          <w:color w:val="auto"/>
        </w:rPr>
        <w:t>drugs, if applicable, may also not be sufficient to cover our costs and may not be made permanent. Reimbursement rates may</w:t>
      </w:r>
    </w:p>
    <w:p>
      <w:pPr>
        <w:spacing w:after="0" w:line="203" w:lineRule="auto"/>
        <w:rPr>
          <w:sz w:val="20"/>
          <w:szCs w:val="20"/>
          <w:color w:val="auto"/>
        </w:rPr>
      </w:pPr>
      <w:r>
        <w:rPr>
          <w:rFonts w:ascii="Times New Roman" w:cs="Times New Roman" w:eastAsia="Times New Roman" w:hAnsi="Times New Roman"/>
          <w:sz w:val="18"/>
          <w:szCs w:val="18"/>
          <w:color w:val="auto"/>
        </w:rPr>
        <w:t>vary according to the use of the drug and the clinical setting in which it is used, may be based on reimbursement levels</w:t>
      </w:r>
    </w:p>
    <w:p>
      <w:pPr>
        <w:spacing w:after="0" w:line="204" w:lineRule="auto"/>
        <w:rPr>
          <w:sz w:val="20"/>
          <w:szCs w:val="20"/>
          <w:color w:val="auto"/>
        </w:rPr>
      </w:pPr>
      <w:r>
        <w:rPr>
          <w:rFonts w:ascii="Times New Roman" w:cs="Times New Roman" w:eastAsia="Times New Roman" w:hAnsi="Times New Roman"/>
          <w:sz w:val="18"/>
          <w:szCs w:val="18"/>
          <w:color w:val="auto"/>
        </w:rPr>
        <w:t>already set for lower cost drugs and may be incorporated into existing payments for other services. Net prices for drugs may</w:t>
      </w:r>
    </w:p>
    <w:p>
      <w:pPr>
        <w:spacing w:after="0" w:line="204" w:lineRule="auto"/>
        <w:rPr>
          <w:sz w:val="20"/>
          <w:szCs w:val="20"/>
          <w:color w:val="auto"/>
        </w:rPr>
      </w:pPr>
      <w:r>
        <w:rPr>
          <w:rFonts w:ascii="Times New Roman" w:cs="Times New Roman" w:eastAsia="Times New Roman" w:hAnsi="Times New Roman"/>
          <w:sz w:val="18"/>
          <w:szCs w:val="18"/>
          <w:color w:val="auto"/>
        </w:rPr>
        <w:t>be reduced by mandatory discounts or rebates required by government healthcare programs or private payors and by any</w:t>
      </w:r>
    </w:p>
    <w:p>
      <w:pPr>
        <w:spacing w:after="0" w:line="215" w:lineRule="auto"/>
        <w:rPr>
          <w:sz w:val="20"/>
          <w:szCs w:val="20"/>
          <w:color w:val="auto"/>
        </w:rPr>
      </w:pPr>
      <w:r>
        <w:rPr>
          <w:rFonts w:ascii="Times New Roman" w:cs="Times New Roman" w:eastAsia="Times New Roman" w:hAnsi="Times New Roman"/>
          <w:sz w:val="17"/>
          <w:szCs w:val="17"/>
          <w:color w:val="auto"/>
        </w:rPr>
        <w:t>future relaxation of laws that presently restrict imports of drugs from countries where they may be sold at lower prices than in</w:t>
      </w:r>
    </w:p>
    <w:p>
      <w:pPr>
        <w:spacing w:after="0" w:line="176" w:lineRule="exact"/>
        <w:rPr>
          <w:sz w:val="20"/>
          <w:szCs w:val="20"/>
          <w:color w:val="auto"/>
        </w:rPr>
      </w:pPr>
      <w:r>
        <w:rPr>
          <w:rFonts w:ascii="Times New Roman" w:cs="Times New Roman" w:eastAsia="Times New Roman" w:hAnsi="Times New Roman"/>
          <w:sz w:val="18"/>
          <w:szCs w:val="18"/>
          <w:color w:val="auto"/>
        </w:rPr>
        <w:t>the United States.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often rely upon Medicare coverage policy and payment limitations in setting their own</w:t>
      </w:r>
    </w:p>
    <w:p>
      <w:pPr>
        <w:spacing w:after="0" w:line="203" w:lineRule="auto"/>
        <w:rPr>
          <w:sz w:val="20"/>
          <w:szCs w:val="20"/>
          <w:color w:val="auto"/>
        </w:rPr>
      </w:pPr>
      <w:r>
        <w:rPr>
          <w:rFonts w:ascii="Times New Roman" w:cs="Times New Roman" w:eastAsia="Times New Roman" w:hAnsi="Times New Roman"/>
          <w:sz w:val="18"/>
          <w:szCs w:val="18"/>
          <w:color w:val="auto"/>
        </w:rPr>
        <w:t>reimbursement policies. Our inability to promptly obtain coverage and profitable payment rates from both</w:t>
      </w:r>
    </w:p>
    <w:p>
      <w:pPr>
        <w:spacing w:after="0" w:line="176" w:lineRule="exact"/>
        <w:rPr>
          <w:sz w:val="20"/>
          <w:szCs w:val="20"/>
          <w:color w:val="auto"/>
        </w:rPr>
      </w:pPr>
      <w:r>
        <w:rPr>
          <w:rFonts w:ascii="Times New Roman" w:cs="Times New Roman" w:eastAsia="Times New Roman" w:hAnsi="Times New Roman"/>
          <w:sz w:val="18"/>
          <w:szCs w:val="18"/>
          <w:color w:val="auto"/>
        </w:rPr>
        <w:t>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funded and private payors for any approved drugs that we develop could have a material adverse effect on our</w:t>
      </w:r>
    </w:p>
    <w:p>
      <w:pPr>
        <w:spacing w:after="0"/>
        <w:rPr>
          <w:sz w:val="20"/>
          <w:szCs w:val="20"/>
          <w:color w:val="auto"/>
        </w:rPr>
      </w:pPr>
      <w:r>
        <w:rPr>
          <w:rFonts w:ascii="Times New Roman" w:cs="Times New Roman" w:eastAsia="Times New Roman" w:hAnsi="Times New Roman"/>
          <w:sz w:val="18"/>
          <w:szCs w:val="18"/>
          <w:color w:val="auto"/>
        </w:rPr>
        <w:t>operating results, our ability to raise capital needed to commercialize drugs and our overall financial condition.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legislative reform measures may have a material adverse effect on our business and results of operations.</w:t>
      </w:r>
    </w:p>
    <w:p>
      <w:pPr>
        <w:spacing w:after="0" w:line="189" w:lineRule="exact"/>
        <w:rPr>
          <w:sz w:val="20"/>
          <w:szCs w:val="20"/>
          <w:color w:val="auto"/>
        </w:rPr>
      </w:pPr>
    </w:p>
    <w:p>
      <w:pPr>
        <w:ind w:right="300" w:firstLine="648"/>
        <w:spacing w:after="0" w:line="184" w:lineRule="exact"/>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or the Affordable Care Act, was passed, which substantially changes the way health care is financed by both governmental and private insurers, and significantly impacts the U.S. pharmaceutical industry. The Affordable Care Act, among other things, subjects biologic products to potential competition by lower</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cost biosimilars, addresses a new methodology by which rebates owed by manufacturers under the Medicaid Drug Rebate Program are calculated for drugs that are inhaled, infused, instilled, implanted or injected, increases the minimum Medicaid rebates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spacing w:after="0" w:line="188" w:lineRule="exact"/>
        <w:rPr>
          <w:sz w:val="20"/>
          <w:szCs w:val="20"/>
          <w:color w:val="auto"/>
        </w:rPr>
      </w:pPr>
      <w:r>
        <w:rPr>
          <w:rFonts w:ascii="Times New Roman" w:cs="Times New Roman" w:eastAsia="Times New Roman" w:hAnsi="Times New Roman"/>
          <w:sz w:val="18"/>
          <w:szCs w:val="18"/>
          <w:color w:val="auto"/>
        </w:rPr>
        <w:t>owed by manufacturers under the Medicaid Drug Rebate Program and extends the rebate program to individuals enrolled in Medicaid managed care organizations, establishes annual fees and taxes on manufacturers of certain branded prescription drugs, and a new Medicare Part D coverage gap discount program, in which manufacturers must agree to offer 50% point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sale discounts off negotiated prices of applicable brand drugs to eligible beneficiaries during their coverage gap period, as a condition for the manufacturer’s outpatient drugs to be covered under Medicare Part D.</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Affordable Care Act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 fiscal year. These reductions went into effect on April 1, 2013 and, due to subsequent legislative amendments to the statute, will remain in effect through 2024 unless additional Congressional action is taken. On January 2, 2013, the American Taxpayer Relief Act of 2012 was signed into law, which, among other things, further reduced Medicare payments to several types of providers.</w:t>
      </w:r>
    </w:p>
    <w:p>
      <w:pPr>
        <w:spacing w:after="0" w:line="158"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Moreover, payment methodologies may be subject to changes in healthcare legislation and regulatory initiatives. For example, the Middle Class Tax Relief and Job Creation Act of 2012 required that the Centers for Medicare &amp; Medicaid Services, the agency responsible for administering the Medicare program, or CMS, reduce the Medicare clinical laboratory fee schedule by 2% in 2013, which served as a base for 2014 and subsequent years. In addition, effective January 1, 2014, CMS also began bundling the Medicare payments for certain laboratory tests ordered while a patient received services in a hospital outpatient setting.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companion diagnostics or additional pricing pressures.</w:t>
      </w:r>
    </w:p>
    <w:p>
      <w:pPr>
        <w:spacing w:after="0" w:line="154" w:lineRule="exact"/>
        <w:rPr>
          <w:sz w:val="20"/>
          <w:szCs w:val="20"/>
          <w:color w:val="auto"/>
        </w:rPr>
      </w:pPr>
    </w:p>
    <w:p>
      <w:pPr>
        <w:jc w:val="both"/>
        <w:ind w:right="12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If, in the future, we are unable to establish sales and marketing capabilities or enter into agreements with third parties to sell and market our drug candidates, we may not be successful in commercializing our drug candidates if and when they are approved, and we may not be able to generate any revenue.</w:t>
      </w:r>
    </w:p>
    <w:p>
      <w:pPr>
        <w:spacing w:after="0" w:line="159" w:lineRule="exact"/>
        <w:rPr>
          <w:sz w:val="20"/>
          <w:szCs w:val="20"/>
          <w:color w:val="auto"/>
        </w:rPr>
      </w:pPr>
    </w:p>
    <w:p>
      <w:pPr>
        <w:ind w:right="40" w:firstLine="648"/>
        <w:spacing w:after="0" w:line="185" w:lineRule="exact"/>
        <w:rPr>
          <w:sz w:val="20"/>
          <w:szCs w:val="20"/>
          <w:color w:val="auto"/>
        </w:rPr>
      </w:pPr>
      <w:r>
        <w:rPr>
          <w:rFonts w:ascii="Times New Roman" w:cs="Times New Roman" w:eastAsia="Times New Roman" w:hAnsi="Times New Roman"/>
          <w:sz w:val="18"/>
          <w:szCs w:val="18"/>
          <w:color w:val="auto"/>
        </w:rPr>
        <w:t>We do not currently have a sales or marketing infrastructure and have limited experience in the sale, marketing or distribution of drugs. To achieve commercial success for any approved drug candidate for which we retain sales and marketing responsibilities, we must build our sales, marketing, managerial, and other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technical capabilities or make arrangements with third parties to perform these services. In the future, we may choose to build a focused sales and marketing infrastructure to sell, or participate in sales activities with our collaborators for, some of our drug candidates if and when they are approved.</w:t>
      </w:r>
    </w:p>
    <w:p>
      <w:pPr>
        <w:spacing w:after="0" w:line="162"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 consuming and could delay any drug launch. If the commercial launch of a drug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inhibit our efforts to commercialize our drug candidates on our own include: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·our inability to recruit and retain adequate numbers of effective sales and marketing personnel;</w:t>
      </w:r>
    </w:p>
    <w:p>
      <w:pPr>
        <w:spacing w:after="0" w:line="185" w:lineRule="exact"/>
        <w:rPr>
          <w:sz w:val="20"/>
          <w:szCs w:val="20"/>
          <w:color w:val="auto"/>
        </w:rPr>
      </w:pPr>
    </w:p>
    <w:p>
      <w:pPr>
        <w:ind w:left="1020" w:right="240" w:hanging="53"/>
        <w:spacing w:after="0" w:line="237" w:lineRule="auto"/>
        <w:rPr>
          <w:sz w:val="20"/>
          <w:szCs w:val="20"/>
          <w:color w:val="auto"/>
        </w:rPr>
      </w:pPr>
      <w:r>
        <w:rPr>
          <w:rFonts w:ascii="Times New Roman" w:cs="Times New Roman" w:eastAsia="Times New Roman" w:hAnsi="Times New Roman"/>
          <w:sz w:val="18"/>
          <w:szCs w:val="18"/>
          <w:color w:val="auto"/>
        </w:rPr>
        <w:t>·the inability of sales personnel to obtain access to physicians or persuade adequate numbers of physicians to prescribe any future drugs;</w:t>
      </w:r>
    </w:p>
    <w:p>
      <w:pPr>
        <w:spacing w:after="0" w:line="158" w:lineRule="exact"/>
        <w:rPr>
          <w:sz w:val="20"/>
          <w:szCs w:val="20"/>
          <w:color w:val="auto"/>
        </w:rPr>
      </w:pPr>
    </w:p>
    <w:p>
      <w:pPr>
        <w:ind w:left="1020" w:right="780" w:hanging="53"/>
        <w:spacing w:after="0" w:line="237" w:lineRule="auto"/>
        <w:rPr>
          <w:sz w:val="20"/>
          <w:szCs w:val="20"/>
          <w:color w:val="auto"/>
        </w:rPr>
      </w:pPr>
      <w:r>
        <w:rPr>
          <w:rFonts w:ascii="Times New Roman" w:cs="Times New Roman" w:eastAsia="Times New Roman" w:hAnsi="Times New Roman"/>
          <w:sz w:val="18"/>
          <w:szCs w:val="18"/>
          <w:color w:val="auto"/>
        </w:rPr>
        <w:t>·the lack of complementary drugs to be offered by sales personnel, which may put us at a competitive disadvantage relative to companies with more extensive product lines; and</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12" w:lineRule="auto"/>
        <w:rPr>
          <w:sz w:val="20"/>
          <w:szCs w:val="20"/>
          <w:color w:val="auto"/>
        </w:rPr>
      </w:pPr>
      <w:r>
        <w:rPr>
          <w:rFonts w:ascii="Times New Roman" w:cs="Times New Roman" w:eastAsia="Times New Roman" w:hAnsi="Times New Roman"/>
          <w:sz w:val="18"/>
          <w:szCs w:val="18"/>
          <w:color w:val="auto"/>
        </w:rPr>
        <w:t>If we enter into arrangements with third parties to perform sales, marketing and distribution services, our drug revenues or the profitability of these drug revenues to us are likely to be lower than if we were to market and sell any drug candidates that we develop ourselves. In addition, we may not be successful in entering into arrangements with third parties to sell and market our drug candidates or may be unable to do so on terms that are favorable to us. We likely will have little control over such third parties, and any of them may fail to devote the necessary resources and attention to sell and market our drug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29" w:lineRule="exact"/>
        <w:rPr>
          <w:sz w:val="20"/>
          <w:szCs w:val="20"/>
          <w:color w:val="auto"/>
        </w:rPr>
      </w:pPr>
    </w:p>
    <w:p>
      <w:pPr>
        <w:ind w:right="80"/>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Our relationships with customers and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payors will be subject to applicable 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kickback, fraud and abuse and other healthcare laws and regulations, which could expose us to criminal sanctions, civil penalties, exclusion from government healthcare programs, contractual damages, reputational harm and diminished profits and future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-309245</wp:posOffset>
            </wp:positionV>
            <wp:extent cx="64135" cy="393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-309245</wp:posOffset>
            </wp:positionV>
            <wp:extent cx="64135" cy="393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38"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Although we do not currently have any drugs on the market, once we begin commercializing our drug candidates, we will be subject to additional healthcare statutory and regulatory requirements and enforcement by the federal government and the states and foreign governments in which we conduct our business. Healthcare providers, physicians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play a primary role in the recommendation and prescription of any drug candidates for which we obtain marketing approval. Our future arrangements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and customers may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29" w:lineRule="exact"/>
        <w:rPr>
          <w:sz w:val="20"/>
          <w:szCs w:val="20"/>
          <w:color w:val="auto"/>
        </w:rPr>
      </w:pPr>
    </w:p>
    <w:p>
      <w:pPr>
        <w:ind w:left="380" w:right="80" w:hanging="53"/>
        <w:spacing w:after="0" w:line="193" w:lineRule="exact"/>
        <w:rPr>
          <w:sz w:val="20"/>
          <w:szCs w:val="20"/>
          <w:color w:val="auto"/>
        </w:rPr>
      </w:pPr>
      <w:r>
        <w:rPr>
          <w:rFonts w:ascii="Times New Roman" w:cs="Times New Roman" w:eastAsia="Times New Roman" w:hAnsi="Times New Roman"/>
          <w:sz w:val="18"/>
          <w:szCs w:val="18"/>
          <w:color w:val="auto"/>
        </w:rPr>
        <w:t>·the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61" w:lineRule="exact"/>
        <w:rPr>
          <w:sz w:val="20"/>
          <w:szCs w:val="20"/>
          <w:color w:val="auto"/>
        </w:rPr>
      </w:pPr>
    </w:p>
    <w:p>
      <w:pPr>
        <w:ind w:left="380" w:hanging="53"/>
        <w:spacing w:after="0" w:line="185" w:lineRule="exact"/>
        <w:rPr>
          <w:sz w:val="20"/>
          <w:szCs w:val="20"/>
          <w:color w:val="auto"/>
        </w:rPr>
      </w:pPr>
      <w:r>
        <w:rPr>
          <w:rFonts w:ascii="Times New Roman" w:cs="Times New Roman" w:eastAsia="Times New Roman" w:hAnsi="Times New Roman"/>
          <w:sz w:val="18"/>
          <w:szCs w:val="18"/>
          <w:color w:val="auto"/>
        </w:rPr>
        <w:t>·the federal False Claims Act imposes criminal and civil penalties, including through civil whistleblower or qui tam actions, against individuals or entities for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Statute constitutes a false or fraudulent claim for purposes of the False Claims Act;</w:t>
      </w:r>
    </w:p>
    <w:p>
      <w:pPr>
        <w:spacing w:after="0" w:line="162" w:lineRule="exact"/>
        <w:rPr>
          <w:sz w:val="20"/>
          <w:szCs w:val="20"/>
          <w:color w:val="auto"/>
        </w:rPr>
      </w:pPr>
    </w:p>
    <w:p>
      <w:pPr>
        <w:ind w:left="380" w:right="80" w:hanging="53"/>
        <w:spacing w:after="0" w:line="187" w:lineRule="exact"/>
        <w:rPr>
          <w:sz w:val="20"/>
          <w:szCs w:val="20"/>
          <w:color w:val="auto"/>
        </w:rPr>
      </w:pPr>
      <w:r>
        <w:rPr>
          <w:rFonts w:ascii="Times New Roman" w:cs="Times New Roman" w:eastAsia="Times New Roman" w:hAnsi="Times New Roman"/>
          <w:sz w:val="17"/>
          <w:szCs w:val="17"/>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Kickback Statute, a person or entity does not need to have actual knowledge of the statute or specific intent to violate it in order to have committed a violation;</w:t>
      </w:r>
    </w:p>
    <w:p>
      <w:pPr>
        <w:spacing w:after="0" w:line="161" w:lineRule="exact"/>
        <w:rPr>
          <w:sz w:val="20"/>
          <w:szCs w:val="20"/>
          <w:color w:val="auto"/>
        </w:rPr>
      </w:pPr>
    </w:p>
    <w:p>
      <w:pPr>
        <w:ind w:left="380" w:right="420" w:hanging="53"/>
        <w:spacing w:after="0" w:line="217" w:lineRule="auto"/>
        <w:rPr>
          <w:sz w:val="20"/>
          <w:szCs w:val="20"/>
          <w:color w:val="auto"/>
        </w:rPr>
      </w:pPr>
      <w:r>
        <w:rPr>
          <w:rFonts w:ascii="Times New Roman" w:cs="Times New Roman" w:eastAsia="Times New Roman" w:hAnsi="Times New Roman"/>
          <w:sz w:val="18"/>
          <w:szCs w:val="18"/>
          <w:color w:val="auto"/>
        </w:rPr>
        <w:t>·the federal physician payment transparency requirements, sometimes referred to as the “Sunshine Act” under the Affordable Care Act require manufacturers of drugs, devices, biologics and medical supplies that are reimbursable under Medicare, Medicaid, or the Children’s Health Insurance Program to report to the Department of Health and Human Services information related to physician payments and other transfers of value and the ownership and investment interests of such physicians and their immediate family members;</w:t>
      </w:r>
    </w:p>
    <w:p>
      <w:pPr>
        <w:spacing w:after="0" w:line="158" w:lineRule="exact"/>
        <w:rPr>
          <w:sz w:val="20"/>
          <w:szCs w:val="20"/>
          <w:color w:val="auto"/>
        </w:rPr>
      </w:pPr>
    </w:p>
    <w:p>
      <w:pPr>
        <w:ind w:left="380" w:right="140" w:hanging="53"/>
        <w:spacing w:after="0" w:line="220" w:lineRule="auto"/>
        <w:rPr>
          <w:sz w:val="20"/>
          <w:szCs w:val="20"/>
          <w:color w:val="auto"/>
        </w:rPr>
      </w:pPr>
      <w:r>
        <w:rPr>
          <w:rFonts w:ascii="Times New Roman" w:cs="Times New Roman" w:eastAsia="Times New Roman" w:hAnsi="Times New Roman"/>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terms, with respect to safeguarding the privacy, security and transmission of individually identifiable health information; and</w:t>
      </w:r>
    </w:p>
    <w:p>
      <w:pPr>
        <w:spacing w:after="0" w:line="156" w:lineRule="exact"/>
        <w:rPr>
          <w:sz w:val="20"/>
          <w:szCs w:val="20"/>
          <w:color w:val="auto"/>
        </w:rPr>
      </w:pPr>
    </w:p>
    <w:p>
      <w:pPr>
        <w:ind w:left="380" w:right="40" w:hanging="53"/>
        <w:spacing w:after="0" w:line="187" w:lineRule="exact"/>
        <w:rPr>
          <w:sz w:val="20"/>
          <w:szCs w:val="20"/>
          <w:color w:val="auto"/>
        </w:rPr>
      </w:pPr>
      <w:r>
        <w:rPr>
          <w:rFonts w:ascii="Times New Roman" w:cs="Times New Roman" w:eastAsia="Times New Roman" w:hAnsi="Times New Roman"/>
          <w:sz w:val="18"/>
          <w:szCs w:val="18"/>
          <w:color w:val="auto"/>
        </w:rPr>
        <w:t>·analogous state laws and regulations, such as state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and false claims laws that may apply to sales or marketing arrangements and claims involving healthcare items or services reimbursed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governmental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and state laws governing the privacy and security of health information in certain circumstances, many of which differ from each other in significant ways and often are not preempted by HIPAA, thus complicating compliance efforts.</w:t>
      </w:r>
    </w:p>
    <w:p>
      <w:pPr>
        <w:spacing w:after="0" w:line="159" w:lineRule="exact"/>
        <w:rPr>
          <w:sz w:val="20"/>
          <w:szCs w:val="20"/>
          <w:color w:val="auto"/>
        </w:rPr>
      </w:pPr>
    </w:p>
    <w:p>
      <w:pPr>
        <w:ind w:right="80" w:firstLine="648"/>
        <w:spacing w:after="0" w:line="210" w:lineRule="auto"/>
        <w:rPr>
          <w:sz w:val="20"/>
          <w:szCs w:val="20"/>
          <w:color w:val="auto"/>
        </w:rPr>
      </w:pPr>
      <w:r>
        <w:rPr>
          <w:rFonts w:ascii="Times New Roman" w:cs="Times New Roman" w:eastAsia="Times New Roman" w:hAnsi="Times New Roman"/>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or case law involving applicable fraud and abuse or other healthcare laws and regulations.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 funded healthcare programs, such as Medicare and Medicaid, and the curtailment or restructuring of our operations. If any of the physicians or other providers or entities with whom we expect to do business is found to be not in compliance with applicable laws, they may be subject to criminal, civil or administrative sanctions, including exclusions from government funded healthcare programs.</w:t>
      </w:r>
    </w:p>
    <w:p>
      <w:pPr>
        <w:spacing w:after="0" w:line="157" w:lineRule="exact"/>
        <w:rPr>
          <w:sz w:val="20"/>
          <w:szCs w:val="20"/>
          <w:color w:val="auto"/>
        </w:rPr>
      </w:pPr>
    </w:p>
    <w:p>
      <w:pPr>
        <w:ind w:right="680"/>
        <w:spacing w:after="0"/>
        <w:rPr>
          <w:sz w:val="20"/>
          <w:szCs w:val="20"/>
          <w:color w:val="auto"/>
        </w:rPr>
      </w:pPr>
      <w:r>
        <w:rPr>
          <w:rFonts w:ascii="Times New Roman" w:cs="Times New Roman" w:eastAsia="Times New Roman" w:hAnsi="Times New Roman"/>
          <w:sz w:val="18"/>
          <w:szCs w:val="18"/>
          <w:b w:val="1"/>
          <w:bCs w:val="1"/>
          <w:i w:val="1"/>
          <w:iCs w:val="1"/>
          <w:color w:val="auto"/>
        </w:rPr>
        <w:t>Our future growth may depend, in part, on our ability to penetrate foreign markets, where we would be subject to additional regulatory burdens and other risks and uncertainties.</w:t>
      </w:r>
    </w:p>
    <w:p>
      <w:pPr>
        <w:spacing w:after="0" w:line="157" w:lineRule="exact"/>
        <w:rPr>
          <w:sz w:val="20"/>
          <w:szCs w:val="20"/>
          <w:color w:val="auto"/>
        </w:rPr>
      </w:pPr>
    </w:p>
    <w:p>
      <w:pPr>
        <w:ind w:firstLine="648"/>
        <w:spacing w:after="0" w:line="212" w:lineRule="auto"/>
        <w:rPr>
          <w:sz w:val="20"/>
          <w:szCs w:val="20"/>
          <w:color w:val="auto"/>
        </w:rPr>
      </w:pPr>
      <w:r>
        <w:rPr>
          <w:rFonts w:ascii="Times New Roman" w:cs="Times New Roman" w:eastAsia="Times New Roman" w:hAnsi="Times New Roman"/>
          <w:sz w:val="18"/>
          <w:szCs w:val="18"/>
          <w:color w:val="auto"/>
        </w:rPr>
        <w:t>Our future profitability may depend, in part, on our ability to commercialize our drug candidates in foreign markets for which we may rely on collaboration with third parties. We are not permitted to market or promote any of our drug candidates before we receive regulatory approval from the applicable regulatory authority in that foreign market, and we may never receive such regulatory approval for any of our drug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drug candidates, and we cannot predict success in these jurisdictions. If we obtain approval of our drug candidates and ultimately commercialize our drug candidates in foreign markets, we would be subject to additional risks and uncertainties, including:</w:t>
      </w:r>
    </w:p>
    <w:p>
      <w:pPr>
        <w:spacing w:after="0" w:line="158" w:lineRule="exact"/>
        <w:rPr>
          <w:sz w:val="20"/>
          <w:szCs w:val="20"/>
          <w:color w:val="auto"/>
        </w:rPr>
      </w:pPr>
    </w:p>
    <w:p>
      <w:pPr>
        <w:ind w:left="980" w:right="1320"/>
        <w:spacing w:after="0" w:line="480" w:lineRule="auto"/>
        <w:rPr>
          <w:sz w:val="20"/>
          <w:szCs w:val="20"/>
          <w:color w:val="auto"/>
        </w:rPr>
      </w:pPr>
      <w:r>
        <w:rPr>
          <w:rFonts w:ascii="Times New Roman" w:cs="Times New Roman" w:eastAsia="Times New Roman" w:hAnsi="Times New Roman"/>
          <w:sz w:val="17"/>
          <w:szCs w:val="17"/>
          <w:color w:val="auto"/>
        </w:rPr>
        <w:t>·our customers’ ability to obtain reimbursement for our drug candidates in foreign markets; ·our inability to directly control commercial activities because we are relying on third parties;</w:t>
      </w:r>
    </w:p>
    <w:p>
      <w:pPr>
        <w:spacing w:after="0" w:line="1" w:lineRule="exact"/>
        <w:rPr>
          <w:sz w:val="20"/>
          <w:szCs w:val="20"/>
          <w:color w:val="auto"/>
        </w:rPr>
      </w:pPr>
    </w:p>
    <w:p>
      <w:pPr>
        <w:ind w:left="1020" w:right="960" w:hanging="53"/>
        <w:spacing w:after="0" w:line="237" w:lineRule="auto"/>
        <w:rPr>
          <w:sz w:val="20"/>
          <w:szCs w:val="20"/>
          <w:color w:val="auto"/>
        </w:rPr>
      </w:pPr>
      <w:r>
        <w:rPr>
          <w:rFonts w:ascii="Times New Roman" w:cs="Times New Roman" w:eastAsia="Times New Roman" w:hAnsi="Times New Roman"/>
          <w:sz w:val="18"/>
          <w:szCs w:val="18"/>
          <w:color w:val="auto"/>
        </w:rPr>
        <w:t>·the burden of complying with complex and changing foreign regulatory, tax, accounting and legal requirements;</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·different medical practices and customs in foreign countries affecting acceptance in the marketplace;</w:t>
      </w:r>
    </w:p>
    <w:p>
      <w:pPr>
        <w:spacing w:after="0" w:line="185" w:lineRule="exact"/>
        <w:rPr>
          <w:sz w:val="20"/>
          <w:szCs w:val="20"/>
          <w:color w:val="auto"/>
        </w:rPr>
      </w:pPr>
    </w:p>
    <w:p>
      <w:pPr>
        <w:ind w:left="1120" w:hanging="145"/>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or export licensing requirements;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accounts receivable collection times;</w:t>
      </w:r>
    </w:p>
    <w:p>
      <w:pPr>
        <w:spacing w:after="0" w:line="184" w:lineRule="exact"/>
        <w:rPr>
          <w:rFonts w:ascii="Times New Roman" w:cs="Times New Roman" w:eastAsia="Times New Roman" w:hAnsi="Times New Roman"/>
          <w:sz w:val="18"/>
          <w:szCs w:val="18"/>
          <w:color w:val="auto"/>
        </w:rPr>
      </w:pPr>
    </w:p>
    <w:p>
      <w:pPr>
        <w:ind w:left="1160" w:hanging="185"/>
        <w:spacing w:after="0"/>
        <w:tabs>
          <w:tab w:leader="none" w:pos="11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lead times for shipping;</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language barriers for technical training;</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·reduced protection of intellectual property rights in some foreign countries;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·the existence of additional potentially relevant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intellectual property rights;</w:t>
      </w:r>
    </w:p>
    <w:p>
      <w:pPr>
        <w:spacing w:after="0" w:line="21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foreign currency exchange rate fluctuations; and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interpretation of contractual provisions governed by foreign laws in the event of a contract dispute.</w:t>
      </w:r>
    </w:p>
    <w:p>
      <w:pPr>
        <w:spacing w:after="0" w:line="185" w:lineRule="exact"/>
        <w:rPr>
          <w:sz w:val="20"/>
          <w:szCs w:val="20"/>
          <w:color w:val="auto"/>
        </w:rPr>
      </w:pPr>
    </w:p>
    <w:p>
      <w:pPr>
        <w:ind w:right="240" w:firstLine="648"/>
        <w:spacing w:after="0" w:line="237" w:lineRule="auto"/>
        <w:rPr>
          <w:sz w:val="20"/>
          <w:szCs w:val="20"/>
          <w:color w:val="auto"/>
        </w:rPr>
      </w:pPr>
      <w:r>
        <w:rPr>
          <w:rFonts w:ascii="Times New Roman" w:cs="Times New Roman" w:eastAsia="Times New Roman" w:hAnsi="Times New Roman"/>
          <w:sz w:val="18"/>
          <w:szCs w:val="18"/>
          <w:color w:val="auto"/>
        </w:rPr>
        <w:t>Foreign sales of our drug candidates could also be adversely affected by the imposition of governmental controls, political and economic instability, trade restrictions and changes in tariffs.</w:t>
      </w:r>
    </w:p>
    <w:p>
      <w:pPr>
        <w:spacing w:after="0" w:line="154" w:lineRule="exact"/>
        <w:rPr>
          <w:sz w:val="20"/>
          <w:szCs w:val="20"/>
          <w:color w:val="auto"/>
        </w:rPr>
      </w:pPr>
    </w:p>
    <w:p>
      <w:pPr>
        <w:ind w:right="300"/>
        <w:spacing w:after="0"/>
        <w:rPr>
          <w:sz w:val="20"/>
          <w:szCs w:val="20"/>
          <w:color w:val="auto"/>
        </w:rPr>
      </w:pPr>
      <w:r>
        <w:rPr>
          <w:rFonts w:ascii="Times New Roman" w:cs="Times New Roman" w:eastAsia="Times New Roman" w:hAnsi="Times New Roman"/>
          <w:sz w:val="18"/>
          <w:szCs w:val="18"/>
          <w:b w:val="1"/>
          <w:bCs w:val="1"/>
          <w:i w:val="1"/>
          <w:iCs w:val="1"/>
          <w:color w:val="auto"/>
        </w:rPr>
        <w:t>Governments outside the United States tend to impose strict price controls, which may adversely affect our revenues, if any.</w:t>
      </w:r>
    </w:p>
    <w:p>
      <w:pPr>
        <w:spacing w:after="0" w:line="157" w:lineRule="exact"/>
        <w:rPr>
          <w:sz w:val="20"/>
          <w:szCs w:val="20"/>
          <w:color w:val="auto"/>
        </w:rPr>
      </w:pPr>
    </w:p>
    <w:p>
      <w:pPr>
        <w:ind w:firstLine="648"/>
        <w:spacing w:after="0" w:line="180" w:lineRule="exact"/>
        <w:rPr>
          <w:sz w:val="20"/>
          <w:szCs w:val="20"/>
          <w:color w:val="auto"/>
        </w:rPr>
      </w:pPr>
      <w:r>
        <w:rPr>
          <w:rFonts w:ascii="Times New Roman" w:cs="Times New Roman" w:eastAsia="Times New Roman" w:hAnsi="Times New Roman"/>
          <w:sz w:val="18"/>
          <w:szCs w:val="18"/>
          <w:color w:val="auto"/>
        </w:rPr>
        <w:t>In some countries, particularly countries in the European Union, the pricing of prescription pharmaceuticals is subject to governmental control. In these countries, pricing negotiations with governmental authorities can take considerable time after the receipt of marketing approval for a drug. To obtain reimbursement or pricing approval in some countries, we may be required to conduct a clinical trial that compares the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effectiveness of our drug candidate to other available therapies. If reimbursement of our drugs is unavailable or limited in scope or amount, or if pricing is set at unsatisfactory levels, our business could be materially harmed. In addition, the recent United Kingdom referendum on its membership in the European Union resulted in a majority of United Kingdom voters voting to exit the European Union, often referred to as Brexit. Brexit has already and may continue to adversely affect European and/or worldwide regulatory conditions. Brexit could lead to legal uncertainty and potentially divergent national laws and regulations, including those related to the pricing of prescription pharmaceuticals, as the United Kingdom determines which European Union laws to replicate or replace. If the United Kingdom were to significantly alter its regulations affecting the pricing of prescription pharmaceuticals, we could face significant new costs. As a result, Brexit could impair our ability to transact business in the European Union and the United Kingdom.</w:t>
      </w:r>
    </w:p>
    <w:p>
      <w:pPr>
        <w:spacing w:after="0" w:line="162" w:lineRule="exact"/>
        <w:rPr>
          <w:sz w:val="20"/>
          <w:szCs w:val="20"/>
          <w:color w:val="auto"/>
        </w:rPr>
      </w:pPr>
    </w:p>
    <w:p>
      <w:pPr>
        <w:ind w:right="480"/>
        <w:spacing w:after="0"/>
        <w:rPr>
          <w:sz w:val="20"/>
          <w:szCs w:val="20"/>
          <w:color w:val="auto"/>
        </w:rPr>
      </w:pPr>
      <w:r>
        <w:rPr>
          <w:rFonts w:ascii="Times New Roman" w:cs="Times New Roman" w:eastAsia="Times New Roman" w:hAnsi="Times New Roman"/>
          <w:sz w:val="18"/>
          <w:szCs w:val="18"/>
          <w:b w:val="1"/>
          <w:bCs w:val="1"/>
          <w:i w:val="1"/>
          <w:iCs w:val="1"/>
          <w:color w:val="auto"/>
        </w:rPr>
        <w:t>If we fail to comply with environmental, health and safety laws and regulations, we could become subject to fines or penalties or incur costs that could have a material adverse effect on the success of our business.</w:t>
      </w:r>
    </w:p>
    <w:p>
      <w:pPr>
        <w:spacing w:after="0" w:line="157" w:lineRule="exact"/>
        <w:rPr>
          <w:sz w:val="20"/>
          <w:szCs w:val="20"/>
          <w:color w:val="auto"/>
        </w:rPr>
      </w:pPr>
    </w:p>
    <w:p>
      <w:pPr>
        <w:ind w:right="20" w:firstLine="648"/>
        <w:spacing w:after="0" w:line="212" w:lineRule="auto"/>
        <w:rPr>
          <w:sz w:val="20"/>
          <w:szCs w:val="20"/>
          <w:color w:val="auto"/>
        </w:rPr>
      </w:pPr>
      <w:r>
        <w:rPr>
          <w:rFonts w:ascii="Times New Roman" w:cs="Times New Roman" w:eastAsia="Times New Roman" w:hAnsi="Times New Roman"/>
          <w:sz w:val="18"/>
          <w:szCs w:val="18"/>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and radioactive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58"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85"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57"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58" w:lineRule="exact"/>
        <w:rPr>
          <w:sz w:val="20"/>
          <w:szCs w:val="20"/>
          <w:color w:val="auto"/>
        </w:rPr>
      </w:pPr>
    </w:p>
    <w:p>
      <w:pPr>
        <w:ind w:right="60" w:firstLine="648"/>
        <w:spacing w:after="0" w:line="226" w:lineRule="auto"/>
        <w:rPr>
          <w:sz w:val="20"/>
          <w:szCs w:val="20"/>
          <w:color w:val="auto"/>
        </w:rPr>
      </w:pPr>
      <w:r>
        <w:rPr>
          <w:rFonts w:ascii="Times New Roman" w:cs="Times New Roman" w:eastAsia="Times New Roman" w:hAnsi="Times New Roman"/>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12" w:lineRule="auto"/>
        <w:rPr>
          <w:sz w:val="20"/>
          <w:szCs w:val="20"/>
          <w:color w:val="auto"/>
        </w:rPr>
      </w:pPr>
      <w:r>
        <w:rPr>
          <w:rFonts w:ascii="Times New Roman" w:cs="Times New Roman" w:eastAsia="Times New Roman" w:hAnsi="Times New Roman"/>
          <w:sz w:val="18"/>
          <w:szCs w:val="18"/>
          <w:color w:val="auto"/>
        </w:rPr>
        <w:t>Those factors may include the design or results of clinical trials, the likelihood of approval by the FDA or similar regulatory authorities outside the United States, the potential market for the subject drug candidate, the costs and complexities of manufacturing and delivering such drug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drug candidates or technologies for similar indications that may be available to collaborate on and whether such a collaboration could be more attractive than the one with us for our drug candidate. The terms of any additional collaborations or other arrangements that we may establish may not be favorable to us.</w:t>
      </w:r>
    </w:p>
    <w:p>
      <w:pPr>
        <w:spacing w:after="0" w:line="158" w:lineRule="exact"/>
        <w:rPr>
          <w:sz w:val="20"/>
          <w:szCs w:val="20"/>
          <w:color w:val="auto"/>
        </w:rPr>
      </w:pPr>
    </w:p>
    <w:p>
      <w:pPr>
        <w:ind w:right="160" w:firstLine="648"/>
        <w:spacing w:after="0" w:line="190" w:lineRule="exact"/>
        <w:rPr>
          <w:sz w:val="20"/>
          <w:szCs w:val="20"/>
          <w:color w:val="auto"/>
        </w:rPr>
      </w:pPr>
      <w:r>
        <w:rPr>
          <w:rFonts w:ascii="Times New Roman" w:cs="Times New Roman" w:eastAsia="Times New Roman" w:hAnsi="Times New Roman"/>
          <w:sz w:val="18"/>
          <w:szCs w:val="18"/>
          <w:color w:val="auto"/>
        </w:rPr>
        <w:t>We may also be restricted under existing collaboration agreements from entering into future agreements on certain terms with potential collaborators. Collaborations are complex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to negotiate and document. In addition, there have been a significant number of recent business combinations among large pharmaceutical companies that have resulted in a reduced number of potential future collaborators.</w:t>
      </w:r>
    </w:p>
    <w:p>
      <w:pPr>
        <w:spacing w:after="0" w:line="159" w:lineRule="exact"/>
        <w:rPr>
          <w:sz w:val="20"/>
          <w:szCs w:val="20"/>
          <w:color w:val="auto"/>
        </w:rPr>
      </w:pPr>
    </w:p>
    <w:p>
      <w:pPr>
        <w:ind w:right="120" w:firstLine="648"/>
        <w:spacing w:after="0" w:line="212" w:lineRule="auto"/>
        <w:rPr>
          <w:sz w:val="20"/>
          <w:szCs w:val="20"/>
          <w:color w:val="auto"/>
        </w:rPr>
      </w:pPr>
      <w:r>
        <w:rPr>
          <w:rFonts w:ascii="Times New Roman" w:cs="Times New Roman" w:eastAsia="Times New Roman" w:hAnsi="Times New Roman"/>
          <w:sz w:val="18"/>
          <w:szCs w:val="18"/>
          <w:color w:val="auto"/>
        </w:rPr>
        <w:t>We may not be able to negotiate additional collaborations on a timely basis, on acceptable terms, or at all. If we are unable to do so, we may have to curtail the development of the drug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drug candidates or bring them to market and generate drug revenue.</w:t>
      </w:r>
    </w:p>
    <w:p>
      <w:pPr>
        <w:spacing w:after="0" w:line="158" w:lineRule="exact"/>
        <w:rPr>
          <w:sz w:val="20"/>
          <w:szCs w:val="20"/>
          <w:color w:val="auto"/>
        </w:rPr>
      </w:pPr>
    </w:p>
    <w:p>
      <w:pPr>
        <w:ind w:right="20" w:firstLine="648"/>
        <w:spacing w:after="0" w:line="182" w:lineRule="exact"/>
        <w:rPr>
          <w:sz w:val="20"/>
          <w:szCs w:val="20"/>
          <w:color w:val="auto"/>
        </w:rPr>
      </w:pPr>
      <w:r>
        <w:rPr>
          <w:rFonts w:ascii="Times New Roman" w:cs="Times New Roman" w:eastAsia="Times New Roman" w:hAnsi="Times New Roman"/>
          <w:sz w:val="18"/>
          <w:szCs w:val="18"/>
          <w:color w:val="auto"/>
        </w:rPr>
        <w:t>In addition, our collaborations with Alexion and Roche, as well as 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drug candidate and, in some cases, termination of the collaboration arrangement. These disagreements can be difficult to resolve if neither of the parties has final decision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authority. 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4" w:lineRule="exact"/>
        <w:rPr>
          <w:sz w:val="20"/>
          <w:szCs w:val="20"/>
          <w:color w:val="auto"/>
        </w:rPr>
      </w:pPr>
    </w:p>
    <w:p>
      <w:pPr>
        <w:ind w:right="6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conduct our clinical trials for our drug candidates. If these third parties do not successfully carry out their contractual duties, comply with regulatory requirements or meet expected deadlines, we may not be able to obtain regulatory approval for or commercialize our drug candidates and our business could be substantially harmed.</w:t>
      </w:r>
    </w:p>
    <w:p>
      <w:pPr>
        <w:spacing w:after="0" w:line="159" w:lineRule="exact"/>
        <w:rPr>
          <w:sz w:val="20"/>
          <w:szCs w:val="20"/>
          <w:color w:val="auto"/>
        </w:rPr>
      </w:pPr>
    </w:p>
    <w:p>
      <w:pPr>
        <w:ind w:right="160" w:firstLine="648"/>
        <w:spacing w:after="0" w:line="212" w:lineRule="auto"/>
        <w:rPr>
          <w:sz w:val="20"/>
          <w:szCs w:val="20"/>
          <w:color w:val="auto"/>
        </w:rPr>
      </w:pPr>
      <w:r>
        <w:rPr>
          <w:rFonts w:ascii="Times New Roman" w:cs="Times New Roman" w:eastAsia="Times New Roman" w:hAnsi="Times New Roman"/>
          <w:sz w:val="18"/>
          <w:szCs w:val="18"/>
          <w:color w:val="auto"/>
        </w:rPr>
        <w:t>We do not have the ability to independently conduct clinical trials. We rely on medical institutions, clinical investigators, CROs, contract laboratories and other third parties to conduct or otherwise support clinical trials for our drug candidates. We rely heavily on these parties for execution of clinical trials for our drug candidates and control only certain aspects of their activities. Nevertheless, we are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enforcement action that may include civil penalties up to and including criminal prosecution.</w:t>
      </w:r>
    </w:p>
    <w:p>
      <w:pPr>
        <w:spacing w:after="0" w:line="158"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We and our CROs are required to comply with regulations, including GCPs,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drugs in clinical development. The FDA enforces GCP regulations through periodic inspections of clinical trial sponsors, principal investigators and trial sites. If we or our CROs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79"/>
        <w:spacing w:after="0" w:line="185" w:lineRule="exact"/>
        <w:rPr>
          <w:sz w:val="20"/>
          <w:szCs w:val="20"/>
          <w:color w:val="auto"/>
        </w:rPr>
      </w:pPr>
      <w:r>
        <w:rPr>
          <w:rFonts w:ascii="Times New Roman" w:cs="Times New Roman" w:eastAsia="Times New Roman" w:hAnsi="Times New Roman"/>
          <w:sz w:val="18"/>
          <w:szCs w:val="18"/>
          <w:color w:val="auto"/>
        </w:rPr>
        <w:t>determine that our current or future clinical trials comply with GCPs. In addition, our clinical trials must be conducted with drug candidates produced under cGMPs regulations. Our failure or the failure of our CROs to comply with these regulations may require us to repeat clinical trials, which would delay the regulatory approval process and could also subject us to enforcement action. We also are required to register ongoing clinical trials and post the results of completed clinical trials on a government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sponsored database, ClinicalTrials.gov, within certain timeframes. Failure to do so can result in fines, adverse publicity and civil and criminal sanctions.</w:t>
      </w:r>
    </w:p>
    <w:p>
      <w:pPr>
        <w:spacing w:after="0" w:line="162" w:lineRule="exact"/>
        <w:rPr>
          <w:sz w:val="20"/>
          <w:szCs w:val="20"/>
          <w:color w:val="auto"/>
        </w:rPr>
      </w:pPr>
    </w:p>
    <w:p>
      <w:pPr>
        <w:ind w:right="79" w:firstLine="648"/>
        <w:spacing w:after="0" w:line="214" w:lineRule="auto"/>
        <w:rPr>
          <w:sz w:val="20"/>
          <w:szCs w:val="20"/>
          <w:color w:val="auto"/>
        </w:rPr>
      </w:pPr>
      <w:r>
        <w:rPr>
          <w:rFonts w:ascii="Times New Roman" w:cs="Times New Roman" w:eastAsia="Times New Roman" w:hAnsi="Times New Roman"/>
          <w:sz w:val="18"/>
          <w:szCs w:val="18"/>
          <w:color w:val="auto"/>
        </w:rPr>
        <w:t>Although we intend to design the clinical trials for our drug candidates, CROs will conduct all of the clinical trials.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62" w:lineRule="exact"/>
        <w:rPr>
          <w:sz w:val="20"/>
          <w:szCs w:val="20"/>
          <w:color w:val="auto"/>
        </w:rPr>
      </w:pPr>
    </w:p>
    <w:p>
      <w:pPr>
        <w:ind w:left="1200" w:hanging="225"/>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staffing difficulties;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comply with contractual obligations;</w:t>
      </w:r>
    </w:p>
    <w:p>
      <w:pPr>
        <w:spacing w:after="0" w:line="184" w:lineRule="exact"/>
        <w:rPr>
          <w:rFonts w:ascii="Times New Roman" w:cs="Times New Roman" w:eastAsia="Times New Roman" w:hAnsi="Times New Roman"/>
          <w:sz w:val="18"/>
          <w:szCs w:val="18"/>
          <w:color w:val="auto"/>
        </w:rPr>
      </w:pPr>
    </w:p>
    <w:p>
      <w:pPr>
        <w:ind w:left="1120" w:hanging="145"/>
        <w:spacing w:after="0"/>
        <w:tabs>
          <w:tab w:leader="none" w:pos="11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experience regulatory compliance issues;</w:t>
      </w:r>
    </w:p>
    <w:p>
      <w:pPr>
        <w:spacing w:after="0" w:line="184"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undergo changes in priorities or become financially distressed; or</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·form relationships with other entities, some of which may be our competitors.</w:t>
      </w:r>
    </w:p>
    <w:p>
      <w:pPr>
        <w:spacing w:after="0" w:line="185" w:lineRule="exact"/>
        <w:rPr>
          <w:sz w:val="20"/>
          <w:szCs w:val="20"/>
          <w:color w:val="auto"/>
        </w:rPr>
      </w:pPr>
    </w:p>
    <w:p>
      <w:pPr>
        <w:ind w:right="99" w:firstLine="648"/>
        <w:spacing w:after="0" w:line="212" w:lineRule="auto"/>
        <w:rPr>
          <w:sz w:val="20"/>
          <w:szCs w:val="20"/>
          <w:color w:val="auto"/>
        </w:rPr>
      </w:pPr>
      <w:r>
        <w:rPr>
          <w:rFonts w:ascii="Times New Roman" w:cs="Times New Roman" w:eastAsia="Times New Roman" w:hAnsi="Times New Roman"/>
          <w:sz w:val="18"/>
          <w:szCs w:val="18"/>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29" w:lineRule="exact"/>
        <w:rPr>
          <w:sz w:val="20"/>
          <w:szCs w:val="20"/>
          <w:color w:val="auto"/>
        </w:rPr>
      </w:pPr>
    </w:p>
    <w:p>
      <w:pPr>
        <w:ind w:right="159" w:firstLine="648"/>
        <w:spacing w:after="0" w:line="187" w:lineRule="exact"/>
        <w:rPr>
          <w:sz w:val="20"/>
          <w:szCs w:val="20"/>
          <w:color w:val="auto"/>
        </w:rPr>
      </w:pPr>
      <w:r>
        <w:rPr>
          <w:rFonts w:ascii="Times New Roman" w:cs="Times New Roman" w:eastAsia="Times New Roman" w:hAnsi="Times New Roman"/>
          <w:sz w:val="18"/>
          <w:szCs w:val="18"/>
          <w:color w:val="auto"/>
        </w:rPr>
        <w:t>If any of our relationships with these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drug candidates. As a result, we believe that our financial results and the commercial prospects for our drug candidates in the subject indication would be harmed, our costs could increase and our ability to generate revenue could be delayed.</w:t>
      </w:r>
    </w:p>
    <w:p>
      <w:pPr>
        <w:spacing w:after="0" w:line="155" w:lineRule="exact"/>
        <w:rPr>
          <w:sz w:val="20"/>
          <w:szCs w:val="20"/>
          <w:color w:val="auto"/>
        </w:rPr>
      </w:pPr>
    </w:p>
    <w:p>
      <w:pPr>
        <w:ind w:right="39"/>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We contract with third parties for the manufacture of our drug candidates for pre-clinical development and clinical trials, and we expect to continue to do so for commercialization. This reliance on third parties increases the risk that we will not have sufficient quantities of our drug candidates or drugs or such quantities at an acceptable cost, which could delay, prevent or impair our development or commercialization efforts.</w:t>
      </w:r>
    </w:p>
    <w:p>
      <w:pPr>
        <w:spacing w:after="0" w:line="160" w:lineRule="exact"/>
        <w:rPr>
          <w:sz w:val="20"/>
          <w:szCs w:val="20"/>
          <w:color w:val="auto"/>
        </w:rPr>
      </w:pPr>
    </w:p>
    <w:p>
      <w:pPr>
        <w:ind w:right="19" w:firstLine="648"/>
        <w:spacing w:after="0" w:line="214" w:lineRule="auto"/>
        <w:rPr>
          <w:sz w:val="20"/>
          <w:szCs w:val="20"/>
          <w:color w:val="auto"/>
        </w:rPr>
      </w:pPr>
      <w:r>
        <w:rPr>
          <w:rFonts w:ascii="Times New Roman" w:cs="Times New Roman" w:eastAsia="Times New Roman" w:hAnsi="Times New Roman"/>
          <w:sz w:val="18"/>
          <w:szCs w:val="18"/>
          <w:color w:val="auto"/>
        </w:rPr>
        <w:t>We do not currently own or operate, nor do we have any plans to establish in the future, any manufacturing facilities or personnel. We rely, and expect to continue to rely, on third parties for the manufacture of our drug candidates for pre-clinical development and clinical testing, as well as for the commercial manufacture of our drugs if any of our drug candidates receive marketing approval. This reliance on third parties increases the risk that we will not have sufficient quantities of our drug candidates or drugs or such quantities at an acceptable cost or quality, which could delay, prevent or impair our development or commercialization efforts.</w:t>
      </w:r>
    </w:p>
    <w:p>
      <w:pPr>
        <w:spacing w:after="0" w:line="162" w:lineRule="exact"/>
        <w:rPr>
          <w:sz w:val="20"/>
          <w:szCs w:val="20"/>
          <w:color w:val="auto"/>
        </w:rPr>
      </w:pPr>
    </w:p>
    <w:p>
      <w:pPr>
        <w:ind w:right="39" w:firstLine="648"/>
        <w:spacing w:after="0" w:line="237" w:lineRule="auto"/>
        <w:rPr>
          <w:sz w:val="20"/>
          <w:szCs w:val="20"/>
          <w:color w:val="auto"/>
        </w:rPr>
      </w:pPr>
      <w:r>
        <w:rPr>
          <w:rFonts w:ascii="Times New Roman" w:cs="Times New Roman" w:eastAsia="Times New Roman" w:hAnsi="Times New Roman"/>
          <w:sz w:val="18"/>
          <w:szCs w:val="18"/>
          <w:color w:val="auto"/>
        </w:rPr>
        <w:t>The facilities used by our contract manufacturers to manufacture our drug candidates must be approved by the FDA pursuant to inspections that will be conducted after we submit our marketing applications to the FDA. We do not</w:t>
      </w:r>
    </w:p>
    <w:p>
      <w:pPr>
        <w:spacing w:after="0" w:line="37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spacing w:after="0" w:line="208" w:lineRule="auto"/>
        <w:rPr>
          <w:sz w:val="20"/>
          <w:szCs w:val="20"/>
          <w:color w:val="auto"/>
        </w:rPr>
      </w:pPr>
      <w:r>
        <w:rPr>
          <w:rFonts w:ascii="Times New Roman" w:cs="Times New Roman" w:eastAsia="Times New Roman" w:hAnsi="Times New Roman"/>
          <w:sz w:val="18"/>
          <w:szCs w:val="18"/>
          <w:color w:val="auto"/>
        </w:rPr>
        <w:t>control the manufacturing process of, and will be completely dependent on, our contract manufacturers for compliance with cGMPs in connection with the manufacture of our drug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 comparable foreign regulatory authority does not approve these facilities for the manufacture of our drug candidates or if it withdraws any such approval in the future, we may need to find alternative manufacturing facilities, which would significantly impact our ability to develop, obtain regulatory approval for or market our drug candidates, if approved. Further, our failure, or the failure of our third party manufacturers, to comply with applicable regulations could result in sanctions being imposed on us, including clinical holds, fines, injunctions, civil penalties, delays, suspension or withdrawal of approvals, license revocation, seizures or recalls of drug candidates or drugs, if approved, operating restrictions and criminal prosecutions, any of which could significantly and adversely affect our business and supplies of our drug candidates.</w:t>
      </w:r>
    </w:p>
    <w:p>
      <w:pPr>
        <w:spacing w:after="0" w:line="138" w:lineRule="exact"/>
        <w:rPr>
          <w:sz w:val="20"/>
          <w:szCs w:val="20"/>
          <w:color w:val="auto"/>
        </w:rPr>
      </w:pPr>
    </w:p>
    <w:p>
      <w:pPr>
        <w:jc w:val="both"/>
        <w:ind w:right="20" w:firstLine="648"/>
        <w:spacing w:after="0" w:line="205" w:lineRule="exact"/>
        <w:rPr>
          <w:sz w:val="20"/>
          <w:szCs w:val="20"/>
          <w:color w:val="auto"/>
        </w:rPr>
      </w:pPr>
      <w:r>
        <w:rPr>
          <w:rFonts w:ascii="Times New Roman" w:cs="Times New Roman" w:eastAsia="Times New Roman" w:hAnsi="Times New Roman"/>
          <w:sz w:val="18"/>
          <w:szCs w:val="18"/>
          <w:color w:val="auto"/>
        </w:rPr>
        <w:t>We may be unable to establish any agreements with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manufacturers or to do so on acceptable terms. Even if we are able to establish agreements with third party manufacturers, reliance on third party manufacturers entails additional risks, including:</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·reliance on the third party for regulatory compliance and quality assurance;</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possible breach of the manufacturing agreement by the third party;</w:t>
      </w:r>
    </w:p>
    <w:p>
      <w:pPr>
        <w:spacing w:after="0" w:line="156" w:lineRule="exact"/>
        <w:rPr>
          <w:sz w:val="20"/>
          <w:szCs w:val="20"/>
          <w:color w:val="auto"/>
        </w:rPr>
      </w:pPr>
    </w:p>
    <w:p>
      <w:pPr>
        <w:ind w:left="980"/>
        <w:spacing w:after="0" w:line="207" w:lineRule="exact"/>
        <w:rPr>
          <w:sz w:val="20"/>
          <w:szCs w:val="20"/>
          <w:color w:val="auto"/>
        </w:rPr>
      </w:pPr>
      <w:r>
        <w:rPr>
          <w:rFonts w:ascii="Times New Roman" w:cs="Times New Roman" w:eastAsia="Times New Roman" w:hAnsi="Times New Roman"/>
          <w:sz w:val="18"/>
          <w:szCs w:val="18"/>
          <w:color w:val="auto"/>
        </w:rPr>
        <w:t>·the possible misappropriation of our proprietary information, including our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w:t>
      </w:r>
    </w:p>
    <w:p>
      <w:pPr>
        <w:spacing w:after="0" w:line="213" w:lineRule="exact"/>
        <w:rPr>
          <w:sz w:val="20"/>
          <w:szCs w:val="20"/>
          <w:color w:val="auto"/>
        </w:rPr>
      </w:pPr>
    </w:p>
    <w:p>
      <w:pPr>
        <w:ind w:left="1020" w:right="840" w:hanging="53"/>
        <w:spacing w:after="0" w:line="237" w:lineRule="auto"/>
        <w:rPr>
          <w:sz w:val="20"/>
          <w:szCs w:val="20"/>
          <w:color w:val="auto"/>
        </w:rPr>
      </w:pPr>
      <w:r>
        <w:rPr>
          <w:rFonts w:ascii="Times New Roman" w:cs="Times New Roman" w:eastAsia="Times New Roman" w:hAnsi="Times New Roman"/>
          <w:sz w:val="18"/>
          <w:szCs w:val="18"/>
          <w:color w:val="auto"/>
        </w:rPr>
        <w:t>·the possible termination or nonrenewal of the agreement by the third party at a time that is costly or inconvenient for us.</w:t>
      </w:r>
    </w:p>
    <w:p>
      <w:pPr>
        <w:spacing w:after="0" w:line="158" w:lineRule="exact"/>
        <w:rPr>
          <w:sz w:val="20"/>
          <w:szCs w:val="20"/>
          <w:color w:val="auto"/>
        </w:rPr>
      </w:pPr>
    </w:p>
    <w:p>
      <w:pPr>
        <w:ind w:right="340" w:firstLine="648"/>
        <w:spacing w:after="0" w:line="226" w:lineRule="auto"/>
        <w:rPr>
          <w:sz w:val="20"/>
          <w:szCs w:val="20"/>
          <w:color w:val="auto"/>
        </w:rPr>
      </w:pPr>
      <w:r>
        <w:rPr>
          <w:rFonts w:ascii="Times New Roman" w:cs="Times New Roman" w:eastAsia="Times New Roman" w:hAnsi="Times New Roman"/>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58" w:lineRule="exact"/>
        <w:rPr>
          <w:sz w:val="20"/>
          <w:szCs w:val="20"/>
          <w:color w:val="auto"/>
        </w:rPr>
      </w:pPr>
    </w:p>
    <w:p>
      <w:pPr>
        <w:jc w:val="both"/>
        <w:ind w:right="300" w:firstLine="648"/>
        <w:spacing w:after="0" w:line="220" w:lineRule="auto"/>
        <w:rPr>
          <w:sz w:val="20"/>
          <w:szCs w:val="20"/>
          <w:color w:val="auto"/>
        </w:rPr>
      </w:pPr>
      <w:r>
        <w:rPr>
          <w:rFonts w:ascii="Times New Roman" w:cs="Times New Roman" w:eastAsia="Times New Roman" w:hAnsi="Times New Roman"/>
          <w:sz w:val="18"/>
          <w:szCs w:val="18"/>
          <w:color w:val="auto"/>
        </w:rPr>
        <w:t>Any performance failure on the part of our existing or future manufacturers could delay clinical development or marketing approval. If our current contract manufacturers cannot perform as agreed, we may be required to replace such manufacturers. Although we believe that there are several potential alternative manufacturers who could manufacture our drug candidates, we may incur added costs and delays in identifying and qualifying any such replacement.</w:t>
      </w:r>
    </w:p>
    <w:p>
      <w:pPr>
        <w:spacing w:after="0" w:line="159" w:lineRule="exact"/>
        <w:rPr>
          <w:sz w:val="20"/>
          <w:szCs w:val="20"/>
          <w:color w:val="auto"/>
        </w:rPr>
      </w:pPr>
    </w:p>
    <w:p>
      <w:pPr>
        <w:ind w:right="40" w:firstLine="648"/>
        <w:spacing w:after="0" w:line="22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drug candidates or drugs may adversely affect our future profit margins and our ability to commercialize any drugs that receive marketing approval on a timely and competitive basis.</w:t>
      </w:r>
    </w:p>
    <w:p>
      <w:pPr>
        <w:spacing w:after="0" w:line="154" w:lineRule="exact"/>
        <w:rPr>
          <w:sz w:val="20"/>
          <w:szCs w:val="20"/>
          <w:color w:val="auto"/>
        </w:rPr>
      </w:pPr>
    </w:p>
    <w:p>
      <w:pPr>
        <w:ind w:right="400"/>
        <w:spacing w:after="0" w:line="227" w:lineRule="auto"/>
        <w:rPr>
          <w:sz w:val="20"/>
          <w:szCs w:val="20"/>
          <w:color w:val="auto"/>
        </w:rPr>
      </w:pPr>
      <w:r>
        <w:rPr>
          <w:rFonts w:ascii="Times New Roman" w:cs="Times New Roman" w:eastAsia="Times New Roman" w:hAnsi="Times New Roman"/>
          <w:sz w:val="18"/>
          <w:szCs w:val="18"/>
          <w:b w:val="1"/>
          <w:bCs w:val="1"/>
          <w:i w:val="1"/>
          <w:iCs w:val="1"/>
          <w:color w:val="auto"/>
        </w:rPr>
        <w:t>The third parties upon whom we rely for the supply of the active pharmaceutical ingredient, drug product and drug substance used in our lead drug candidates are our sole source of supply, and the loss of any of these suppliers could significantly harm our business.</w:t>
      </w:r>
    </w:p>
    <w:p>
      <w:pPr>
        <w:spacing w:after="0" w:line="159" w:lineRule="exact"/>
        <w:rPr>
          <w:sz w:val="20"/>
          <w:szCs w:val="20"/>
          <w:color w:val="auto"/>
        </w:rPr>
      </w:pPr>
    </w:p>
    <w:p>
      <w:pPr>
        <w:ind w:firstLine="648"/>
        <w:spacing w:after="0" w:line="184" w:lineRule="exact"/>
        <w:rPr>
          <w:sz w:val="20"/>
          <w:szCs w:val="20"/>
          <w:color w:val="auto"/>
        </w:rPr>
      </w:pPr>
      <w:r>
        <w:rPr>
          <w:rFonts w:ascii="Times New Roman" w:cs="Times New Roman" w:eastAsia="Times New Roman" w:hAnsi="Times New Roman"/>
          <w:sz w:val="18"/>
          <w:szCs w:val="18"/>
          <w:color w:val="auto"/>
        </w:rPr>
        <w:t>The active pharmaceutical ingredients, or API, drug product and drug substance used in our lead drug candidates are supplied to us from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Our ability to successfully develop our drug candidates, and to ultimately supply our commercial drugs in quantities sufficient to meet the market demand, depends in part on our ability to obtain the API, drug product and drug substance for these drugs in accordance with regulatory requirements and in sufficient quantities for commercialization and clinical testing. We do not currently have arrangements in place for a redundant or second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supply of any such API, drug product or drug substance in the event any of our current suppliers of such API, drug product and drug substance cease their operations for any reason.</w:t>
      </w:r>
    </w:p>
    <w:p>
      <w:pPr>
        <w:spacing w:after="0" w:line="159" w:lineRule="exact"/>
        <w:rPr>
          <w:sz w:val="20"/>
          <w:szCs w:val="20"/>
          <w:color w:val="auto"/>
        </w:rPr>
      </w:pPr>
    </w:p>
    <w:p>
      <w:pPr>
        <w:ind w:right="60" w:firstLine="648"/>
        <w:spacing w:after="0" w:line="202" w:lineRule="exact"/>
        <w:rPr>
          <w:sz w:val="20"/>
          <w:szCs w:val="20"/>
          <w:color w:val="auto"/>
        </w:rPr>
      </w:pPr>
      <w:r>
        <w:rPr>
          <w:rFonts w:ascii="Times New Roman" w:cs="Times New Roman" w:eastAsia="Times New Roman" w:hAnsi="Times New Roman"/>
          <w:sz w:val="18"/>
          <w:szCs w:val="18"/>
          <w:color w:val="auto"/>
        </w:rPr>
        <w:t>For all of our drug candidates, we intend to identify and qualify additional manufacturers to provide such API, drug product and drug substance prior to submission of an NDA to the FDA and/or an MAA to the EMA. We are not certain, however, that our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will be able to meet our demand for their products, either because of</w:t>
      </w: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8"/>
          <w:szCs w:val="18"/>
          <w:color w:val="auto"/>
        </w:rPr>
        <w:t>the nature of our agreements with those suppliers, our limited experience with those suppliers or our relative importance as a customer to those suppliers. It may be difficult for us to assess their ability to timely meet our demand in the future based on past performance. While our suppliers have generally met our demand for their products on a timely basis in the past, they may subordinate our needs in the future to their other customers.</w:t>
      </w:r>
    </w:p>
    <w:p>
      <w:pPr>
        <w:spacing w:after="0" w:line="159" w:lineRule="exact"/>
        <w:rPr>
          <w:sz w:val="20"/>
          <w:szCs w:val="20"/>
          <w:color w:val="auto"/>
        </w:rPr>
      </w:pPr>
    </w:p>
    <w:p>
      <w:pPr>
        <w:jc w:val="both"/>
        <w:ind w:right="340" w:firstLine="648"/>
        <w:spacing w:after="0" w:line="223" w:lineRule="auto"/>
        <w:rPr>
          <w:sz w:val="20"/>
          <w:szCs w:val="20"/>
          <w:color w:val="auto"/>
        </w:rPr>
      </w:pPr>
      <w:r>
        <w:rPr>
          <w:rFonts w:ascii="Times New Roman" w:cs="Times New Roman" w:eastAsia="Times New Roman" w:hAnsi="Times New Roman"/>
          <w:sz w:val="17"/>
          <w:szCs w:val="17"/>
          <w:color w:val="auto"/>
        </w:rPr>
        <w:t>Establishing additional or replacement suppliers for the API, drug product and drug substance used in our drug candidates, if required, may not be accomplished quickly. If we are able to find a replacement supplier, such replacement supplier would need to be qualified and may require additional regulatory approval, which could result in further delay.</w:t>
      </w:r>
    </w:p>
    <w:p>
      <w:pPr>
        <w:spacing w:after="0" w:line="2" w:lineRule="exact"/>
        <w:rPr>
          <w:sz w:val="20"/>
          <w:szCs w:val="20"/>
          <w:color w:val="auto"/>
        </w:rPr>
      </w:pPr>
    </w:p>
    <w:p>
      <w:pPr>
        <w:ind w:right="100"/>
        <w:spacing w:after="0" w:line="214" w:lineRule="auto"/>
        <w:rPr>
          <w:sz w:val="20"/>
          <w:szCs w:val="20"/>
          <w:color w:val="auto"/>
        </w:rPr>
      </w:pPr>
      <w:r>
        <w:rPr>
          <w:rFonts w:ascii="Times New Roman" w:cs="Times New Roman" w:eastAsia="Times New Roman" w:hAnsi="Times New Roman"/>
          <w:sz w:val="18"/>
          <w:szCs w:val="18"/>
          <w:color w:val="auto"/>
        </w:rPr>
        <w:t>While we seek to maintain adequate inventory of the API, drug product and drug substance used in our drug candidates, any interruption or delay in the supply of components or materials, or our inability to obtain such API, drug product and drug substance from alternate sources at acceptable prices in a timely manner could impede, delay, limit or prevent our development efforts, which could harm our business, results of operations, financial condition and prospects.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185" w:lineRule="exact"/>
        <w:rPr>
          <w:sz w:val="20"/>
          <w:szCs w:val="20"/>
          <w:color w:val="auto"/>
        </w:rPr>
      </w:pPr>
    </w:p>
    <w:p>
      <w:pPr>
        <w:ind w:right="400"/>
        <w:spacing w:after="0" w:line="221"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adequately protect our proprietary technology or obtain and maintain patent protection for our technology and drugs or if the scope of the patent protection obtained is not sufficiently broad, our competitors could develop and commercialize technology and drugs similar or identical to ours, and our ability to successfully commercialize our technology and drugs may be impaired.</w:t>
      </w:r>
    </w:p>
    <w:p>
      <w:pPr>
        <w:spacing w:after="0" w:line="160" w:lineRule="exact"/>
        <w:rPr>
          <w:sz w:val="20"/>
          <w:szCs w:val="20"/>
          <w:color w:val="auto"/>
        </w:rPr>
      </w:pPr>
    </w:p>
    <w:p>
      <w:pPr>
        <w:ind w:right="180" w:firstLine="648"/>
        <w:spacing w:after="0" w:line="184" w:lineRule="exact"/>
        <w:rPr>
          <w:sz w:val="20"/>
          <w:szCs w:val="20"/>
          <w:color w:val="auto"/>
        </w:rPr>
      </w:pPr>
      <w:r>
        <w:rPr>
          <w:rFonts w:ascii="Times New Roman" w:cs="Times New Roman" w:eastAsia="Times New Roman" w:hAnsi="Times New Roman"/>
          <w:sz w:val="18"/>
          <w:szCs w:val="18"/>
          <w:color w:val="auto"/>
        </w:rPr>
        <w:t>Our commercial success depends in part on our ability to obtain and maintain proprietary or intellectual property protection in the United States and other countries for our drug candidates, including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554, and our core technologies, including our novel target discovery engine and our proprietary compound library and other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We seek to protect our proprietary and intellectual property position by, among other methods, filing patent applications in the United States and abroad related to our proprietary technology, inventions and improvements that are important to the development and implementation of our business. We also rely on trade secrets,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continuing technological innovation to develop and maintain our proprietary and intellectual property position.</w:t>
      </w:r>
    </w:p>
    <w:p>
      <w:pPr>
        <w:spacing w:after="0" w:line="131" w:lineRule="exact"/>
        <w:rPr>
          <w:sz w:val="20"/>
          <w:szCs w:val="20"/>
          <w:color w:val="auto"/>
        </w:rPr>
      </w:pPr>
    </w:p>
    <w:p>
      <w:pPr>
        <w:ind w:firstLine="648"/>
        <w:spacing w:after="0" w:line="187" w:lineRule="exact"/>
        <w:rPr>
          <w:sz w:val="20"/>
          <w:szCs w:val="20"/>
          <w:color w:val="auto"/>
        </w:rPr>
      </w:pPr>
      <w:r>
        <w:rPr>
          <w:rFonts w:ascii="Times New Roman" w:cs="Times New Roman" w:eastAsia="Times New Roman" w:hAnsi="Times New Roman"/>
          <w:sz w:val="18"/>
          <w:szCs w:val="18"/>
          <w:color w:val="auto"/>
        </w:rPr>
        <w:t>We own patents and patent applications that relate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and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as composition of matter. We also own applications relating to composition of matter for KIT Exon 17 inhibitors with different compound families, composition of matter for FGFR4 inhibitors with multiple compound families, composition of matter for inhibitors of the predicted RET resistant mutants, composition of matter for inhibitors of predicted NTRK resistant mutants, composition of matter for inhibitors of a rare genetic disease target, as well as methods of use for these novel compounds. The issued patent directed to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composition of matter has a statutory expiration date in 2033, the issued patent directed to BLU-285 composition of matter has a statutory expiration date in 2034 and any patents issuing from our pending patent applications are projected to expire between 2034 and 2037.</w:t>
      </w:r>
    </w:p>
    <w:p>
      <w:pPr>
        <w:spacing w:after="0" w:line="159" w:lineRule="exact"/>
        <w:rPr>
          <w:sz w:val="20"/>
          <w:szCs w:val="20"/>
          <w:color w:val="auto"/>
        </w:rPr>
      </w:pPr>
    </w:p>
    <w:p>
      <w:pPr>
        <w:ind w:right="40" w:firstLine="648"/>
        <w:spacing w:after="0" w:line="214" w:lineRule="auto"/>
        <w:rPr>
          <w:sz w:val="20"/>
          <w:szCs w:val="20"/>
          <w:color w:val="auto"/>
        </w:rPr>
      </w:pPr>
      <w:r>
        <w:rPr>
          <w:rFonts w:ascii="Times New Roman" w:cs="Times New Roman" w:eastAsia="Times New Roman" w:hAnsi="Times New Roman"/>
          <w:sz w:val="18"/>
          <w:szCs w:val="18"/>
          <w:color w:val="auto"/>
        </w:rPr>
        <w:t>As of July 31, 2016, we owned two issued U.S. patents, five pending U.S. patent applications, 27 pending foreign patent applications in a number of jurisdictions, including Australia, Argentina, Brazil, Bolivia, Canada, China, the European Union, Israel, India, Japan, Mexico, New Zealand, Pakistan, Russia, South Africa, South Korea, Taiwan and Venezuela, and two pending Patent Cooperation Treaty, or PCT, patent applications directed to our KIT program, including BLU -285. Any U.S. or ex-U.S. patents issuing from the pending applications covering BLU -285 will have a statutory expiration date of October 2034. Patent term adjustments or patent term extensions could result in later expiration dates.</w:t>
      </w:r>
    </w:p>
    <w:p>
      <w:pPr>
        <w:spacing w:after="0" w:line="162"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As of July 31, 2016, we owned three issued U.S. patents, four pending U.S. patent applications and 44 foreign patent applications in a number of jurisdictions, including Australia, Brazil, Canada, China, the European Union, Israel, India, Japan, South Korea, Mexico New Zealand, Russia, South Africa directed to our FGFR4 program, including BLU-554. Any U.S. or ex-U.S. patent issuing from the pending applications covering BLU-554 will have a statutory expiration date of July 2033, December 2033, or October 2034. Patent term adjustments or patent term extensions could result in later expiration dates.</w:t>
      </w:r>
    </w:p>
    <w:p>
      <w:pPr>
        <w:spacing w:after="0" w:line="162" w:lineRule="exact"/>
        <w:rPr>
          <w:sz w:val="20"/>
          <w:szCs w:val="20"/>
          <w:color w:val="auto"/>
        </w:rPr>
      </w:pPr>
    </w:p>
    <w:p>
      <w:pPr>
        <w:jc w:val="both"/>
        <w:ind w:right="300" w:firstLine="648"/>
        <w:spacing w:after="0" w:line="226" w:lineRule="auto"/>
        <w:rPr>
          <w:sz w:val="20"/>
          <w:szCs w:val="20"/>
          <w:color w:val="auto"/>
        </w:rPr>
      </w:pPr>
      <w:r>
        <w:rPr>
          <w:rFonts w:ascii="Times New Roman" w:cs="Times New Roman" w:eastAsia="Times New Roman" w:hAnsi="Times New Roman"/>
          <w:sz w:val="18"/>
          <w:szCs w:val="18"/>
          <w:color w:val="auto"/>
        </w:rPr>
        <w:t>As of July 31, 2016, we owned one PCT application and five provisional U.S. patent applications directed to our RET program, which, if issued, will have statutory expiration dates of 2036 or 2037. As of July 31, 2016, we owned two provisional U.S. patent applications directed to NTRK, which, if issued, will have statutory expiration dates of 2036.</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40"/>
        <w:spacing w:after="0" w:line="237" w:lineRule="auto"/>
        <w:rPr>
          <w:sz w:val="20"/>
          <w:szCs w:val="20"/>
          <w:color w:val="auto"/>
        </w:rPr>
      </w:pPr>
      <w:r>
        <w:rPr>
          <w:rFonts w:ascii="Times New Roman" w:cs="Times New Roman" w:eastAsia="Times New Roman" w:hAnsi="Times New Roman"/>
          <w:sz w:val="18"/>
          <w:szCs w:val="18"/>
          <w:color w:val="auto"/>
        </w:rPr>
        <w:t>As of July 31, 2016, we owned one provisional U.S. patent application directed to a rare genetic disease target which, if issued, will have a statutory expiration date of 2037.</w:t>
      </w:r>
    </w:p>
    <w:p>
      <w:pPr>
        <w:spacing w:after="0" w:line="158" w:lineRule="exact"/>
        <w:rPr>
          <w:sz w:val="20"/>
          <w:szCs w:val="20"/>
          <w:color w:val="auto"/>
        </w:rPr>
      </w:pPr>
    </w:p>
    <w:p>
      <w:pPr>
        <w:ind w:right="80" w:firstLine="648"/>
        <w:spacing w:after="0" w:line="220" w:lineRule="auto"/>
        <w:rPr>
          <w:sz w:val="20"/>
          <w:szCs w:val="20"/>
          <w:color w:val="auto"/>
        </w:rPr>
      </w:pPr>
      <w:r>
        <w:rPr>
          <w:rFonts w:ascii="Times New Roman" w:cs="Times New Roman" w:eastAsia="Times New Roman" w:hAnsi="Times New Roman"/>
          <w:sz w:val="18"/>
          <w:szCs w:val="18"/>
          <w:color w:val="auto"/>
        </w:rPr>
        <w:t>The intellectual property portfolio directed to our platform includes patent applications directed to novel gene fusions and the uses of these fusions for detecting and treating conditions implicated with these fusions. As of July 31, 2016, we owned two U.S. patent applications, two European Union patent applications and eight pending PCT patent applications directed to this technology, which, if issued, will have statutory expiration dates ranging from 2034 to 2035.</w:t>
      </w:r>
    </w:p>
    <w:p>
      <w:pPr>
        <w:spacing w:after="0" w:line="159" w:lineRule="exact"/>
        <w:rPr>
          <w:sz w:val="20"/>
          <w:szCs w:val="20"/>
          <w:color w:val="auto"/>
        </w:rPr>
      </w:pPr>
    </w:p>
    <w:p>
      <w:pPr>
        <w:ind w:right="20" w:firstLine="648"/>
        <w:spacing w:after="0" w:line="237" w:lineRule="auto"/>
        <w:rPr>
          <w:sz w:val="20"/>
          <w:szCs w:val="20"/>
          <w:color w:val="auto"/>
        </w:rPr>
      </w:pPr>
      <w:r>
        <w:rPr>
          <w:rFonts w:ascii="Times New Roman" w:cs="Times New Roman" w:eastAsia="Times New Roman" w:hAnsi="Times New Roman"/>
          <w:sz w:val="18"/>
          <w:szCs w:val="18"/>
          <w:color w:val="auto"/>
        </w:rPr>
        <w:t>The patent position of biotechnology and pharmaceutical companies generally is highly uncertain, involves complex legal and factual questions and has in recent years been the subject of much litigation.</w:t>
      </w:r>
    </w:p>
    <w:p>
      <w:pPr>
        <w:spacing w:after="0" w:line="158" w:lineRule="exact"/>
        <w:rPr>
          <w:sz w:val="20"/>
          <w:szCs w:val="20"/>
          <w:color w:val="auto"/>
        </w:rPr>
      </w:pPr>
    </w:p>
    <w:p>
      <w:pPr>
        <w:ind w:firstLine="648"/>
        <w:spacing w:after="0" w:line="181" w:lineRule="exact"/>
        <w:rPr>
          <w:sz w:val="20"/>
          <w:szCs w:val="20"/>
          <w:color w:val="auto"/>
        </w:rPr>
      </w:pPr>
      <w:r>
        <w:rPr>
          <w:rFonts w:ascii="Times New Roman" w:cs="Times New Roman" w:eastAsia="Times New Roman" w:hAnsi="Times New Roman"/>
          <w:sz w:val="18"/>
          <w:szCs w:val="18"/>
          <w:color w:val="auto"/>
        </w:rPr>
        <w:t>The degree of patent protection we require to successfully commercialize our drug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285, BLU</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554 or our other drug candidates. In addition, the laws of foreign countries may not protect our rights to the same extent as the laws of the United States. 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and licensed patent portfolio may not provide us with adequate and continuing patent protection sufficient to exclude others from commercializing drugs similar or identical to our drug candidates, including generic versions of such drugs.</w:t>
      </w:r>
    </w:p>
    <w:p>
      <w:pPr>
        <w:spacing w:after="0" w:line="165"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Other parties have developed technologies that may be related or competitive to our own, and such parties may have filed or may file patent applications, or may have received or may receive patents, claiming inventions that may overlap or conflict with those claimed in our own patent applications or issued patents, with respect to either the same methods or formulations or the same subject matter, in either case, that we may rely upon to dominate our patent position in the market. Publications of discoveries in the scientific literature often lag behind the actual discoveries, and patent applications in the United States and other jurisdictions are typically not published until 18 months after filing, or in some cases not at all. Therefore, we cannot know with certainty whether we were the first to make the inventions claimed in our owned or licensed patents or pending patent applications, or that we were the first to file for patent protection of such inventions. As a result, the issuance, scope, validity, enforceability and commercial value of our patent rights cannot be predicted with any certainty. For example, we are aware of a U.S. patent owned by a third party that has generic composition of matter claims that could cover BLU-554. While we may decide to initiate proceedings to challenge the validity of this patent in the future, we may be unsuccessful, and courts or patent offices in the United States and abroad could uphold the validity of any such patent.</w:t>
      </w:r>
    </w:p>
    <w:p>
      <w:pPr>
        <w:spacing w:after="0" w:line="160" w:lineRule="exact"/>
        <w:rPr>
          <w:sz w:val="20"/>
          <w:szCs w:val="20"/>
          <w:color w:val="auto"/>
        </w:rPr>
      </w:pPr>
    </w:p>
    <w:p>
      <w:pPr>
        <w:ind w:firstLine="648"/>
        <w:spacing w:after="0" w:line="211" w:lineRule="auto"/>
        <w:rPr>
          <w:sz w:val="20"/>
          <w:szCs w:val="20"/>
          <w:color w:val="auto"/>
        </w:rPr>
      </w:pPr>
      <w:r>
        <w:rPr>
          <w:rFonts w:ascii="Times New Roman" w:cs="Times New Roman" w:eastAsia="Times New Roman" w:hAnsi="Times New Roman"/>
          <w:sz w:val="18"/>
          <w:szCs w:val="18"/>
          <w:color w:val="auto"/>
        </w:rPr>
        <w:t>In addition, the patent prosecution process is expensive and time-consuming, and we may not be able to file and prosecute all necessary or desirable patent applications at a reasonable cost or in a timely manner. Further, with respect to most of the pending patent applications covering our drug candidates, prosecution has yet to commence. Patent prosecution is a lengthy process, during which the scope of the claims initially submitted for examination by the U.S. Patent and Trademark Office, or USPTO, have been significantly narrowed by the time they issue, if at all. It is also possible that we will fail to identify patentable aspects of our research and development output before it is too late to obtain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w:t>
      </w:r>
    </w:p>
    <w:p>
      <w:pPr>
        <w:spacing w:after="0" w:line="158"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Even if we acquire patent protection that we expect should enable us to maintain such competitive advantage, third parties may challenge the validity, enforceability or scope thereof, which may result in such patents being narrowed, invalidated or held unenforceable. The issuance of a patent is not conclusive as to its inventorship, scope, validity or enforceability, and our owned and licensed patents may be challenged in the courts or patent offices in the United States and abroad. For example, we may be subject to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party submission of prior art to the USPTO challenging the priority of an invention claimed within one of our patents, which submissions may also be made prior to a patent’s issuance, precluding the granting of any of our pending patent applications. We may become involved in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20"/>
        <w:spacing w:after="0" w:line="187" w:lineRule="exact"/>
        <w:rPr>
          <w:sz w:val="20"/>
          <w:szCs w:val="20"/>
          <w:color w:val="auto"/>
        </w:rPr>
      </w:pPr>
      <w:r>
        <w:rPr>
          <w:rFonts w:ascii="Times New Roman" w:cs="Times New Roman" w:eastAsia="Times New Roman" w:hAnsi="Times New Roman"/>
          <w:sz w:val="18"/>
          <w:szCs w:val="18"/>
          <w:color w:val="auto"/>
        </w:rPr>
        <w:t xml:space="preserve">opposition, derivation, reexamination,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grant review or interference proceedings challenging our patent rights or the patent rights of others from whom we have obtained licenses to such rights. Competitors may claim that they invented the inventions claimed in our issued patents or patent applications prior to us, or may file patent applications before we do. Competitors may also claim that we are infringing on their patents and that we therefore cannot practice our technology as claimed under our patents, if issued. Competitors may also contest our patents, if issued, by showing the patent examiner that the invention was not original, was not novel or was obvious. In litigation, a competitor could claim that our patents, if issued, are not valid for a number of reasons. If a court agrees, we would lose our rights to those challenged patents.</w:t>
      </w:r>
    </w:p>
    <w:p>
      <w:pPr>
        <w:spacing w:after="0" w:line="159"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In addition, we may in the future be subject to claims by our former employees or consultants asserting an ownership right in our patents or patent applications, as a result of the work they performed on our behalf. Although we generally require all of our employees, consultants and advisors and any other third parties who have access to our proprietary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w:t>
      </w:r>
    </w:p>
    <w:p>
      <w:pPr>
        <w:spacing w:after="0" w:line="159" w:lineRule="exact"/>
        <w:rPr>
          <w:sz w:val="20"/>
          <w:szCs w:val="20"/>
          <w:color w:val="auto"/>
        </w:rPr>
      </w:pPr>
    </w:p>
    <w:p>
      <w:pPr>
        <w:ind w:right="300" w:firstLine="648"/>
        <w:spacing w:after="0" w:line="213" w:lineRule="auto"/>
        <w:rPr>
          <w:sz w:val="20"/>
          <w:szCs w:val="20"/>
          <w:color w:val="auto"/>
        </w:rPr>
      </w:pPr>
      <w:r>
        <w:rPr>
          <w:rFonts w:ascii="Times New Roman" w:cs="Times New Roman" w:eastAsia="Times New Roman" w:hAnsi="Times New Roman"/>
          <w:sz w:val="18"/>
          <w:szCs w:val="18"/>
          <w:color w:val="auto"/>
        </w:rPr>
        <w:t>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drug candidates without infringing third 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59" w:lineRule="exact"/>
        <w:rPr>
          <w:sz w:val="20"/>
          <w:szCs w:val="20"/>
          <w:color w:val="auto"/>
        </w:rPr>
      </w:pPr>
    </w:p>
    <w:p>
      <w:pPr>
        <w:ind w:right="40" w:firstLine="648"/>
        <w:spacing w:after="0" w:line="184" w:lineRule="exact"/>
        <w:rPr>
          <w:sz w:val="20"/>
          <w:szCs w:val="20"/>
          <w:color w:val="auto"/>
        </w:rPr>
      </w:pPr>
      <w:r>
        <w:rPr>
          <w:rFonts w:ascii="Times New Roman" w:cs="Times New Roman" w:eastAsia="Times New Roman" w:hAnsi="Times New Roman"/>
          <w:sz w:val="18"/>
          <w:szCs w:val="18"/>
          <w:color w:val="auto"/>
        </w:rPr>
        <w:t>Even if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infringing manner. For example, a third party may develop a competitive drug that provides benefits similar to one or more of our drug candidates but that has a different composition that falls outside the scope of our patent protection. If the patent protection provided by the patents and patent applications we hold or pursue with respect to our drug candidates is not sufficiently broad to impede such competition, our ability to successfully commercialize our drug candidates could be negatively affected, which would harm our business.</w:t>
      </w:r>
    </w:p>
    <w:p>
      <w:pPr>
        <w:spacing w:after="0" w:line="155" w:lineRule="exact"/>
        <w:rPr>
          <w:sz w:val="20"/>
          <w:szCs w:val="20"/>
          <w:color w:val="auto"/>
        </w:rPr>
      </w:pPr>
    </w:p>
    <w:p>
      <w:pPr>
        <w:ind w:right="120"/>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57"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 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Many companies have filed, and continue to file, patent applications related to kinase inhibitors. Some of these patent applications have already been allowed or issued, and others may issue in the future. For example, we are aware of a U.S. patent application owned by a third party that has generic composition of matter claims that could cover BLU-554.</w:t>
      </w:r>
    </w:p>
    <w:p>
      <w:pPr>
        <w:spacing w:after="0" w:line="160" w:lineRule="exact"/>
        <w:rPr>
          <w:sz w:val="20"/>
          <w:szCs w:val="20"/>
          <w:color w:val="auto"/>
        </w:rPr>
      </w:pPr>
    </w:p>
    <w:p>
      <w:pPr>
        <w:ind w:firstLine="648"/>
        <w:spacing w:after="0" w:line="214" w:lineRule="auto"/>
        <w:rPr>
          <w:sz w:val="20"/>
          <w:szCs w:val="20"/>
          <w:color w:val="auto"/>
        </w:rPr>
      </w:pPr>
      <w:r>
        <w:rPr>
          <w:rFonts w:ascii="Times New Roman" w:cs="Times New Roman" w:eastAsia="Times New Roman" w:hAnsi="Times New Roman"/>
          <w:sz w:val="18"/>
          <w:szCs w:val="18"/>
          <w:color w:val="auto"/>
        </w:rPr>
        <w:t>Since this area is competitive and of strong interest to pharmaceutical and biotechnology companies, there will likely be additional patent applications filed and additional patents granted in the future, as well as additional research and development programs expected in the future. Furthermore, because patent applications can take many years to issue and may be confidential for 18 months or more after filing, and because pending patent claims can be revised before issuance, there may be applications now pending which may later result in issued patents that may be infringed by the manufacture, use or sale of our drug candidates. If a patent holder believes our drug or drug candidate infringes on its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95" w:lineRule="exact"/>
        <w:rPr>
          <w:sz w:val="20"/>
          <w:szCs w:val="20"/>
          <w:color w:val="auto"/>
        </w:rPr>
      </w:pPr>
      <w:r>
        <w:rPr>
          <w:rFonts w:ascii="Times New Roman" w:cs="Times New Roman" w:eastAsia="Times New Roman" w:hAnsi="Times New Roman"/>
          <w:sz w:val="18"/>
          <w:szCs w:val="18"/>
          <w:color w:val="auto"/>
        </w:rPr>
        <w:t>patent, the patent holder may sue us even if we have received patent protection for our technology. Moreover, we may face patent infringement claims from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practicing entities that have no relevant drug revenue and against whom our own patent portfolio may thus have no deterrent effect.</w:t>
      </w:r>
    </w:p>
    <w:p>
      <w:pPr>
        <w:spacing w:after="0" w:line="158"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 rights. A finding of infringement could prevent us from commercializing our drug candidates or force us to cease some of our business operations, which could materially harm our business.</w:t>
      </w:r>
    </w:p>
    <w:p>
      <w:pPr>
        <w:spacing w:after="0" w:line="154" w:lineRule="exact"/>
        <w:rPr>
          <w:sz w:val="20"/>
          <w:szCs w:val="20"/>
          <w:color w:val="auto"/>
        </w:rPr>
      </w:pPr>
    </w:p>
    <w:p>
      <w:pPr>
        <w:ind w:right="160"/>
        <w:spacing w:after="0"/>
        <w:rPr>
          <w:sz w:val="20"/>
          <w:szCs w:val="20"/>
          <w:color w:val="auto"/>
        </w:rPr>
      </w:pPr>
      <w:r>
        <w:rPr>
          <w:rFonts w:ascii="Times New Roman" w:cs="Times New Roman" w:eastAsia="Times New Roman" w:hAnsi="Times New Roman"/>
          <w:sz w:val="18"/>
          <w:szCs w:val="18"/>
          <w:b w:val="1"/>
          <w:bCs w:val="1"/>
          <w:i w:val="1"/>
          <w:iCs w:val="1"/>
          <w:color w:val="auto"/>
        </w:rPr>
        <w:t>We may become involved in lawsuits to protect or enforce our patents and other intellectual property rights, which could be expensive, time consuming and unsuccessful.</w:t>
      </w:r>
    </w:p>
    <w:p>
      <w:pPr>
        <w:spacing w:after="0" w:line="157" w:lineRule="exact"/>
        <w:rPr>
          <w:sz w:val="20"/>
          <w:szCs w:val="20"/>
          <w:color w:val="auto"/>
        </w:rPr>
      </w:pPr>
    </w:p>
    <w:p>
      <w:pPr>
        <w:ind w:right="20" w:firstLine="648"/>
        <w:spacing w:after="0" w:line="180" w:lineRule="exact"/>
        <w:rPr>
          <w:sz w:val="20"/>
          <w:szCs w:val="20"/>
          <w:color w:val="auto"/>
        </w:rPr>
      </w:pPr>
      <w:r>
        <w:rPr>
          <w:rFonts w:ascii="Times New Roman" w:cs="Times New Roman" w:eastAsia="Times New Roman" w:hAnsi="Times New Roman"/>
          <w:sz w:val="18"/>
          <w:szCs w:val="18"/>
          <w:color w:val="auto"/>
        </w:rPr>
        <w:t>Competitors and other third parties may infringe, misappropriate or otherwise violate our patents and other intellectual property rights. To counter infringement or unauthorized use, we may be required to file infringement claims. A court may disagree with our allegations, however, and may refuse to stop the other party from using the technology at issue on the grounds that our patents do not cover the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technology in question. Further, such third parties could counterclaim that we infringe their intellectual property or that a patent we have asserted against them is invalid or unenforceable. 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3" w:lineRule="exact"/>
        <w:rPr>
          <w:sz w:val="20"/>
          <w:szCs w:val="20"/>
          <w:color w:val="auto"/>
        </w:rPr>
      </w:pPr>
    </w:p>
    <w:p>
      <w:pPr>
        <w:ind w:right="80" w:firstLine="648"/>
        <w:spacing w:after="0" w:line="213" w:lineRule="auto"/>
        <w:rPr>
          <w:sz w:val="20"/>
          <w:szCs w:val="20"/>
          <w:color w:val="auto"/>
        </w:rPr>
      </w:pPr>
      <w:r>
        <w:rPr>
          <w:rFonts w:ascii="Times New Roman" w:cs="Times New Roman" w:eastAsia="Times New Roman" w:hAnsi="Times New Roman"/>
          <w:sz w:val="18"/>
          <w:szCs w:val="18"/>
          <w:color w:val="auto"/>
        </w:rPr>
        <w:t>An adverse result in any litigation proceeding could put one or more of our patents at risk of being invalidated or interpreted narrowly. If a defendant were to prevail on a legal assertion of invalidity or unenforceability of our patents covering one of our drug candidates, we would lose at least part, and perhaps all, of the patent protection covering such drug candidate. 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155"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litigation could cause us to spend substantial resources and distract our personnel from their normal responsibilities.</w:t>
      </w:r>
    </w:p>
    <w:p>
      <w:pPr>
        <w:spacing w:after="0" w:line="157" w:lineRule="exact"/>
        <w:rPr>
          <w:sz w:val="20"/>
          <w:szCs w:val="20"/>
          <w:color w:val="auto"/>
        </w:rPr>
      </w:pPr>
    </w:p>
    <w:p>
      <w:pPr>
        <w:ind w:right="80" w:firstLine="648"/>
        <w:spacing w:after="0" w:line="211" w:lineRule="auto"/>
        <w:rPr>
          <w:sz w:val="20"/>
          <w:szCs w:val="20"/>
          <w:color w:val="auto"/>
        </w:rPr>
      </w:pPr>
      <w:r>
        <w:rPr>
          <w:rFonts w:ascii="Times New Roman" w:cs="Times New Roman" w:eastAsia="Times New Roman" w:hAnsi="Times New Roman"/>
          <w:sz w:val="18"/>
          <w:szCs w:val="18"/>
          <w:color w:val="auto"/>
        </w:rPr>
        <w:t>Litigation or other legal proceedings relating to intellectual property claims, with or without merit, is unpredictable and generally expensive and time consuming and 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58" w:lineRule="exact"/>
        <w:rPr>
          <w:sz w:val="20"/>
          <w:szCs w:val="20"/>
          <w:color w:val="auto"/>
        </w:rPr>
      </w:pPr>
    </w:p>
    <w:p>
      <w:pPr>
        <w:ind w:right="120" w:firstLine="648"/>
        <w:spacing w:after="0" w:line="237" w:lineRule="auto"/>
        <w:rPr>
          <w:sz w:val="20"/>
          <w:szCs w:val="20"/>
          <w:color w:val="auto"/>
        </w:rPr>
      </w:pPr>
      <w:r>
        <w:rPr>
          <w:rFonts w:ascii="Times New Roman" w:cs="Times New Roman" w:eastAsia="Times New Roman" w:hAnsi="Times New Roman"/>
          <w:sz w:val="18"/>
          <w:szCs w:val="18"/>
          <w:color w:val="auto"/>
        </w:rPr>
        <w:t>We may not have sufficient financial or other resources to adequately conduct such litigation or proceedings. Some of our competitors may be able to sustain the costs of such litigation or proceedings more effectively than we can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8"/>
          <w:szCs w:val="18"/>
          <w:color w:val="auto"/>
        </w:rPr>
        <w:t>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55" w:lineRule="exact"/>
        <w:rPr>
          <w:sz w:val="20"/>
          <w:szCs w:val="20"/>
          <w:color w:val="auto"/>
        </w:rPr>
      </w:pPr>
    </w:p>
    <w:p>
      <w:pPr>
        <w:ind w:right="40"/>
        <w:spacing w:after="0" w:line="203" w:lineRule="exact"/>
        <w:rPr>
          <w:sz w:val="20"/>
          <w:szCs w:val="20"/>
          <w:color w:val="auto"/>
        </w:rPr>
      </w:pPr>
      <w:r>
        <w:rPr>
          <w:rFonts w:ascii="Times New Roman" w:cs="Times New Roman" w:eastAsia="Times New Roman" w:hAnsi="Times New Roman"/>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these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876935</wp:posOffset>
            </wp:positionH>
            <wp:positionV relativeFrom="paragraph">
              <wp:posOffset>-99060</wp:posOffset>
            </wp:positionV>
            <wp:extent cx="64135" cy="393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9" w:lineRule="exact"/>
        <w:rPr>
          <w:sz w:val="20"/>
          <w:szCs w:val="20"/>
          <w:color w:val="auto"/>
        </w:rPr>
      </w:pPr>
    </w:p>
    <w:p>
      <w:pPr>
        <w:ind w:right="40" w:firstLine="648"/>
        <w:spacing w:after="0" w:line="181" w:lineRule="exact"/>
        <w:rPr>
          <w:sz w:val="20"/>
          <w:szCs w:val="20"/>
          <w:color w:val="auto"/>
        </w:rPr>
      </w:pPr>
      <w:r>
        <w:rPr>
          <w:rFonts w:ascii="Times New Roman" w:cs="Times New Roman" w:eastAsia="Times New Roman" w:hAnsi="Times New Roman"/>
          <w:sz w:val="18"/>
          <w:szCs w:val="18"/>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compliance events that could result in abandonment or lapse of a patent or patent application include, but are not limited to, failure to respond to official actions within prescribed time limits,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of fees and failure to properly legalize and submit formal documents. If we fail to maintain the patents and patent applications covering our drugs or procedures, we may not be able to stop a competitor from marketing drugs that are the same as or similar to our drug candidates, which would have a material adverse effect on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effectively enforce our intellectual property rights throughout the world.</w:t>
      </w:r>
    </w:p>
    <w:p>
      <w:pPr>
        <w:spacing w:after="0" w:line="189"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18"/>
          <w:szCs w:val="18"/>
          <w:color w:val="auto"/>
        </w:rPr>
        <w:t>Filing, prosecuting and defending patents on our drug candidates in all countries throughout the world would be prohibitively expensive. The requirements for patentability may differ in certain countries, particularly in developing countries. Moreover, our ability to protect and enforce our intellectual property rights may be adversely affected by unforeseen changes in foreign intellectual property laws. In addition, the patent laws of some foreign countries do not afford intellectual property protection to the same extent as the laws of the United States. Many companies have encountered significant problems in protecting and defending intellectual property rights in certain foreign jurisdictions. The legal systems of some countries, particularly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all countries outside the United States. Competitors may use our technologies in jurisdictions where we have not obtained patent protection to develop their own drugs and, further, may export otherwise infringing drugs to territories where we have patent protection, if our ability to enforce our patents to stop infringing activities is inadequate. These drugs may compete with our drug candidates, and our patents or other intellectual property rights may not be effective or sufficient to prevent them from competing.</w:t>
      </w:r>
    </w:p>
    <w:p>
      <w:pPr>
        <w:spacing w:after="0" w:line="159" w:lineRule="exact"/>
        <w:rPr>
          <w:sz w:val="20"/>
          <w:szCs w:val="20"/>
          <w:color w:val="auto"/>
        </w:rPr>
      </w:pPr>
    </w:p>
    <w:p>
      <w:pPr>
        <w:ind w:right="100" w:firstLine="648"/>
        <w:spacing w:after="0" w:line="217" w:lineRule="auto"/>
        <w:rPr>
          <w:sz w:val="20"/>
          <w:szCs w:val="20"/>
          <w:color w:val="auto"/>
        </w:rPr>
      </w:pPr>
      <w:r>
        <w:rPr>
          <w:rFonts w:ascii="Times New Roman" w:cs="Times New Roman" w:eastAsia="Times New Roman" w:hAnsi="Times New Roman"/>
          <w:sz w:val="18"/>
          <w:szCs w:val="18"/>
          <w:color w:val="auto"/>
        </w:rPr>
        <w:t>Proceedings to enforce our patent rights in foreign jurisdictions, whether or not successful, could result in substantial costs and divert our efforts and resources from other aspects of our business. Furthermore, while we intend to protect our intellectual property rights in the major markets for our drug candidates, we cannot ensure that we will be able to initiate or maintain similar efforts in all jurisdictions in which we may wish to market our drug candidates. Accordingly, our efforts to protect our intellectual property rights in such countries may be inadequate.</w:t>
      </w:r>
    </w:p>
    <w:p>
      <w:pPr>
        <w:spacing w:after="0" w:line="154" w:lineRule="exact"/>
        <w:rPr>
          <w:sz w:val="20"/>
          <w:szCs w:val="20"/>
          <w:color w:val="auto"/>
        </w:rPr>
      </w:pPr>
    </w:p>
    <w:p>
      <w:pPr>
        <w:ind w:right="420"/>
        <w:spacing w:after="0"/>
        <w:rPr>
          <w:sz w:val="20"/>
          <w:szCs w:val="20"/>
          <w:color w:val="auto"/>
        </w:rPr>
      </w:pPr>
      <w:r>
        <w:rPr>
          <w:rFonts w:ascii="Times New Roman" w:cs="Times New Roman" w:eastAsia="Times New Roman" w:hAnsi="Times New Roman"/>
          <w:sz w:val="18"/>
          <w:szCs w:val="18"/>
          <w:b w:val="1"/>
          <w:bCs w:val="1"/>
          <w:i w:val="1"/>
          <w:iCs w:val="1"/>
          <w:color w:val="auto"/>
        </w:rPr>
        <w:t>Changes to the patent law in the United States and other jurisdictions could diminish the value of patents in general, thereby impairing our ability to protect our drug candidates.</w:t>
      </w:r>
    </w:p>
    <w:p>
      <w:pPr>
        <w:spacing w:after="0" w:line="157" w:lineRule="exact"/>
        <w:rPr>
          <w:sz w:val="20"/>
          <w:szCs w:val="20"/>
          <w:color w:val="auto"/>
        </w:rPr>
      </w:pPr>
    </w:p>
    <w:p>
      <w:pPr>
        <w:ind w:right="80" w:firstLine="648"/>
        <w:spacing w:after="0" w:line="185" w:lineRule="exact"/>
        <w:rPr>
          <w:sz w:val="20"/>
          <w:szCs w:val="20"/>
          <w:color w:val="auto"/>
        </w:rPr>
      </w:pPr>
      <w:r>
        <w:rPr>
          <w:rFonts w:ascii="Times New Roman" w:cs="Times New Roman" w:eastAsia="Times New Roman" w:hAnsi="Times New Roman"/>
          <w:sz w:val="18"/>
          <w:szCs w:val="18"/>
          <w:color w:val="auto"/>
        </w:rPr>
        <w:t>As is the case with other biopharmaceutical companies, our success is heavily dependent on intellectual property, particularly patents. Obtaining and enforcing patents in the biopharmaceutical industry involve both technological and legal complexity and is therefore costly, time consuming and inherently uncertain. Recent patent reform legislation in the United States and other countries, including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America Invents Act, or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signed into law on September 16, 2011, could increase those uncertainties and costs.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includes a number of significant changes to U.S. patent law. These include provisions that affect the way patent applications are prosecuted, redefine prior art and provide more efficient and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avenues for competitors to challenge the validity of patents. In addition,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has transformed the U.S. patent system into a “first to</w:t>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280" w:lineRule="exact"/>
        <w:rPr>
          <w:sz w:val="20"/>
          <w:szCs w:val="20"/>
          <w:color w:val="auto"/>
        </w:rPr>
      </w:pPr>
    </w:p>
    <w:p>
      <w:pPr>
        <w:ind w:right="99"/>
        <w:spacing w:after="0" w:line="193" w:lineRule="exact"/>
        <w:rPr>
          <w:sz w:val="20"/>
          <w:szCs w:val="20"/>
          <w:color w:val="auto"/>
        </w:rPr>
      </w:pPr>
      <w:r>
        <w:rPr>
          <w:rFonts w:ascii="Times New Roman" w:cs="Times New Roman" w:eastAsia="Times New Roman" w:hAnsi="Times New Roman"/>
          <w:sz w:val="18"/>
          <w:szCs w:val="18"/>
          <w:color w:val="auto"/>
        </w:rPr>
        <w:t>file” system. The first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file provisions, however, only became effective on March 16, 2013. Accordingly, it is not yet clear what, if any, impact the Leahy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Smith Act will have on the operation of our business. However, the Leahy-Smith Act and its implementation could make it more difficult to obtain patent protection for our inventions and increase the uncertainties and costs surrounding the prosecution of our patent applications and the enforcement or defense of our issued patents, all of which could harm our business, results of operations and financial condition.</w:t>
      </w:r>
    </w:p>
    <w:p>
      <w:pPr>
        <w:spacing w:after="0" w:line="161" w:lineRule="exact"/>
        <w:rPr>
          <w:sz w:val="20"/>
          <w:szCs w:val="20"/>
          <w:color w:val="auto"/>
        </w:rPr>
      </w:pPr>
    </w:p>
    <w:p>
      <w:pPr>
        <w:ind w:right="59" w:firstLine="648"/>
        <w:spacing w:after="0" w:line="184" w:lineRule="exact"/>
        <w:rPr>
          <w:sz w:val="20"/>
          <w:szCs w:val="20"/>
          <w:color w:val="auto"/>
        </w:rPr>
      </w:pPr>
      <w:r>
        <w:rPr>
          <w:rFonts w:ascii="Times New Roman" w:cs="Times New Roman" w:eastAsia="Times New Roman" w:hAnsi="Times New Roman"/>
          <w:sz w:val="18"/>
          <w:szCs w:val="18"/>
          <w:color w:val="auto"/>
        </w:rPr>
        <w:t>The U.S. Supreme Court has ruled on several patent cases in recent years, either narrowing the scope of patent protection available in certain circumstances or weakening the rights of patent owners in certain situations. In addition, there have been recent proposals for additional changes to the patent laws of the United States and other countries that, if adopted, could impact our ability to obtain patent protection for our proprietary technology or our ability to enforce our proprietary technology. Depending on future actions by the U.S. Congress, the U.S. courts, the USPTO and the relevant law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making bodies in other countries, the laws and regulations governing patents could change in unpredictable ways that would weaken our ability to obtain new patents or to enforce our existing patents and patents that we might obtain in the future.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trade secrets, our business and competitive position may be harmed.</w:t>
      </w:r>
    </w:p>
    <w:p>
      <w:pPr>
        <w:spacing w:after="0" w:line="189" w:lineRule="exact"/>
        <w:rPr>
          <w:sz w:val="20"/>
          <w:szCs w:val="20"/>
          <w:color w:val="auto"/>
        </w:rPr>
      </w:pPr>
    </w:p>
    <w:p>
      <w:pPr>
        <w:ind w:right="39" w:firstLine="648"/>
        <w:spacing w:after="0" w:line="180" w:lineRule="exact"/>
        <w:rPr>
          <w:sz w:val="20"/>
          <w:szCs w:val="20"/>
          <w:color w:val="auto"/>
        </w:rPr>
      </w:pPr>
      <w:r>
        <w:rPr>
          <w:rFonts w:ascii="Times New Roman" w:cs="Times New Roman" w:eastAsia="Times New Roman" w:hAnsi="Times New Roman"/>
          <w:sz w:val="18"/>
          <w:szCs w:val="18"/>
          <w:color w:val="auto"/>
        </w:rPr>
        <w:t>In addition to the protection afforded by patents, we rely upon unpatented trade secret protection, unpatented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and continuing technological innovation to develop and maintain our competitive position. With respect to the building of our proprietary compound library, we consider trade secrets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 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 consuming, and the outcome is unpredictable. In addition, courts outside the United States are sometimes less willing to protect trade secrets.</w:t>
      </w:r>
    </w:p>
    <w:p>
      <w:pPr>
        <w:spacing w:after="0" w:line="163" w:lineRule="exact"/>
        <w:rPr>
          <w:sz w:val="20"/>
          <w:szCs w:val="20"/>
          <w:color w:val="auto"/>
        </w:rPr>
      </w:pPr>
    </w:p>
    <w:p>
      <w:pPr>
        <w:ind w:right="159" w:firstLine="648"/>
        <w:spacing w:after="0" w:line="212" w:lineRule="auto"/>
        <w:rPr>
          <w:sz w:val="20"/>
          <w:szCs w:val="20"/>
          <w:color w:val="auto"/>
        </w:rPr>
      </w:pPr>
      <w:r>
        <w:rPr>
          <w:rFonts w:ascii="Times New Roman" w:cs="Times New Roman" w:eastAsia="Times New Roman" w:hAnsi="Times New Roman"/>
          <w:sz w:val="18"/>
          <w:szCs w:val="18"/>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54" w:lineRule="exact"/>
        <w:rPr>
          <w:sz w:val="20"/>
          <w:szCs w:val="20"/>
          <w:color w:val="auto"/>
        </w:rPr>
      </w:pPr>
    </w:p>
    <w:p>
      <w:pPr>
        <w:ind w:right="59"/>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We may be subject to damages resulting from claims that we or our employees have wrongfully used or disclosed alleged trade secrets of our competitors or are in breach of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competition or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solicitation agreements with our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2604135</wp:posOffset>
            </wp:positionH>
            <wp:positionV relativeFrom="paragraph">
              <wp:posOffset>-99060</wp:posOffset>
            </wp:positionV>
            <wp:extent cx="64135" cy="393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4135" cy="39370"/>
                    </a:xfrm>
                    <a:prstGeom prst="rect">
                      <a:avLst/>
                    </a:prstGeom>
                    <a:noFill/>
                  </pic:spPr>
                </pic:pic>
              </a:graphicData>
            </a:graphic>
          </wp:anchor>
        </w:drawing>
        <w:drawing>
          <wp:anchor simplePos="0" relativeHeight="251657728" behindDoc="1" locked="0" layoutInCell="0" allowOverlap="1">
            <wp:simplePos x="0" y="0"/>
            <wp:positionH relativeFrom="column">
              <wp:posOffset>3542665</wp:posOffset>
            </wp:positionH>
            <wp:positionV relativeFrom="paragraph">
              <wp:posOffset>-99060</wp:posOffset>
            </wp:positionV>
            <wp:extent cx="64135" cy="3937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199" w:firstLine="648"/>
        <w:spacing w:after="0" w:line="182" w:lineRule="exact"/>
        <w:rPr>
          <w:sz w:val="20"/>
          <w:szCs w:val="20"/>
          <w:color w:val="auto"/>
        </w:rPr>
      </w:pPr>
      <w:r>
        <w:rPr>
          <w:rFonts w:ascii="Times New Roman" w:cs="Times New Roman" w:eastAsia="Times New Roman" w:hAnsi="Times New Roman"/>
          <w:sz w:val="18"/>
          <w:szCs w:val="18"/>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how or trade secrets of others in their work for us, we may in the future be subject to claims that we caused an employee to breach the terms of his or her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competition or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w:t>
      </w: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13" w:lineRule="auto"/>
        <w:rPr>
          <w:sz w:val="20"/>
          <w:szCs w:val="20"/>
          <w:color w:val="auto"/>
        </w:rPr>
      </w:pPr>
      <w:r>
        <w:rPr>
          <w:rFonts w:ascii="Times New Roman" w:cs="Times New Roman" w:eastAsia="Times New Roman" w:hAnsi="Times New Roman"/>
          <w:sz w:val="18"/>
          <w:szCs w:val="18"/>
          <w:color w:val="auto"/>
        </w:rPr>
        <w:t>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55" w:lineRule="exact"/>
        <w:rPr>
          <w:sz w:val="20"/>
          <w:szCs w:val="20"/>
          <w:color w:val="auto"/>
        </w:rPr>
      </w:pPr>
    </w:p>
    <w:p>
      <w:pPr>
        <w:ind w:left="820"/>
        <w:spacing w:after="0"/>
        <w:rPr>
          <w:sz w:val="20"/>
          <w:szCs w:val="20"/>
          <w:color w:val="auto"/>
        </w:rPr>
      </w:pPr>
      <w:r>
        <w:rPr>
          <w:rFonts w:ascii="Times New Roman" w:cs="Times New Roman" w:eastAsia="Times New Roman" w:hAnsi="Times New Roman"/>
          <w:sz w:val="18"/>
          <w:szCs w:val="18"/>
          <w:b w:val="1"/>
          <w:bCs w:val="1"/>
          <w:color w:val="auto"/>
        </w:rPr>
        <w:t>Risks Related to Employee Matters, Managing Growth and Other Risks Related to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success depends on our ability to retain key executives and to attract, retain and motivate qualified personnel.</w:t>
      </w:r>
    </w:p>
    <w:p>
      <w:pPr>
        <w:spacing w:after="0" w:line="189"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We are highly dependent on the research and development, clinical, business development and financial expertise of Jeffrey W. Albers, our President and Chief Executive Officer, Anthony L. Boral, our Chief Medical Officer, Christoph Lengauer, our Chief Scientific Officer, Kathryn Haviland, our Chief Business Officer, and Michael Landsittel, our Vice President of Finance, as well as the other principal members of our management, scientific and clinical team. Although we have entered into employment agreements with our executive officers, other than Mr. Landsittel,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5" w:lineRule="exact"/>
        <w:rPr>
          <w:sz w:val="20"/>
          <w:szCs w:val="20"/>
          <w:color w:val="auto"/>
        </w:rPr>
      </w:pPr>
    </w:p>
    <w:p>
      <w:pPr>
        <w:ind w:right="20" w:firstLine="648"/>
        <w:spacing w:after="0" w:line="209" w:lineRule="auto"/>
        <w:rPr>
          <w:sz w:val="20"/>
          <w:szCs w:val="20"/>
          <w:color w:val="auto"/>
        </w:rPr>
      </w:pPr>
      <w:r>
        <w:rPr>
          <w:rFonts w:ascii="Times New Roman" w:cs="Times New Roman" w:eastAsia="Times New Roman" w:hAnsi="Times New Roman"/>
          <w:sz w:val="18"/>
          <w:szCs w:val="18"/>
          <w:color w:val="auto"/>
        </w:rPr>
        <w:t>We expect to continue hiring qualified development personnel. Recruiting and retaining qualified scientific, clinical, manufacturing and sales and marketing personnel will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key employees and executive officers may be difficult and may take an extended period of time because of the limited number of individuals in our industry with the breadth of skills and experience required to successfully develop, gain regulatory approval of and commercialize drugs.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Failure to succeed in clinical trials may make it more challenging to recruit and retain qualified scientific personnel.</w:t>
      </w:r>
    </w:p>
    <w:p>
      <w:pPr>
        <w:spacing w:after="0" w:line="161" w:lineRule="exact"/>
        <w:rPr>
          <w:sz w:val="20"/>
          <w:szCs w:val="20"/>
          <w:color w:val="auto"/>
        </w:rPr>
      </w:pPr>
    </w:p>
    <w:p>
      <w:pPr>
        <w:ind w:right="180"/>
        <w:spacing w:after="0"/>
        <w:rPr>
          <w:sz w:val="20"/>
          <w:szCs w:val="20"/>
          <w:color w:val="auto"/>
        </w:rPr>
      </w:pPr>
      <w:r>
        <w:rPr>
          <w:rFonts w:ascii="Times New Roman" w:cs="Times New Roman" w:eastAsia="Times New Roman" w:hAnsi="Times New Roman"/>
          <w:sz w:val="18"/>
          <w:szCs w:val="18"/>
          <w:b w:val="1"/>
          <w:bCs w:val="1"/>
          <w:i w:val="1"/>
          <w:iCs w:val="1"/>
          <w:color w:val="auto"/>
        </w:rPr>
        <w:t>We will need to develop and expand our company, and we may encounter difficulties in managing this development and expansion, which could disrupt our operations.</w:t>
      </w:r>
    </w:p>
    <w:p>
      <w:pPr>
        <w:spacing w:after="0" w:line="129"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As of July 31, 2016, we had 91 full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time employees, and in connection with operating as a public company, we expect to increase our number of employees and the scope of our operations. To manage our anticipated development and expansion, we must continue to implement and improve our managerial, operational and financial systems, expand our facilities and continue to recruit and train additional qualified personnel. Also, our management may need to divert a disproportionate amount of its attention away from its day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The physical expansion of our operations may lead to significant costs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company.</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08" w:right="143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global economic conditions could adversely affect our business, financial condition or results of operations.</w:t>
      </w:r>
    </w:p>
    <w:p>
      <w:pPr>
        <w:spacing w:after="0" w:line="189"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Our results of operations could be adversely affected by general conditions in the global economy and in the global financial markets. For example, the global financial crisis caused extreme volatility and disruptions in the capital and credit markets. A severe or prolonged economic downturn, such as the global financial crisis,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 In addition, Brexit has already and may continue to adversely affect European and/or worldwide economic or market, political or regulatory conditions and may contribute to instability in the global financial markets, political institutions and regulatory agencies. The long-term impact of Brexit, including on our business and our industry, will depend on the terms that are negotiated in relation to the United Kingdom's future relationship with the European Union. Any of the foregoing could harm our business and we cannot anticipate all of the ways in which the current economic climate and financial market conditions could adversely impact our business.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or the third parties upon whom we depend may be adversely affected by earthquakes or other natural disasters and our business continuity and disaster recovery plans may not adequately protect us from a serious disaster.</w:t>
      </w:r>
    </w:p>
    <w:p>
      <w:pPr>
        <w:spacing w:after="0" w:line="157" w:lineRule="exact"/>
        <w:rPr>
          <w:sz w:val="20"/>
          <w:szCs w:val="20"/>
          <w:color w:val="auto"/>
        </w:rPr>
      </w:pPr>
    </w:p>
    <w:p>
      <w:pPr>
        <w:ind w:right="160" w:firstLine="648"/>
        <w:spacing w:after="0" w:line="183" w:lineRule="exact"/>
        <w:rPr>
          <w:sz w:val="20"/>
          <w:szCs w:val="20"/>
          <w:color w:val="auto"/>
        </w:rPr>
      </w:pPr>
      <w:r>
        <w:rPr>
          <w:rFonts w:ascii="Times New Roman" w:cs="Times New Roman" w:eastAsia="Times New Roman" w:hAnsi="Times New Roman"/>
          <w:sz w:val="18"/>
          <w:szCs w:val="18"/>
          <w:color w:val="auto"/>
        </w:rPr>
        <w:t>Earthquakes or other natural disasters could severely disrupt our operations, and have a material adverse effect on our business, results of operations, financial condition and prospects. If a natural disaster, power outage or other event occurred that prevented us from using all or a significant portion of our headquarters, that damaged critical infrastructure, such as the manufacturing facilities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contract manufacturers, or that otherwise disrupted operations, it may be difficult or, in certain cases, impossible for us to continue our business for a substantial period of time. 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adverse effect on our business.</w:t>
      </w:r>
    </w:p>
    <w:p>
      <w:pPr>
        <w:spacing w:after="0" w:line="129" w:lineRule="exact"/>
        <w:rPr>
          <w:sz w:val="20"/>
          <w:szCs w:val="20"/>
          <w:color w:val="auto"/>
        </w:rPr>
      </w:pPr>
    </w:p>
    <w:p>
      <w:pPr>
        <w:ind w:right="240"/>
        <w:spacing w:after="0" w:line="220" w:lineRule="exact"/>
        <w:rPr>
          <w:sz w:val="20"/>
          <w:szCs w:val="20"/>
          <w:color w:val="auto"/>
        </w:rPr>
      </w:pPr>
      <w:r>
        <w:rPr>
          <w:rFonts w:ascii="Times New Roman" w:cs="Times New Roman" w:eastAsia="Times New Roman" w:hAnsi="Times New Roman"/>
          <w:sz w:val="18"/>
          <w:szCs w:val="18"/>
          <w:b w:val="1"/>
          <w:bCs w:val="1"/>
          <w:i w:val="1"/>
          <w:iCs w:val="1"/>
          <w:color w:val="auto"/>
        </w:rPr>
        <w:t>Our internal computer systems, or those of our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CROs or other contractors or consultants, may fail or suffer security breaches, which could result in a material disruption of our drug candidates’ development programs.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2461895</wp:posOffset>
            </wp:positionH>
            <wp:positionV relativeFrom="paragraph">
              <wp:posOffset>-198120</wp:posOffset>
            </wp:positionV>
            <wp:extent cx="64135" cy="3937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09" w:lineRule="exact"/>
        <w:rPr>
          <w:sz w:val="20"/>
          <w:szCs w:val="20"/>
          <w:color w:val="auto"/>
        </w:rPr>
      </w:pPr>
    </w:p>
    <w:p>
      <w:pPr>
        <w:ind w:right="20" w:firstLine="648"/>
        <w:spacing w:after="0" w:line="185" w:lineRule="exact"/>
        <w:rPr>
          <w:sz w:val="20"/>
          <w:szCs w:val="20"/>
          <w:color w:val="auto"/>
        </w:rPr>
      </w:pPr>
      <w:r>
        <w:rPr>
          <w:rFonts w:ascii="Times New Roman" w:cs="Times New Roman" w:eastAsia="Times New Roman" w:hAnsi="Times New Roman"/>
          <w:sz w:val="18"/>
          <w:szCs w:val="18"/>
          <w:color w:val="auto"/>
        </w:rPr>
        <w:t>Despite the implementation of security measures, our internal computer systems and those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CROs and other contractors and consultants are vulnerable to damage from computer viruses, unauthorized access, natural disasters, terrorism, war and telecommunication and electrical failures. While we have not experienced any such system failure, accident, or security breach to date, if such an event were to occur and cause interruptions in our operations, it could result in a material disruption of our programs. For example, the loss of clinical trial data for our drug candidates could result in delays in our regulatory approval efforts and significantly increase our costs to recover or reproduce the data. To the extent that any disruption or security breach results in a loss of or damage to our data or applications or other data or applications relating to our technology or drug candidates, or inappropriate disclosure of confidential or proprietary information, we could incur liabilities and the further development of our drug candidates could be delayed.</w:t>
      </w:r>
    </w:p>
    <w:p>
      <w:pPr>
        <w:spacing w:after="0" w:line="160" w:lineRule="exact"/>
        <w:rPr>
          <w:sz w:val="20"/>
          <w:szCs w:val="20"/>
          <w:color w:val="auto"/>
        </w:rPr>
      </w:pPr>
    </w:p>
    <w:p>
      <w:pPr>
        <w:ind w:right="340"/>
        <w:spacing w:after="0" w:line="217" w:lineRule="exact"/>
        <w:rPr>
          <w:sz w:val="20"/>
          <w:szCs w:val="20"/>
          <w:color w:val="auto"/>
        </w:rPr>
      </w:pPr>
      <w:r>
        <w:rPr>
          <w:rFonts w:ascii="Times New Roman" w:cs="Times New Roman" w:eastAsia="Times New Roman" w:hAnsi="Times New Roman"/>
          <w:sz w:val="18"/>
          <w:szCs w:val="18"/>
          <w:b w:val="1"/>
          <w:bCs w:val="1"/>
          <w:i w:val="1"/>
          <w:iCs w:val="1"/>
          <w:color w:val="auto"/>
        </w:rPr>
        <w:t>Our employees, principal investigators, CROs and consultants may engage in misconduct or other improper activities, including non</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compliance with regulatory standards and requirements and insider trading.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664210</wp:posOffset>
            </wp:positionH>
            <wp:positionV relativeFrom="paragraph">
              <wp:posOffset>-99060</wp:posOffset>
            </wp:positionV>
            <wp:extent cx="64135" cy="393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118" w:lineRule="exact"/>
        <w:rPr>
          <w:sz w:val="20"/>
          <w:szCs w:val="20"/>
          <w:color w:val="auto"/>
        </w:rPr>
      </w:pPr>
    </w:p>
    <w:p>
      <w:pPr>
        <w:ind w:right="80" w:firstLine="648"/>
        <w:spacing w:after="0" w:line="181" w:lineRule="exact"/>
        <w:rPr>
          <w:sz w:val="20"/>
          <w:szCs w:val="20"/>
          <w:color w:val="auto"/>
        </w:rPr>
      </w:pPr>
      <w:r>
        <w:rPr>
          <w:rFonts w:ascii="Times New Roman" w:cs="Times New Roman" w:eastAsia="Times New Roman" w:hAnsi="Times New Roman"/>
          <w:sz w:val="18"/>
          <w:szCs w:val="18"/>
          <w:color w:val="auto"/>
        </w:rPr>
        <w:t>We are exposed to the risk that our employees, principal investigators, CROs and consultants may engage in fraudulent conduct or other illegal activity. Misconduct by these parties could include intentional, reckless and/or negligent conduct or disclosure of unauthorized activities to us that violate the regulations of the FDA and other regulatory authorities, including those laws requiring the reporting of true, complete and accurate information to such authorities; healthcare fraud and abuse laws and regulations in the United States and abroad; or laws that require the reporting of financial information or data accurately. In particular, sales, marketing and business arrangements in the healthcare industry are subject to extensive laws and regulations intended to prevent fraud, misconduct, kickbacks,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w:t>
      </w: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10" w:lineRule="auto"/>
        <w:rPr>
          <w:sz w:val="20"/>
          <w:szCs w:val="20"/>
          <w:color w:val="auto"/>
        </w:rPr>
      </w:pPr>
      <w:r>
        <w:rPr>
          <w:rFonts w:ascii="Times New Roman" w:cs="Times New Roman" w:eastAsia="Times New Roman" w:hAnsi="Times New Roman"/>
          <w:sz w:val="18"/>
          <w:szCs w:val="18"/>
          <w:color w:val="auto"/>
        </w:rPr>
        <w:t>serious harm to our reputation. We have adopted a code of conduct applicable to all of our employees, but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and we are not successful in defending ourselves or asserting our rights, those actions could have a significant impact on our business, including the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 and our results of operations.</w:t>
      </w:r>
    </w:p>
    <w:p>
      <w:pPr>
        <w:spacing w:after="0" w:line="157"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We may acquire businesses or drugs, or form strategic alliances, in the future, and we may not realize the benefits of such acquisitions.</w:t>
      </w:r>
    </w:p>
    <w:p>
      <w:pPr>
        <w:spacing w:after="0" w:line="157" w:lineRule="exact"/>
        <w:rPr>
          <w:sz w:val="20"/>
          <w:szCs w:val="20"/>
          <w:color w:val="auto"/>
        </w:rPr>
      </w:pPr>
    </w:p>
    <w:p>
      <w:pPr>
        <w:ind w:right="60" w:firstLine="648"/>
        <w:spacing w:after="0" w:line="213" w:lineRule="auto"/>
        <w:rPr>
          <w:sz w:val="20"/>
          <w:szCs w:val="20"/>
          <w:color w:val="auto"/>
        </w:rPr>
      </w:pPr>
      <w:r>
        <w:rPr>
          <w:rFonts w:ascii="Times New Roman" w:cs="Times New Roman" w:eastAsia="Times New Roman" w:hAnsi="Times New Roman"/>
          <w:sz w:val="18"/>
          <w:szCs w:val="18"/>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drugs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71" w:lineRule="exact"/>
        <w:rPr>
          <w:sz w:val="20"/>
          <w:szCs w:val="20"/>
          <w:color w:val="auto"/>
        </w:rPr>
      </w:pPr>
    </w:p>
    <w:p>
      <w:pPr>
        <w:ind w:right="640"/>
        <w:spacing w:after="0"/>
        <w:rPr>
          <w:sz w:val="20"/>
          <w:szCs w:val="20"/>
          <w:color w:val="auto"/>
        </w:rPr>
      </w:pPr>
      <w:r>
        <w:rPr>
          <w:rFonts w:ascii="Times New Roman" w:cs="Times New Roman" w:eastAsia="Times New Roman" w:hAnsi="Times New Roman"/>
          <w:sz w:val="18"/>
          <w:szCs w:val="18"/>
          <w:b w:val="1"/>
          <w:bCs w:val="1"/>
          <w:i w:val="1"/>
          <w:iCs w:val="1"/>
          <w:color w:val="auto"/>
        </w:rPr>
        <w:t>We have incurred and will continue to incur increased costs as a result of operating as a public company, and our management is required to devote substantial time to new compliance initiatives.</w:t>
      </w:r>
    </w:p>
    <w:p>
      <w:pPr>
        <w:spacing w:after="0" w:line="130" w:lineRule="exact"/>
        <w:rPr>
          <w:sz w:val="20"/>
          <w:szCs w:val="20"/>
          <w:color w:val="auto"/>
        </w:rPr>
      </w:pPr>
    </w:p>
    <w:p>
      <w:pPr>
        <w:ind w:right="40" w:firstLine="648"/>
        <w:spacing w:after="0" w:line="182" w:lineRule="exact"/>
        <w:rPr>
          <w:sz w:val="20"/>
          <w:szCs w:val="20"/>
          <w:color w:val="auto"/>
        </w:rPr>
      </w:pPr>
      <w:r>
        <w:rPr>
          <w:rFonts w:ascii="Times New Roman" w:cs="Times New Roman" w:eastAsia="Times New Roman" w:hAnsi="Times New Roman"/>
          <w:sz w:val="18"/>
          <w:szCs w:val="18"/>
          <w:color w:val="auto"/>
        </w:rPr>
        <w:t>As a public company, we have incurred and expect to continue to incur, particularly after we are no longer an “emerging growth company,” significant legal, accounting and other expenses that we did not incur as a private company. In addition,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and rules subsequently implemented by the Securities and Exchange Commission, or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make some activities more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consuming and costly. For example, we expect that these rules and regulations may make it more difficult and more expensive for us to obtain director and officer liability insurance.</w:t>
      </w:r>
    </w:p>
    <w:p>
      <w:pPr>
        <w:spacing w:after="0" w:line="116" w:lineRule="exact"/>
        <w:rPr>
          <w:sz w:val="20"/>
          <w:szCs w:val="20"/>
          <w:color w:val="auto"/>
        </w:rPr>
      </w:pPr>
    </w:p>
    <w:p>
      <w:pPr>
        <w:ind w:firstLine="648"/>
        <w:spacing w:after="0" w:line="182" w:lineRule="exact"/>
        <w:rPr>
          <w:sz w:val="20"/>
          <w:szCs w:val="20"/>
          <w:color w:val="auto"/>
        </w:rPr>
      </w:pPr>
      <w:r>
        <w:rPr>
          <w:rFonts w:ascii="Times New Roman" w:cs="Times New Roman" w:eastAsia="Times New Roman" w:hAnsi="Times New Roman"/>
          <w:sz w:val="18"/>
          <w:szCs w:val="18"/>
          <w:color w:val="auto"/>
        </w:rPr>
        <w:t>Pursuant to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 or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Despite our efforts,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been and may in the future be volatile and fluctuate substantially.</w:t>
      </w:r>
    </w:p>
    <w:p>
      <w:pPr>
        <w:spacing w:after="0" w:line="162" w:lineRule="exact"/>
        <w:rPr>
          <w:sz w:val="20"/>
          <w:szCs w:val="20"/>
          <w:color w:val="auto"/>
        </w:rPr>
      </w:pPr>
    </w:p>
    <w:p>
      <w:pPr>
        <w:ind w:right="260" w:firstLine="648"/>
        <w:spacing w:after="0" w:line="237" w:lineRule="auto"/>
        <w:rPr>
          <w:sz w:val="20"/>
          <w:szCs w:val="20"/>
          <w:color w:val="auto"/>
        </w:rPr>
      </w:pPr>
      <w:r>
        <w:rPr>
          <w:rFonts w:ascii="Times New Roman" w:cs="Times New Roman" w:eastAsia="Times New Roman" w:hAnsi="Times New Roman"/>
          <w:sz w:val="18"/>
          <w:szCs w:val="18"/>
          <w:color w:val="auto"/>
        </w:rPr>
        <w:t>Our stock price has been and in the future may be subject to substantial volatility. In addition, the stock market in general, and NASDAQ listed and biopharmaceutical companies in particular, have experienced extreme price and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spacing w:after="0" w:line="217" w:lineRule="auto"/>
        <w:rPr>
          <w:sz w:val="20"/>
          <w:szCs w:val="20"/>
          <w:color w:val="auto"/>
        </w:rPr>
      </w:pPr>
      <w:r>
        <w:rPr>
          <w:rFonts w:ascii="Times New Roman" w:cs="Times New Roman" w:eastAsia="Times New Roman" w:hAnsi="Times New Roman"/>
          <w:sz w:val="18"/>
          <w:szCs w:val="18"/>
          <w:color w:val="auto"/>
        </w:rPr>
        <w:t>volume fluctuations that have often been unrelated or disproportionate to the operating performance of these companies. For example, our stock traded within a range of a high price of $37.17 and a low price of $13.04 per share for the period beginning on April 30, 2015, our first day of trading on The NASDAQ Global Select Market, through August 8, 2016. As a result of this volatility, our stockholders could incur substantial losses. In addition, the market price for our common stock may be influenced by many factors, including:</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success of competitive drugs or technologies;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·results of clinical trials of our drug candidates or those of our competitors;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regulatory or legal developments in the United States and other countries;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the recruitment or departure of key personnel;</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level of expenses related to any of our drug candidates or clinical development programs;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results of our efforts to discover, develop, acquire or in-license additional drug candidates or drugs;</w:t>
      </w:r>
    </w:p>
    <w:p>
      <w:pPr>
        <w:spacing w:after="0" w:line="171" w:lineRule="exact"/>
        <w:rPr>
          <w:sz w:val="20"/>
          <w:szCs w:val="20"/>
          <w:color w:val="auto"/>
        </w:rPr>
      </w:pPr>
    </w:p>
    <w:p>
      <w:pPr>
        <w:ind w:left="1020" w:hanging="53"/>
        <w:spacing w:after="0" w:line="237" w:lineRule="auto"/>
        <w:rPr>
          <w:sz w:val="20"/>
          <w:szCs w:val="20"/>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4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71" w:lineRule="exact"/>
        <w:rPr>
          <w:sz w:val="20"/>
          <w:szCs w:val="20"/>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7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71" w:lineRule="exact"/>
        <w:rPr>
          <w:rFonts w:ascii="Times New Roman" w:cs="Times New Roman" w:eastAsia="Times New Roman" w:hAnsi="Times New Roman"/>
          <w:sz w:val="18"/>
          <w:szCs w:val="18"/>
          <w:color w:val="auto"/>
        </w:rPr>
      </w:pPr>
    </w:p>
    <w:p>
      <w:pPr>
        <w:ind w:left="1080" w:hanging="105"/>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71" w:lineRule="exact"/>
        <w:rPr>
          <w:rFonts w:ascii="Times New Roman" w:cs="Times New Roman" w:eastAsia="Times New Roman" w:hAnsi="Times New Roman"/>
          <w:sz w:val="18"/>
          <w:szCs w:val="18"/>
          <w:color w:val="auto"/>
        </w:rPr>
      </w:pPr>
    </w:p>
    <w:p>
      <w:pPr>
        <w:ind w:left="1060" w:hanging="85"/>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171" w:lineRule="exact"/>
        <w:rPr>
          <w:sz w:val="20"/>
          <w:szCs w:val="20"/>
          <w:color w:val="auto"/>
        </w:rPr>
      </w:pPr>
    </w:p>
    <w:p>
      <w:pPr>
        <w:ind w:right="100" w:firstLine="648"/>
        <w:spacing w:after="0" w:line="214" w:lineRule="auto"/>
        <w:rPr>
          <w:sz w:val="20"/>
          <w:szCs w:val="20"/>
          <w:color w:val="auto"/>
        </w:rPr>
      </w:pPr>
      <w:r>
        <w:rPr>
          <w:rFonts w:ascii="Times New Roman" w:cs="Times New Roman" w:eastAsia="Times New Roman" w:hAnsi="Times New Roman"/>
          <w:sz w:val="18"/>
          <w:szCs w:val="18"/>
          <w:color w:val="auto"/>
        </w:rPr>
        <w:t>These and other market and industry factors may cause the market price and demand for our common stock to fluctuate substantially, regardless of our actual operating performance, which may limit or prevent investors from readily selling their shares of common stock and may otherwise negatively affect the liquidity of our common stock.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Such a lawsuit could also divert the time and attention of our management.</w:t>
      </w:r>
    </w:p>
    <w:p>
      <w:pPr>
        <w:spacing w:after="0" w:line="131"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 and investors may not be able to resell their shares at or above the price they paid.</w:t>
      </w:r>
    </w:p>
    <w:p>
      <w:pPr>
        <w:spacing w:after="0" w:line="144" w:lineRule="exact"/>
        <w:rPr>
          <w:sz w:val="20"/>
          <w:szCs w:val="20"/>
          <w:color w:val="auto"/>
        </w:rPr>
      </w:pPr>
    </w:p>
    <w:p>
      <w:pPr>
        <w:ind w:right="80" w:firstLine="648"/>
        <w:spacing w:after="0" w:line="217" w:lineRule="auto"/>
        <w:rPr>
          <w:sz w:val="20"/>
          <w:szCs w:val="20"/>
          <w:color w:val="auto"/>
        </w:rPr>
      </w:pPr>
      <w:r>
        <w:rPr>
          <w:rFonts w:ascii="Times New Roman" w:cs="Times New Roman" w:eastAsia="Times New Roman" w:hAnsi="Times New Roman"/>
          <w:sz w:val="18"/>
          <w:szCs w:val="18"/>
          <w:color w:val="auto"/>
        </w:rPr>
        <w:t>Although we have listed our common stock on The NASDAQ Global Select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41"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30" w:lineRule="exact"/>
        <w:rPr>
          <w:sz w:val="20"/>
          <w:szCs w:val="20"/>
          <w:color w:val="auto"/>
        </w:rPr>
      </w:pPr>
    </w:p>
    <w:p>
      <w:pPr>
        <w:ind w:right="60" w:firstLine="648"/>
        <w:spacing w:after="0" w:line="220" w:lineRule="auto"/>
        <w:rPr>
          <w:sz w:val="20"/>
          <w:szCs w:val="20"/>
          <w:color w:val="auto"/>
        </w:rPr>
      </w:pPr>
      <w:r>
        <w:rPr>
          <w:rFonts w:ascii="Times New Roman" w:cs="Times New Roman" w:eastAsia="Times New Roman" w:hAnsi="Times New Roman"/>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59"/>
        <w:spacing w:after="0" w:line="226" w:lineRule="auto"/>
        <w:rPr>
          <w:sz w:val="20"/>
          <w:szCs w:val="20"/>
          <w:color w:val="auto"/>
        </w:rPr>
      </w:pPr>
      <w:r>
        <w:rPr>
          <w:rFonts w:ascii="Times New Roman" w:cs="Times New Roman" w:eastAsia="Times New Roman" w:hAnsi="Times New Roman"/>
          <w:sz w:val="18"/>
          <w:szCs w:val="18"/>
          <w:color w:val="auto"/>
        </w:rPr>
        <w:t>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41" w:lineRule="exact"/>
        <w:rPr>
          <w:sz w:val="20"/>
          <w:szCs w:val="20"/>
          <w:color w:val="auto"/>
        </w:rPr>
      </w:pPr>
    </w:p>
    <w:p>
      <w:pPr>
        <w:ind w:right="359"/>
        <w:spacing w:after="0"/>
        <w:rPr>
          <w:sz w:val="20"/>
          <w:szCs w:val="20"/>
          <w:color w:val="auto"/>
        </w:rPr>
      </w:pPr>
      <w:r>
        <w:rPr>
          <w:rFonts w:ascii="Times New Roman" w:cs="Times New Roman" w:eastAsia="Times New Roman" w:hAnsi="Times New Roman"/>
          <w:sz w:val="18"/>
          <w:szCs w:val="18"/>
          <w:b w:val="1"/>
          <w:bCs w:val="1"/>
          <w:i w:val="1"/>
          <w:iCs w:val="1"/>
          <w:color w:val="auto"/>
        </w:rPr>
        <w:t>Our executive officers, directors, principal stockholders and their affiliates maintain the ability to exercise significant influence over our company and all matters submitted to stockholders for approval.</w:t>
      </w:r>
    </w:p>
    <w:p>
      <w:pPr>
        <w:spacing w:after="0" w:line="130" w:lineRule="exact"/>
        <w:rPr>
          <w:sz w:val="20"/>
          <w:szCs w:val="20"/>
          <w:color w:val="auto"/>
        </w:rPr>
      </w:pPr>
    </w:p>
    <w:p>
      <w:pPr>
        <w:ind w:right="39" w:firstLine="648"/>
        <w:spacing w:after="0" w:line="213" w:lineRule="auto"/>
        <w:rPr>
          <w:sz w:val="20"/>
          <w:szCs w:val="20"/>
          <w:color w:val="auto"/>
        </w:rPr>
      </w:pPr>
      <w:r>
        <w:rPr>
          <w:rFonts w:ascii="Times New Roman" w:cs="Times New Roman" w:eastAsia="Times New Roman" w:hAnsi="Times New Roman"/>
          <w:sz w:val="18"/>
          <w:szCs w:val="18"/>
          <w:color w:val="auto"/>
        </w:rPr>
        <w:t>The holdings of our executive officers, directors and stockholders who own more than 5% of our outstanding common stock, together with their affiliates and related persons, represent beneficial ownership, in the aggregate, of approximately 50% of our common stock, based on the number of shares of our common stock outstanding as of June 30, 2016. As a result, these stockholders, if they choose to act together, will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this concentration of ownership might adversely affect the market price of our common stock by:</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delaying, deferring or preventing a change of control of us;</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·impeding a merger, consolidation, takeover or other business combination involving us; or</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·discouraging a potential acquirer from making a tender offer or otherwise attempting to obtain control of us.</w:t>
      </w:r>
    </w:p>
    <w:p>
      <w:pPr>
        <w:spacing w:after="0" w:line="156" w:lineRule="exact"/>
        <w:rPr>
          <w:sz w:val="20"/>
          <w:szCs w:val="20"/>
          <w:color w:val="auto"/>
        </w:rPr>
      </w:pPr>
    </w:p>
    <w:p>
      <w:pPr>
        <w:ind w:right="99"/>
        <w:spacing w:after="0" w:line="205" w:lineRule="exact"/>
        <w:rPr>
          <w:sz w:val="20"/>
          <w:szCs w:val="20"/>
          <w:color w:val="auto"/>
        </w:rPr>
      </w:pPr>
      <w:r>
        <w:rPr>
          <w:rFonts w:ascii="Times New Roman" w:cs="Times New Roman" w:eastAsia="Times New Roman" w:hAnsi="Times New Roman"/>
          <w:sz w:val="18"/>
          <w:szCs w:val="18"/>
          <w:b w:val="1"/>
          <w:bCs w:val="1"/>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203835</wp:posOffset>
            </wp:positionH>
            <wp:positionV relativeFrom="paragraph">
              <wp:posOffset>-309245</wp:posOffset>
            </wp:positionV>
            <wp:extent cx="64135" cy="39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4135" cy="39370"/>
                    </a:xfrm>
                    <a:prstGeom prst="rect">
                      <a:avLst/>
                    </a:prstGeom>
                    <a:noFill/>
                  </pic:spPr>
                </pic:pic>
              </a:graphicData>
            </a:graphic>
          </wp:anchor>
        </w:drawing>
      </w:r>
    </w:p>
    <w:p>
      <w:pPr>
        <w:spacing w:after="0" w:line="69" w:lineRule="exact"/>
        <w:rPr>
          <w:sz w:val="20"/>
          <w:szCs w:val="20"/>
          <w:color w:val="auto"/>
        </w:rPr>
      </w:pPr>
    </w:p>
    <w:p>
      <w:pPr>
        <w:ind w:right="39" w:firstLine="648"/>
        <w:spacing w:after="0" w:line="183" w:lineRule="exact"/>
        <w:rPr>
          <w:sz w:val="20"/>
          <w:szCs w:val="20"/>
          <w:color w:val="auto"/>
        </w:rPr>
      </w:pPr>
      <w:r>
        <w:rPr>
          <w:rFonts w:ascii="Times New Roman" w:cs="Times New Roman" w:eastAsia="Times New Roman" w:hAnsi="Times New Roman"/>
          <w:sz w:val="18"/>
          <w:szCs w:val="18"/>
          <w:color w:val="auto"/>
        </w:rPr>
        <w:t>Provisions in our amended and restated certificate of incorporation and amended and restated by</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laws may delay or prevent an acquisition of us or a change in our management. These provisions include a classified board of directors, a prohibition on actions by written consent of our stockholders and the ability of our board of directors to issue preferred stock without stockholder approval. In addition, because we are incorporated in Delaware, we are governed by the provisions of Section 203 of the Delaware General Corporation Law, which limits the ability of stockholders owning in excess of 15% of our outstanding voting stock to merge or combine with us. Although we believe these provisions collectively provide for an opportunity to obtain greater value for stockholders by requiring potential acquirors to negotiate with our board of directors, they would apply even if an offer rejected by our board were considered beneficial by some stockholders. In addition, these provisions may frustrate or prevent any attempts by our stockholders to replace or remove our current management by making it more difficult for stockholders to replace members of our board of directors, which is responsible for appointing the members of our management.</w:t>
      </w:r>
    </w:p>
    <w:p>
      <w:pPr>
        <w:spacing w:after="0" w:line="120" w:lineRule="exact"/>
        <w:rPr>
          <w:sz w:val="20"/>
          <w:szCs w:val="20"/>
          <w:color w:val="auto"/>
        </w:rPr>
      </w:pPr>
    </w:p>
    <w:p>
      <w:pPr>
        <w:ind w:right="459"/>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30" w:lineRule="exact"/>
        <w:rPr>
          <w:sz w:val="20"/>
          <w:szCs w:val="20"/>
          <w:color w:val="auto"/>
        </w:rPr>
      </w:pPr>
    </w:p>
    <w:p>
      <w:pPr>
        <w:ind w:right="39" w:firstLine="648"/>
        <w:spacing w:after="0" w:line="221" w:lineRule="auto"/>
        <w:rPr>
          <w:sz w:val="20"/>
          <w:szCs w:val="20"/>
          <w:color w:val="auto"/>
        </w:rPr>
      </w:pPr>
      <w:r>
        <w:rPr>
          <w:rFonts w:ascii="Times New Roman" w:cs="Times New Roman" w:eastAsia="Times New Roman" w:hAnsi="Times New Roman"/>
          <w:sz w:val="17"/>
          <w:szCs w:val="17"/>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In addition, pursuant to our registration statement on Form S-3 (File No. 333-211266), which was declared effective by the SEC on July 25, 2016, we may sell up to $250,000,000 in aggregate dollar amount of securities, including common stock, from time to time in one or more offerings. However, we cannot predict the size of future issuances or the effect, if any, that any future issuances may have on the market price for our common stock.</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720"/>
        <w:spacing w:after="0"/>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17" w:lineRule="exact"/>
        <w:rPr>
          <w:sz w:val="20"/>
          <w:szCs w:val="20"/>
          <w:color w:val="auto"/>
        </w:rPr>
      </w:pPr>
    </w:p>
    <w:p>
      <w:pPr>
        <w:ind w:right="20" w:firstLine="648"/>
        <w:spacing w:after="0" w:line="183" w:lineRule="exact"/>
        <w:rPr>
          <w:sz w:val="20"/>
          <w:szCs w:val="20"/>
          <w:color w:val="auto"/>
        </w:rPr>
      </w:pPr>
      <w:r>
        <w:rPr>
          <w:rFonts w:ascii="Times New Roman" w:cs="Times New Roman" w:eastAsia="Times New Roman" w:hAnsi="Times New Roman"/>
          <w:sz w:val="18"/>
          <w:szCs w:val="18"/>
          <w:color w:val="auto"/>
        </w:rPr>
        <w:t>We are an “emerging growth company,” as defined in the Jumpstart Our Business Startups Act of 2012, or the JOBS Act. We will remain an emerging growth company until the earlier of (i) December 31, 2020; (ii) the last day of the fiscal year in which we have total annual gross revenues of $1 billion or more; (iii) the date on which we have issued more than $1 billion in nonconvertible debt during the previous three years; or (iv) the date on which we are deemed to be a large accelerated filer under the rules of the SEC, which means the market value of our common stock that is held by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affiliates exceeds $700 million as of the prior June 30th. For so long as we remain an emerging growth company, we are permitted and intend to rely on exemptions from certain disclosure requirements that are applicable to other public companies that are not emerging growth companies. These exemptions include:</w:t>
      </w:r>
    </w:p>
    <w:p>
      <w:pPr>
        <w:spacing w:after="0" w:line="102" w:lineRule="exact"/>
        <w:rPr>
          <w:sz w:val="20"/>
          <w:szCs w:val="20"/>
          <w:color w:val="auto"/>
        </w:rPr>
      </w:pPr>
    </w:p>
    <w:p>
      <w:pPr>
        <w:ind w:left="1020" w:right="240" w:hanging="53"/>
        <w:spacing w:after="0" w:line="220" w:lineRule="exact"/>
        <w:rPr>
          <w:sz w:val="20"/>
          <w:szCs w:val="20"/>
          <w:color w:val="auto"/>
        </w:rPr>
      </w:pPr>
      <w:r>
        <w:rPr>
          <w:rFonts w:ascii="Times New Roman" w:cs="Times New Roman" w:eastAsia="Times New Roman" w:hAnsi="Times New Roman"/>
          <w:sz w:val="18"/>
          <w:szCs w:val="18"/>
          <w:color w:val="auto"/>
        </w:rPr>
        <w:t>·not being required to comply with the auditor attestation requirements of Section 404 of the Sarbanes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Oxley Act of 2002;</w:t>
      </w:r>
    </w:p>
    <w:p>
      <w:pPr>
        <w:spacing w:after="0" w:line="117" w:lineRule="exact"/>
        <w:rPr>
          <w:sz w:val="20"/>
          <w:szCs w:val="20"/>
          <w:color w:val="auto"/>
        </w:rPr>
      </w:pPr>
    </w:p>
    <w:p>
      <w:pPr>
        <w:ind w:left="1020" w:right="240" w:hanging="53"/>
        <w:spacing w:after="0" w:line="226" w:lineRule="auto"/>
        <w:rPr>
          <w:sz w:val="20"/>
          <w:szCs w:val="20"/>
          <w:color w:val="auto"/>
        </w:rPr>
      </w:pPr>
      <w:r>
        <w:rPr>
          <w:rFonts w:ascii="Times New Roman" w:cs="Times New Roman" w:eastAsia="Times New Roman" w:hAnsi="Times New Roman"/>
          <w:sz w:val="18"/>
          <w:szCs w:val="18"/>
          <w:color w:val="auto"/>
        </w:rPr>
        <w:t>·not being required to comply with any requirement that may be adopted by the Public Company Accounting Oversight Board regarding mandatory audit firm rotation or a supplement to the auditor’s report providing additional information about the audit and the financial statements;</w:t>
      </w:r>
    </w:p>
    <w:p>
      <w:pPr>
        <w:spacing w:after="0" w:line="118" w:lineRule="exact"/>
        <w:rPr>
          <w:sz w:val="20"/>
          <w:szCs w:val="20"/>
          <w:color w:val="auto"/>
        </w:rPr>
      </w:pPr>
    </w:p>
    <w:p>
      <w:pPr>
        <w:jc w:val="both"/>
        <w:ind w:left="1020" w:right="20" w:hanging="53"/>
        <w:spacing w:after="0" w:line="226" w:lineRule="auto"/>
        <w:rPr>
          <w:sz w:val="20"/>
          <w:szCs w:val="20"/>
          <w:color w:val="auto"/>
        </w:rPr>
      </w:pPr>
      <w:r>
        <w:rPr>
          <w:rFonts w:ascii="Times New Roman" w:cs="Times New Roman" w:eastAsia="Times New Roman" w:hAnsi="Times New Roman"/>
          <w:sz w:val="18"/>
          <w:szCs w:val="18"/>
          <w:color w:val="auto"/>
        </w:rPr>
        <w:t>·providing only two years of audited financial statements in addition to any required unaudited interim financial statements and a correspondingly reduced “Management’s Discussion and Analysis of Financial Condition and Results of Operations” disclosure;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reduced disclosure obligations regarding executive compensation; and</w:t>
      </w:r>
    </w:p>
    <w:p>
      <w:pPr>
        <w:spacing w:after="0" w:line="144" w:lineRule="exact"/>
        <w:rPr>
          <w:sz w:val="20"/>
          <w:szCs w:val="20"/>
          <w:color w:val="auto"/>
        </w:rPr>
      </w:pPr>
    </w:p>
    <w:p>
      <w:pPr>
        <w:ind w:left="1020" w:right="440" w:hanging="53"/>
        <w:spacing w:after="0" w:line="237" w:lineRule="auto"/>
        <w:rPr>
          <w:sz w:val="20"/>
          <w:szCs w:val="20"/>
          <w:color w:val="auto"/>
        </w:rPr>
      </w:pPr>
      <w:r>
        <w:rPr>
          <w:rFonts w:ascii="Times New Roman" w:cs="Times New Roman" w:eastAsia="Times New Roman" w:hAnsi="Times New Roman"/>
          <w:sz w:val="18"/>
          <w:szCs w:val="18"/>
          <w:color w:val="auto"/>
        </w:rPr>
        <w:t>·exemptions from the requirements of holding a nonbinding advisory vote on executive compensation and shareholder approval of any golden parachute payments not previously approved.</w:t>
      </w:r>
    </w:p>
    <w:p>
      <w:pPr>
        <w:spacing w:after="0" w:line="158" w:lineRule="exact"/>
        <w:rPr>
          <w:sz w:val="20"/>
          <w:szCs w:val="20"/>
          <w:color w:val="auto"/>
        </w:rPr>
      </w:pPr>
    </w:p>
    <w:p>
      <w:pPr>
        <w:jc w:val="both"/>
        <w:ind w:right="220" w:firstLine="648"/>
        <w:spacing w:after="0" w:line="226" w:lineRule="auto"/>
        <w:rPr>
          <w:sz w:val="20"/>
          <w:szCs w:val="20"/>
          <w:color w:val="auto"/>
        </w:rPr>
      </w:pPr>
      <w:r>
        <w:rPr>
          <w:rFonts w:ascii="Times New Roman" w:cs="Times New Roman" w:eastAsia="Times New Roman" w:hAnsi="Times New Roman"/>
          <w:sz w:val="18"/>
          <w:szCs w:val="18"/>
          <w:color w:val="auto"/>
        </w:rPr>
        <w:t>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58" w:lineRule="exact"/>
        <w:rPr>
          <w:sz w:val="20"/>
          <w:szCs w:val="20"/>
          <w:color w:val="auto"/>
        </w:rPr>
      </w:pPr>
    </w:p>
    <w:p>
      <w:pPr>
        <w:ind w:right="80" w:firstLine="648"/>
        <w:spacing w:after="0" w:line="214" w:lineRule="auto"/>
        <w:rPr>
          <w:sz w:val="20"/>
          <w:szCs w:val="20"/>
          <w:color w:val="auto"/>
        </w:rPr>
      </w:pPr>
      <w:r>
        <w:rPr>
          <w:rFonts w:ascii="Times New Roman" w:cs="Times New Roman" w:eastAsia="Times New Roman" w:hAnsi="Times New Roman"/>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58" w:lineRule="exact"/>
        <w:rPr>
          <w:sz w:val="20"/>
          <w:szCs w:val="20"/>
          <w:color w:val="auto"/>
        </w:rPr>
      </w:pPr>
    </w:p>
    <w:p>
      <w:pPr>
        <w:ind w:right="960"/>
        <w:spacing w:after="0"/>
        <w:rPr>
          <w:sz w:val="20"/>
          <w:szCs w:val="20"/>
          <w:color w:val="auto"/>
        </w:rPr>
      </w:pPr>
      <w:r>
        <w:rPr>
          <w:rFonts w:ascii="Times New Roman" w:cs="Times New Roman" w:eastAsia="Times New Roman" w:hAnsi="Times New Roman"/>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157" w:lineRule="exact"/>
        <w:rPr>
          <w:sz w:val="20"/>
          <w:szCs w:val="20"/>
          <w:color w:val="auto"/>
        </w:rPr>
      </w:pPr>
    </w:p>
    <w:p>
      <w:pPr>
        <w:ind w:firstLine="648"/>
        <w:spacing w:after="0" w:line="217"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of our future earnings, if any, to finance the growth and development of our business. In addition, under the loan and security agreement with Silicon Valley Bank, we are currently restricted from paying cash dividends, and we expect these restrictions to continue in the future. In addition, the terms of any future debt agreements may preclude us from paying dividends. As a result, capital appreciation, if any, of our common stock will be your sole source of gain for the foreseeable future.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utilize our net operating loss carryforwards and certain other tax attributes may be limited.</w:t>
      </w:r>
    </w:p>
    <w:p>
      <w:pPr>
        <w:spacing w:after="0" w:line="189" w:lineRule="exact"/>
        <w:rPr>
          <w:sz w:val="20"/>
          <w:szCs w:val="20"/>
          <w:color w:val="auto"/>
        </w:rPr>
      </w:pPr>
    </w:p>
    <w:p>
      <w:pPr>
        <w:ind w:right="160" w:firstLine="648"/>
        <w:spacing w:after="0" w:line="185" w:lineRule="exact"/>
        <w:rPr>
          <w:sz w:val="20"/>
          <w:szCs w:val="20"/>
          <w:color w:val="auto"/>
        </w:rPr>
      </w:pPr>
      <w:r>
        <w:rPr>
          <w:rFonts w:ascii="Times New Roman" w:cs="Times New Roman" w:eastAsia="Times New Roman" w:hAnsi="Times New Roman"/>
          <w:sz w:val="18"/>
          <w:szCs w:val="18"/>
          <w:color w:val="auto"/>
        </w:rPr>
        <w:t>Under Section 382 of the Internal Revenue Code of 1986, as amended, if a corporation undergoes an “ownership change” (generally defined as a greater than 50% change (by value) in the ownership of its equity over a three year period), the corporation’s ability to use its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net operating loss carryforwards and certain other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change tax attributes to offset its post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change income may be limited. We may have experienced such ownership changes in the past, and we may experience ownership changes in the future as a result of shifts in our stock ownership, some of which are outside our control. As of December 31, 2015, we had federal net operating loss carryforwards of</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40"/>
        <w:spacing w:after="0" w:line="237" w:lineRule="auto"/>
        <w:rPr>
          <w:sz w:val="20"/>
          <w:szCs w:val="20"/>
          <w:color w:val="auto"/>
        </w:rPr>
      </w:pPr>
      <w:r>
        <w:rPr>
          <w:rFonts w:ascii="Times New Roman" w:cs="Times New Roman" w:eastAsia="Times New Roman" w:hAnsi="Times New Roman"/>
          <w:sz w:val="18"/>
          <w:szCs w:val="18"/>
          <w:color w:val="auto"/>
        </w:rPr>
        <w:t>approximately $123.9 million, and our ability to utilize those net operating loss carryforwards could be limited by an “ownership change” as described above, which could result in increased tax liability to us.</w:t>
      </w:r>
    </w:p>
    <w:p>
      <w:pPr>
        <w:spacing w:after="0" w:line="154" w:lineRule="exact"/>
        <w:rPr>
          <w:sz w:val="20"/>
          <w:szCs w:val="20"/>
          <w:color w:val="auto"/>
        </w:rPr>
      </w:pPr>
    </w:p>
    <w:p>
      <w:pPr>
        <w:ind w:right="3860"/>
        <w:spacing w:after="0" w:line="456" w:lineRule="auto"/>
        <w:rPr>
          <w:sz w:val="20"/>
          <w:szCs w:val="20"/>
          <w:color w:val="auto"/>
        </w:rPr>
      </w:pPr>
      <w:r>
        <w:rPr>
          <w:rFonts w:ascii="Times New Roman" w:cs="Times New Roman" w:eastAsia="Times New Roman" w:hAnsi="Times New Roman"/>
          <w:sz w:val="18"/>
          <w:szCs w:val="18"/>
          <w:b w:val="1"/>
          <w:bCs w:val="1"/>
          <w:color w:val="auto"/>
        </w:rPr>
        <w:t xml:space="preserve">Item 2. Unregistered Sales of Equity Securities and Use of Proceeds </w:t>
      </w:r>
      <w:r>
        <w:rPr>
          <w:rFonts w:ascii="Times New Roman" w:cs="Times New Roman" w:eastAsia="Times New Roman" w:hAnsi="Times New Roman"/>
          <w:sz w:val="18"/>
          <w:szCs w:val="18"/>
          <w:i w:val="1"/>
          <w:iCs w:val="1"/>
          <w:color w:val="auto"/>
        </w:rPr>
        <w:t>Issuer Purchases of Equity Securities</w:t>
      </w:r>
    </w:p>
    <w:p>
      <w:pPr>
        <w:spacing w:after="0" w:line="1" w:lineRule="exact"/>
        <w:rPr>
          <w:sz w:val="20"/>
          <w:szCs w:val="20"/>
          <w:color w:val="auto"/>
        </w:rPr>
      </w:pPr>
    </w:p>
    <w:p>
      <w:pPr>
        <w:ind w:right="80" w:firstLine="648"/>
        <w:spacing w:after="0" w:line="237" w:lineRule="auto"/>
        <w:rPr>
          <w:sz w:val="20"/>
          <w:szCs w:val="20"/>
          <w:color w:val="auto"/>
        </w:rPr>
      </w:pPr>
      <w:r>
        <w:rPr>
          <w:rFonts w:ascii="Times New Roman" w:cs="Times New Roman" w:eastAsia="Times New Roman" w:hAnsi="Times New Roman"/>
          <w:sz w:val="18"/>
          <w:szCs w:val="18"/>
          <w:color w:val="auto"/>
        </w:rPr>
        <w:t>The following table provides information relating to our repurchase of shares of our common stock during the three months ended June 30, 2016.</w:t>
      </w:r>
    </w:p>
    <w:p>
      <w:pPr>
        <w:sectPr>
          <w:pgSz w:w="11900" w:h="16838" w:orient="portrait"/>
          <w:cols w:equalWidth="0" w:num="1">
            <w:col w:w="9060"/>
          </w:cols>
          <w:pgMar w:left="1420" w:top="108"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Number of</w:t>
            </w:r>
          </w:p>
        </w:tc>
        <w:tc>
          <w:tcPr>
            <w:tcW w:w="280" w:type="dxa"/>
            <w:vAlign w:val="bottom"/>
          </w:tcPr>
          <w:p>
            <w:pPr>
              <w:spacing w:after="0"/>
              <w:rPr>
                <w:sz w:val="17"/>
                <w:szCs w:val="17"/>
                <w:color w:val="auto"/>
              </w:rPr>
            </w:pPr>
          </w:p>
        </w:tc>
        <w:tc>
          <w:tcPr>
            <w:tcW w:w="156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Average Price Paid</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80" w:type="dxa"/>
            <w:vAlign w:val="bottom"/>
            <w:gridSpan w:val="2"/>
            <w:vMerge w:val="restart"/>
          </w:tcPr>
          <w:p>
            <w:pPr>
              <w:ind w:left="4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50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8"/>
              </w:rPr>
              <w:t>Shares Purchased</w:t>
            </w:r>
          </w:p>
        </w:tc>
        <w:tc>
          <w:tcPr>
            <w:tcW w:w="280" w:type="dxa"/>
            <w:vAlign w:val="bottom"/>
          </w:tcPr>
          <w:p>
            <w:pPr>
              <w:spacing w:after="0"/>
              <w:rPr>
                <w:sz w:val="15"/>
                <w:szCs w:val="15"/>
                <w:color w:val="auto"/>
              </w:rPr>
            </w:pPr>
          </w:p>
        </w:tc>
        <w:tc>
          <w:tcPr>
            <w:tcW w:w="15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1500" w:type="dxa"/>
            <w:vAlign w:val="bottom"/>
            <w:gridSpan w:val="2"/>
          </w:tcPr>
          <w:p>
            <w:pPr>
              <w:jc w:val="center"/>
              <w:spacing w:after="0" w:line="202" w:lineRule="exact"/>
              <w:rPr>
                <w:sz w:val="20"/>
                <w:szCs w:val="20"/>
                <w:color w:val="auto"/>
              </w:rPr>
            </w:pPr>
            <w:r>
              <w:rPr>
                <w:rFonts w:ascii="Times New Roman" w:cs="Times New Roman" w:eastAsia="Times New Roman" w:hAnsi="Times New Roman"/>
                <w:sz w:val="18"/>
                <w:szCs w:val="18"/>
                <w:b w:val="1"/>
                <w:bCs w:val="1"/>
                <w:color w:val="auto"/>
                <w:w w:val="95"/>
              </w:rPr>
              <w:t>(1)</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53"/>
              <w:spacing w:after="0" w:line="202" w:lineRule="exact"/>
              <w:rPr>
                <w:sz w:val="20"/>
                <w:szCs w:val="20"/>
                <w:color w:val="auto"/>
              </w:rPr>
            </w:pPr>
            <w:r>
              <w:rPr>
                <w:rFonts w:ascii="Times New Roman" w:cs="Times New Roman" w:eastAsia="Times New Roman" w:hAnsi="Times New Roman"/>
                <w:sz w:val="18"/>
                <w:szCs w:val="18"/>
                <w:b w:val="1"/>
                <w:bCs w:val="1"/>
                <w:color w:val="auto"/>
              </w:rPr>
              <w:t>per Share ($) (2)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380" w:type="dxa"/>
            <w:vAlign w:val="bottom"/>
            <w:tcBorders>
              <w:top w:val="single" w:sz="8" w:color="auto"/>
            </w:tcBorders>
          </w:tcPr>
          <w:p>
            <w:pPr>
              <w:spacing w:after="0" w:line="142" w:lineRule="exact"/>
              <w:rPr>
                <w:sz w:val="20"/>
                <w:szCs w:val="20"/>
                <w:color w:val="auto"/>
              </w:rPr>
            </w:pPr>
            <w:r>
              <w:rPr>
                <w:rFonts w:ascii="Times New Roman" w:cs="Times New Roman" w:eastAsia="Times New Roman" w:hAnsi="Times New Roman"/>
                <w:sz w:val="16"/>
                <w:szCs w:val="16"/>
                <w:color w:val="auto"/>
              </w:rPr>
              <w:t>April 1 - April 30</w:t>
            </w:r>
          </w:p>
        </w:tc>
        <w:tc>
          <w:tcPr>
            <w:tcW w:w="3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2"/>
                <w:szCs w:val="12"/>
                <w:color w:val="auto"/>
              </w:rPr>
            </w:pP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17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color w:val="auto"/>
              </w:rPr>
              <w:t>May 1 - May 31</w:t>
            </w:r>
          </w:p>
        </w:tc>
        <w:tc>
          <w:tcPr>
            <w:tcW w:w="580" w:type="dxa"/>
            <w:vAlign w:val="bottom"/>
          </w:tcPr>
          <w:p>
            <w:pPr>
              <w:spacing w:after="0"/>
              <w:rPr>
                <w:sz w:val="16"/>
                <w:szCs w:val="16"/>
                <w:color w:val="auto"/>
              </w:rPr>
            </w:pPr>
          </w:p>
        </w:tc>
        <w:tc>
          <w:tcPr>
            <w:tcW w:w="92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jc w:val="right"/>
              <w:spacing w:after="0" w:line="18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June 1 - June 30</w:t>
            </w: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1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92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575437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1371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-608330</wp:posOffset>
            </wp:positionV>
            <wp:extent cx="5754370" cy="1200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3" w:lineRule="exact"/>
        <w:rPr>
          <w:sz w:val="20"/>
          <w:szCs w:val="20"/>
          <w:color w:val="auto"/>
        </w:rPr>
      </w:pPr>
    </w:p>
    <w:p>
      <w:pPr>
        <w:jc w:val="center"/>
        <w:ind w:right="20"/>
        <w:spacing w:after="0" w:line="212" w:lineRule="auto"/>
        <w:rPr>
          <w:sz w:val="20"/>
          <w:szCs w:val="20"/>
          <w:color w:val="auto"/>
        </w:rPr>
      </w:pPr>
      <w:r>
        <w:rPr>
          <w:rFonts w:ascii="Times New Roman" w:cs="Times New Roman" w:eastAsia="Times New Roman" w:hAnsi="Times New Roman"/>
          <w:sz w:val="18"/>
          <w:szCs w:val="18"/>
          <w:b w:val="1"/>
          <w:bCs w:val="1"/>
          <w:color w:val="auto"/>
        </w:rPr>
        <w:t>Total Number of Shares Purchased as Part of Publicly Announced Plans or Programs (3)</w:t>
      </w:r>
    </w:p>
    <w:p>
      <w:pPr>
        <w:jc w:val="right"/>
        <w:spacing w:after="0" w:line="204" w:lineRule="auto"/>
        <w:rPr>
          <w:sz w:val="20"/>
          <w:szCs w:val="20"/>
          <w:color w:val="auto"/>
        </w:rPr>
      </w:pPr>
      <w:r>
        <w:rPr>
          <w:rFonts w:ascii="Times New Roman" w:cs="Times New Roman" w:eastAsia="Times New Roman" w:hAnsi="Times New Roman"/>
          <w:sz w:val="18"/>
          <w:szCs w:val="18"/>
          <w:color w:val="auto"/>
        </w:rPr>
        <w:t>—</w:t>
      </w:r>
    </w:p>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-10795</wp:posOffset>
            </wp:positionV>
            <wp:extent cx="108902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-1905</wp:posOffset>
            </wp:positionV>
            <wp:extent cx="108902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8902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Maximum Number (or</w:t>
      </w:r>
    </w:p>
    <w:p>
      <w:pPr>
        <w:spacing w:after="0" w:line="4" w:lineRule="exact"/>
        <w:rPr>
          <w:sz w:val="20"/>
          <w:szCs w:val="20"/>
          <w:color w:val="auto"/>
        </w:rPr>
      </w:pPr>
    </w:p>
    <w:p>
      <w:pPr>
        <w:jc w:val="center"/>
        <w:ind w:left="20"/>
        <w:spacing w:after="0" w:line="206" w:lineRule="auto"/>
        <w:rPr>
          <w:sz w:val="20"/>
          <w:szCs w:val="20"/>
          <w:color w:val="auto"/>
        </w:rPr>
      </w:pPr>
      <w:r>
        <w:rPr>
          <w:rFonts w:ascii="Times New Roman" w:cs="Times New Roman" w:eastAsia="Times New Roman" w:hAnsi="Times New Roman"/>
          <w:sz w:val="18"/>
          <w:szCs w:val="18"/>
          <w:b w:val="1"/>
          <w:bCs w:val="1"/>
          <w:color w:val="auto"/>
        </w:rPr>
        <w:t>Approximate Dollar Value) of Shares that May Yet be Purchased Under the Plans or Programs (3)</w:t>
      </w:r>
    </w:p>
    <w:p>
      <w:pPr>
        <w:ind w:left="1540"/>
        <w:spacing w:after="0" w:line="207" w:lineRule="auto"/>
        <w:rPr>
          <w:sz w:val="20"/>
          <w:szCs w:val="20"/>
          <w:color w:val="auto"/>
        </w:rPr>
      </w:pPr>
      <w:r>
        <w:rPr>
          <w:rFonts w:ascii="Times New Roman" w:cs="Times New Roman" w:eastAsia="Times New Roman" w:hAnsi="Times New Roman"/>
          <w:sz w:val="18"/>
          <w:szCs w:val="18"/>
          <w:color w:val="auto"/>
        </w:rPr>
        <w:t>—</w:t>
      </w: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-10795</wp:posOffset>
            </wp:positionV>
            <wp:extent cx="113220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32205" cy="8890"/>
                    </a:xfrm>
                    <a:prstGeom prst="rect">
                      <a:avLst/>
                    </a:prstGeom>
                    <a:noFill/>
                  </pic:spPr>
                </pic:pic>
              </a:graphicData>
            </a:graphic>
          </wp:anchor>
        </w:drawing>
      </w:r>
    </w:p>
    <w:p>
      <w:pPr>
        <w:ind w:left="1540"/>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-1905</wp:posOffset>
            </wp:positionV>
            <wp:extent cx="113220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132205" cy="17145"/>
                    </a:xfrm>
                    <a:prstGeom prst="rect">
                      <a:avLst/>
                    </a:prstGeom>
                    <a:noFill/>
                  </pic:spPr>
                </pic:pic>
              </a:graphicData>
            </a:graphic>
          </wp:anchor>
        </w:drawing>
      </w:r>
    </w:p>
    <w:p>
      <w:pPr>
        <w:spacing w:after="0" w:line="328" w:lineRule="exact"/>
        <w:rPr>
          <w:sz w:val="20"/>
          <w:szCs w:val="20"/>
          <w:color w:val="auto"/>
        </w:rPr>
      </w:pPr>
    </w:p>
    <w:p>
      <w:pPr>
        <w:sectPr>
          <w:pgSz w:w="11900" w:h="16838" w:orient="portrait"/>
          <w:cols w:equalWidth="0" w:num="3">
            <w:col w:w="5040" w:space="320"/>
            <w:col w:w="1600" w:space="340"/>
            <w:col w:w="1760"/>
          </w:cols>
          <w:pgMar w:left="1420" w:top="108" w:right="1419" w:bottom="1440" w:gutter="0" w:footer="0" w:header="0"/>
          <w:type w:val="continuous"/>
        </w:sectPr>
      </w:pPr>
    </w:p>
    <w:p>
      <w:pPr>
        <w:ind w:left="220" w:right="220" w:hanging="215"/>
        <w:spacing w:after="0" w:line="263" w:lineRule="auto"/>
        <w:rPr>
          <w:sz w:val="20"/>
          <w:szCs w:val="20"/>
          <w:color w:val="auto"/>
        </w:rPr>
      </w:pPr>
      <w:r>
        <w:rPr>
          <w:rFonts w:ascii="Times New Roman" w:cs="Times New Roman" w:eastAsia="Times New Roman" w:hAnsi="Times New Roman"/>
          <w:sz w:val="17"/>
          <w:szCs w:val="17"/>
          <w:color w:val="auto"/>
        </w:rPr>
        <w:t>(1)All repurchases were made in connection with the forfeiture of shares of common stock by the recipient of such equity incentive awards in connection with the termination of the recipient’s employment or other service relationship with us.</w:t>
      </w:r>
    </w:p>
    <w:p>
      <w:pPr>
        <w:spacing w:after="0" w:line="139" w:lineRule="exact"/>
        <w:rPr>
          <w:sz w:val="20"/>
          <w:szCs w:val="20"/>
          <w:color w:val="auto"/>
        </w:rPr>
      </w:pPr>
    </w:p>
    <w:p>
      <w:pPr>
        <w:ind w:left="240" w:hanging="237"/>
        <w:spacing w:after="0"/>
        <w:tabs>
          <w:tab w:leader="none" w:pos="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repurchase price for all shares of common stock was equal to the price per share initially paid by the recipient.</w:t>
      </w:r>
    </w:p>
    <w:p>
      <w:pPr>
        <w:spacing w:after="0" w:line="184" w:lineRule="exact"/>
        <w:rPr>
          <w:rFonts w:ascii="Times New Roman" w:cs="Times New Roman" w:eastAsia="Times New Roman" w:hAnsi="Times New Roman"/>
          <w:sz w:val="18"/>
          <w:szCs w:val="18"/>
          <w:color w:val="auto"/>
        </w:rPr>
      </w:pPr>
    </w:p>
    <w:p>
      <w:pPr>
        <w:ind w:left="340" w:hanging="337"/>
        <w:spacing w:after="0"/>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presently have no publicly announced share repurchase plan or program.</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 from Initial Public Offering of Common Stock</w:t>
      </w:r>
    </w:p>
    <w:p>
      <w:pPr>
        <w:spacing w:after="0" w:line="187" w:lineRule="exact"/>
        <w:rPr>
          <w:sz w:val="20"/>
          <w:szCs w:val="20"/>
          <w:color w:val="auto"/>
        </w:rPr>
      </w:pPr>
    </w:p>
    <w:p>
      <w:pPr>
        <w:ind w:right="140" w:firstLine="648"/>
        <w:spacing w:after="0" w:line="211" w:lineRule="auto"/>
        <w:rPr>
          <w:sz w:val="20"/>
          <w:szCs w:val="20"/>
          <w:color w:val="auto"/>
        </w:rPr>
      </w:pPr>
      <w:r>
        <w:rPr>
          <w:rFonts w:ascii="Times New Roman" w:cs="Times New Roman" w:eastAsia="Times New Roman" w:hAnsi="Times New Roman"/>
          <w:sz w:val="18"/>
          <w:szCs w:val="18"/>
          <w:color w:val="auto"/>
        </w:rPr>
        <w:t>On May 5, 2015, we completed an IPO of our common stock, which resulted in the sale of 9,367,708 shares, including 1,221,874 shares sold by us pursuant to the exercise in full by the underwriters of their option to purchase additional shares in connection with the offering, at a price to the public of $18.00 per share. The offer and sale of all of the shares in our IPO was registered under the Securities Act of 1933, as amended, or Securities Act, pursuant to a registration statement on Form S-1 (File No. 333-202938), which was declared effective by the SEC on April 29, 2015. Following the sale of the shares in connection with the closing of our IPO, the offering terminated. The offering did not terminate until the sale of all of the shares offered. Goldman, Sachs &amp; Co. and Cowen and Company acted as joint book-running managers for the offering. JMP Securities acted as a co-manager for the offering. Wedbush PacGrow also acted as a co-manager for the offering.</w:t>
      </w:r>
    </w:p>
    <w:p>
      <w:pPr>
        <w:spacing w:after="0" w:line="158" w:lineRule="exact"/>
        <w:rPr>
          <w:sz w:val="20"/>
          <w:szCs w:val="20"/>
          <w:color w:val="auto"/>
        </w:rPr>
      </w:pPr>
    </w:p>
    <w:p>
      <w:pPr>
        <w:ind w:firstLine="648"/>
        <w:spacing w:after="0" w:line="209" w:lineRule="auto"/>
        <w:rPr>
          <w:sz w:val="20"/>
          <w:szCs w:val="20"/>
          <w:color w:val="auto"/>
        </w:rPr>
      </w:pPr>
      <w:r>
        <w:rPr>
          <w:rFonts w:ascii="Times New Roman" w:cs="Times New Roman" w:eastAsia="Times New Roman" w:hAnsi="Times New Roman"/>
          <w:sz w:val="18"/>
          <w:szCs w:val="18"/>
          <w:color w:val="auto"/>
        </w:rPr>
        <w:t>We received approximately $154.8 million in net proceeds after deducting underwriting discounts and commissions and offering costs paid by us. As of June 30, 2016, we estimate that we have used approximately $77.1 million of the net proceeds from the offering as follows: approximately $15.5 million of external costs to fund our Phase 1 clinical trials for BLU-285 and BLU-554; approximately $19.8 million of external costs for new and ongoing research activities; approximately $15.6 million of internal research and development costs; and approximately $26.2 million for working capital and other general corporate purposes. None of the offering expenses consisted of direct or indirect payments made by us to directors, officers or persons owning 10% or more of our common stock or to their associates, or to our affiliates, and we have not used any of the net proceeds from the offering to make payments, directly or indirectly, to any such persons. There has been no material change in the planned use of the net proceeds from our IPO as described in our final prospectus filed with the SEC on April 30, 2015 pursuant to Rule 424(b)(4) under the Securities Act. We have invested the unused proceeds from the offering in cash equivalents in accordance with our investment policy.</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type w:val="continuous"/>
        </w:sectPr>
      </w:pPr>
    </w:p>
    <w:bookmarkStart w:id="70" w:name="page71"/>
    <w:bookmarkEnd w:id="70"/>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9" w:lineRule="exact"/>
        <w:rPr>
          <w:sz w:val="20"/>
          <w:szCs w:val="20"/>
          <w:color w:val="auto"/>
        </w:rPr>
      </w:pPr>
    </w:p>
    <w:p>
      <w:pPr>
        <w:ind w:right="639" w:firstLine="648"/>
        <w:spacing w:after="0" w:line="237" w:lineRule="auto"/>
        <w:rPr>
          <w:sz w:val="20"/>
          <w:szCs w:val="20"/>
          <w:color w:val="auto"/>
        </w:rPr>
      </w:pPr>
      <w:r>
        <w:rPr>
          <w:rFonts w:ascii="Times New Roman" w:cs="Times New Roman" w:eastAsia="Times New Roman" w:hAnsi="Times New Roman"/>
          <w:sz w:val="18"/>
          <w:szCs w:val="18"/>
          <w:color w:val="auto"/>
        </w:rPr>
        <w:t>The exhibits filed as part of this Quarterly Report on Form 10-Q are set forth on the Exhibit Index, which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1" w:name="page72"/>
    <w:bookmarkEnd w:id="71"/>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35" w:lineRule="exact"/>
        <w:rPr>
          <w:sz w:val="20"/>
          <w:szCs w:val="20"/>
          <w:color w:val="auto"/>
        </w:rPr>
      </w:pPr>
    </w:p>
    <w:p>
      <w:pPr>
        <w:ind w:right="339" w:firstLine="441"/>
        <w:spacing w:after="0" w:line="237"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b w:val="1"/>
          <w:bCs w:val="1"/>
          <w:color w:val="auto"/>
        </w:rPr>
        <w:t>BLUEPRINT MEDICINES CORPORATION</w:t>
      </w:r>
    </w:p>
    <w:p>
      <w:pPr>
        <w:spacing w:after="0" w:line="216"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Jeffrey W. Albers</w:t>
      </w:r>
    </w:p>
    <w:p>
      <w:pPr>
        <w:ind w:left="4780"/>
        <w:spacing w:after="0"/>
        <w:rPr>
          <w:sz w:val="20"/>
          <w:szCs w:val="20"/>
          <w:color w:val="auto"/>
        </w:rPr>
      </w:pPr>
      <w:r>
        <w:rPr>
          <w:rFonts w:ascii="Times New Roman" w:cs="Times New Roman" w:eastAsia="Times New Roman" w:hAnsi="Times New Roman"/>
          <w:sz w:val="17"/>
          <w:szCs w:val="17"/>
          <w:i w:val="1"/>
          <w:iCs w:val="1"/>
          <w:color w:val="auto"/>
        </w:rPr>
        <w:t>President, Chief Executive Officer and Director (Principal</w:t>
      </w:r>
    </w:p>
    <w:p>
      <w:pPr>
        <w:spacing w:after="0" w:line="7"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Executive Officer)</w:t>
      </w:r>
    </w:p>
    <w:p>
      <w:pPr>
        <w:spacing w:after="0" w:line="192" w:lineRule="exact"/>
        <w:rPr>
          <w:sz w:val="20"/>
          <w:szCs w:val="20"/>
          <w:color w:val="auto"/>
        </w:rPr>
      </w:pPr>
    </w:p>
    <w:p>
      <w:pPr>
        <w:spacing w:after="0"/>
        <w:tabs>
          <w:tab w:leader="none" w:pos="4340" w:val="left"/>
          <w:tab w:leader="none" w:pos="476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8"/>
          <w:szCs w:val="18"/>
          <w:color w:val="auto"/>
        </w:rPr>
        <w:t>By:</w:t>
        <w:tab/>
        <w:t>/s/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3037840</wp:posOffset>
            </wp:positionH>
            <wp:positionV relativeFrom="paragraph">
              <wp:posOffset>8890</wp:posOffset>
            </wp:positionV>
            <wp:extent cx="271843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18"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Michael Landsittel</w:t>
      </w:r>
    </w:p>
    <w:p>
      <w:pPr>
        <w:ind w:left="4780"/>
        <w:spacing w:after="0" w:line="234" w:lineRule="auto"/>
        <w:rPr>
          <w:sz w:val="20"/>
          <w:szCs w:val="20"/>
          <w:color w:val="auto"/>
        </w:rPr>
      </w:pPr>
      <w:r>
        <w:rPr>
          <w:rFonts w:ascii="Times New Roman" w:cs="Times New Roman" w:eastAsia="Times New Roman" w:hAnsi="Times New Roman"/>
          <w:sz w:val="18"/>
          <w:szCs w:val="18"/>
          <w:i w:val="1"/>
          <w:iCs w:val="1"/>
          <w:color w:val="auto"/>
        </w:rPr>
        <w:t>Vice President of Finance</w:t>
      </w:r>
    </w:p>
    <w:p>
      <w:pPr>
        <w:spacing w:after="0" w:line="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0" w:lineRule="exact"/>
        <w:rPr>
          <w:sz w:val="20"/>
          <w:szCs w:val="20"/>
          <w:color w:val="auto"/>
        </w:rPr>
      </w:pPr>
    </w:p>
    <w:p>
      <w:pPr>
        <w:spacing w:after="0" w:line="3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2" w:name="page73"/>
    <w:bookmarkEnd w:id="72"/>
    <w:p>
      <w:pPr>
        <w:spacing w:after="0"/>
        <w:rPr>
          <w:rFonts w:ascii="Times New Roman" w:cs="Times New Roman" w:eastAsia="Times New Roman" w:hAnsi="Times New Roman"/>
          <w:sz w:val="18"/>
          <w:szCs w:val="18"/>
          <w:u w:val="single" w:color="auto"/>
          <w:color w:val="0563C1"/>
        </w:rPr>
      </w:pPr>
      <w:hyperlink w:anchor="page2">
        <w:r>
          <w:rPr>
            <w:rFonts w:ascii="Times New Roman" w:cs="Times New Roman" w:eastAsia="Times New Roman" w:hAnsi="Times New Roman"/>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80" w:type="dxa"/>
            <w:vAlign w:val="bottom"/>
          </w:tcPr>
          <w:p>
            <w:pPr>
              <w:ind w:left="270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86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7880" w:type="dxa"/>
            <w:vAlign w:val="bottom"/>
            <w:vMerge w:val="restart"/>
          </w:tcPr>
          <w:p>
            <w:pPr>
              <w:ind w:left="326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6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60" w:type="dxa"/>
            <w:vAlign w:val="bottom"/>
          </w:tcPr>
          <w:p>
            <w:pPr>
              <w:spacing w:after="0"/>
              <w:rPr>
                <w:sz w:val="15"/>
                <w:szCs w:val="15"/>
                <w:color w:val="auto"/>
              </w:rPr>
            </w:pPr>
          </w:p>
        </w:tc>
        <w:tc>
          <w:tcPr>
            <w:tcW w:w="7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10.1†*</w:t>
            </w:r>
          </w:p>
        </w:tc>
        <w:tc>
          <w:tcPr>
            <w:tcW w:w="260" w:type="dxa"/>
            <w:vAlign w:val="bottom"/>
          </w:tcPr>
          <w:p>
            <w:pPr>
              <w:spacing w:after="0"/>
              <w:rPr>
                <w:sz w:val="12"/>
                <w:szCs w:val="12"/>
                <w:color w:val="auto"/>
              </w:rPr>
            </w:pPr>
          </w:p>
        </w:tc>
        <w:tc>
          <w:tcPr>
            <w:tcW w:w="7880" w:type="dxa"/>
            <w:vAlign w:val="bottom"/>
          </w:tcPr>
          <w:p>
            <w:pPr>
              <w:spacing w:after="0" w:line="142" w:lineRule="exact"/>
              <w:rPr>
                <w:sz w:val="20"/>
                <w:szCs w:val="20"/>
                <w:color w:val="auto"/>
              </w:rPr>
            </w:pPr>
            <w:r>
              <w:rPr>
                <w:rFonts w:ascii="Times New Roman" w:cs="Times New Roman" w:eastAsia="Times New Roman" w:hAnsi="Times New Roman"/>
                <w:sz w:val="16"/>
                <w:szCs w:val="16"/>
                <w:color w:val="auto"/>
              </w:rPr>
              <w:t>Second Amendment to Collaboration and License Agreement, effective April 27, 2016, by and among 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Hoffmann-La Roche Ltd, Hoffmann-La Roche Inc. and the Registrant</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 of Principal Executive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31.2*</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 of Principal Financial Officer pursuant to Rule 13a-14(a) or Rule 15d-14(a) of the Exchange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Act, as adopted pursuant to Section 302 of the Sarbanes-Oxley Act of 2002</w:t>
            </w:r>
          </w:p>
        </w:tc>
        <w:tc>
          <w:tcPr>
            <w:tcW w:w="0" w:type="dxa"/>
            <w:vAlign w:val="bottom"/>
          </w:tcPr>
          <w:p>
            <w:pPr>
              <w:spacing w:after="0"/>
              <w:rPr>
                <w:sz w:val="1"/>
                <w:szCs w:val="1"/>
                <w:color w:val="auto"/>
              </w:rPr>
            </w:pPr>
          </w:p>
        </w:tc>
      </w:tr>
      <w:tr>
        <w:trPr>
          <w:trHeight w:val="225"/>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32.1+</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Certifications of Principal Executive Officer and Principal Financial Officer pursuant to 18 U.S.C. Section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1350, as adopted pursuant to Section 906 of the Sarbanes-Oxley Act of 2002</w:t>
            </w:r>
          </w:p>
        </w:tc>
        <w:tc>
          <w:tcPr>
            <w:tcW w:w="0" w:type="dxa"/>
            <w:vAlign w:val="bottom"/>
          </w:tcPr>
          <w:p>
            <w:pPr>
              <w:spacing w:after="0"/>
              <w:rPr>
                <w:sz w:val="1"/>
                <w:szCs w:val="1"/>
                <w:color w:val="auto"/>
              </w:rPr>
            </w:pPr>
          </w:p>
        </w:tc>
      </w:tr>
      <w:tr>
        <w:trPr>
          <w:trHeight w:val="279"/>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Instance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101.SCH*</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Schema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101.DEF*</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c>
          <w:tcPr>
            <w:tcW w:w="0" w:type="dxa"/>
            <w:vAlign w:val="bottom"/>
          </w:tcPr>
          <w:p>
            <w:pPr>
              <w:spacing w:after="0"/>
              <w:rPr>
                <w:sz w:val="1"/>
                <w:szCs w:val="1"/>
                <w:color w:val="auto"/>
              </w:rPr>
            </w:pPr>
          </w:p>
        </w:tc>
      </w:tr>
      <w:tr>
        <w:trPr>
          <w:trHeight w:val="284"/>
        </w:trPr>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101.PRE*</w:t>
            </w:r>
          </w:p>
        </w:tc>
        <w:tc>
          <w:tcPr>
            <w:tcW w:w="81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128905</wp:posOffset>
            </wp:positionV>
            <wp:extent cx="144081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86" w:lineRule="exact"/>
        <w:rPr>
          <w:sz w:val="20"/>
          <w:szCs w:val="20"/>
          <w:color w:val="auto"/>
        </w:rPr>
      </w:pPr>
    </w:p>
    <w:p>
      <w:pPr>
        <w:ind w:left="200" w:right="99" w:hanging="197"/>
        <w:spacing w:after="0" w:line="237" w:lineRule="auto"/>
        <w:tabs>
          <w:tab w:leader="none" w:pos="2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treatment requested as to portions of the exhibit. Confidential materials omitted and filed separately with the Securities and Exchange Commission.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77" w:lineRule="exact"/>
        <w:rPr>
          <w:sz w:val="20"/>
          <w:szCs w:val="20"/>
          <w:color w:val="auto"/>
        </w:rPr>
      </w:pPr>
    </w:p>
    <w:p>
      <w:pPr>
        <w:ind w:left="200" w:right="139" w:hanging="197"/>
        <w:spacing w:after="0" w:line="220" w:lineRule="auto"/>
        <w:tabs>
          <w:tab w:leader="none" w:pos="2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hereto are deemed to be furnished with this Quarterly Report on Form 10-Q and will not be deemed to be “filed” for purposes of Section 18 of the Exchange Act. Such certifications will not be deemed to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68580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08" w:right="1440" w:bottom="1440" w:gutter="0" w:footer="0" w:header="0"/>
        </w:sectPr>
      </w:pPr>
    </w:p>
    <w:bookmarkStart w:id="73" w:name="page74"/>
    <w:bookmarkEnd w:id="73"/>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***Text Omitted and Filed Separately with the Securities and Exchange Commission Confidential</w:t>
      </w:r>
    </w:p>
    <w:p>
      <w:pPr>
        <w:spacing w:after="0" w:line="2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b w:val="1"/>
          <w:bCs w:val="1"/>
          <w:color w:val="auto"/>
        </w:rPr>
        <w:t>Treatment Requested Under 17 C.F.R. Sections 200.80(b)(4) and 230.406</w:t>
      </w:r>
    </w:p>
    <w:p>
      <w:pPr>
        <w:spacing w:after="0" w:line="200" w:lineRule="exact"/>
        <w:rPr>
          <w:sz w:val="20"/>
          <w:szCs w:val="20"/>
          <w:color w:val="auto"/>
        </w:rPr>
      </w:pPr>
    </w:p>
    <w:p>
      <w:pPr>
        <w:spacing w:after="0" w:line="37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SECOND AMENDMENT TO COLLABORATION AND LICENSE AGREEMENT</w:t>
      </w:r>
    </w:p>
    <w:p>
      <w:pPr>
        <w:spacing w:after="0" w:line="98" w:lineRule="exact"/>
        <w:rPr>
          <w:sz w:val="20"/>
          <w:szCs w:val="20"/>
          <w:color w:val="auto"/>
        </w:rPr>
      </w:pPr>
    </w:p>
    <w:p>
      <w:pPr>
        <w:jc w:val="both"/>
        <w:ind w:left="160" w:right="139" w:firstLine="648"/>
        <w:spacing w:after="0" w:line="238" w:lineRule="auto"/>
        <w:rPr>
          <w:sz w:val="20"/>
          <w:szCs w:val="20"/>
          <w:color w:val="auto"/>
        </w:rPr>
      </w:pPr>
      <w:r>
        <w:rPr>
          <w:rFonts w:ascii="Times New Roman" w:cs="Times New Roman" w:eastAsia="Times New Roman" w:hAnsi="Times New Roman"/>
          <w:sz w:val="22"/>
          <w:szCs w:val="22"/>
          <w:color w:val="auto"/>
        </w:rPr>
        <w:t>This Second Amendment, effective April 27, 2016 (“</w:t>
      </w:r>
      <w:r>
        <w:rPr>
          <w:rFonts w:ascii="Times New Roman" w:cs="Times New Roman" w:eastAsia="Times New Roman" w:hAnsi="Times New Roman"/>
          <w:sz w:val="22"/>
          <w:szCs w:val="22"/>
          <w:b w:val="1"/>
          <w:bCs w:val="1"/>
          <w:color w:val="auto"/>
        </w:rPr>
        <w:t>Effective Date</w:t>
      </w:r>
      <w:r>
        <w:rPr>
          <w:rFonts w:ascii="Times New Roman" w:cs="Times New Roman" w:eastAsia="Times New Roman" w:hAnsi="Times New Roman"/>
          <w:sz w:val="22"/>
          <w:szCs w:val="22"/>
          <w:color w:val="auto"/>
        </w:rPr>
        <w:t>”), is by and between F. Hoffmann-La Roche Ltd, with an office and place of business at Grenzacherstrasse 124, 4070 Basel, Switzerland and Hoffmann-La Roche Inc., with an office and place of business at 150 Clove Road, Suite 8, Little Falls, New Jersey 07424, U.S.A. (together referred to as “</w:t>
      </w:r>
      <w:r>
        <w:rPr>
          <w:rFonts w:ascii="Times New Roman" w:cs="Times New Roman" w:eastAsia="Times New Roman" w:hAnsi="Times New Roman"/>
          <w:sz w:val="22"/>
          <w:szCs w:val="22"/>
          <w:b w:val="1"/>
          <w:bCs w:val="1"/>
          <w:color w:val="auto"/>
        </w:rPr>
        <w:t>Roche</w:t>
      </w:r>
      <w:r>
        <w:rPr>
          <w:rFonts w:ascii="Times New Roman" w:cs="Times New Roman" w:eastAsia="Times New Roman" w:hAnsi="Times New Roman"/>
          <w:sz w:val="22"/>
          <w:szCs w:val="22"/>
          <w:color w:val="auto"/>
        </w:rPr>
        <w:t>”) and Blueprint Medicines, located at 38 Sidney Street, Cambridge, Massachusetts 02139 (“</w:t>
      </w:r>
      <w:r>
        <w:rPr>
          <w:rFonts w:ascii="Times New Roman" w:cs="Times New Roman" w:eastAsia="Times New Roman" w:hAnsi="Times New Roman"/>
          <w:sz w:val="22"/>
          <w:szCs w:val="22"/>
          <w:b w:val="1"/>
          <w:bCs w:val="1"/>
          <w:color w:val="auto"/>
        </w:rPr>
        <w:t>Blueprint</w:t>
      </w:r>
      <w:r>
        <w:rPr>
          <w:rFonts w:ascii="Times New Roman" w:cs="Times New Roman" w:eastAsia="Times New Roman" w:hAnsi="Times New Roman"/>
          <w:sz w:val="22"/>
          <w:szCs w:val="22"/>
          <w:color w:val="auto"/>
        </w:rPr>
        <w:t>”).</w:t>
      </w:r>
    </w:p>
    <w:p>
      <w:pPr>
        <w:spacing w:after="0" w:line="73" w:lineRule="exact"/>
        <w:rPr>
          <w:sz w:val="20"/>
          <w:szCs w:val="20"/>
          <w:color w:val="auto"/>
        </w:rPr>
      </w:pPr>
    </w:p>
    <w:p>
      <w:pPr>
        <w:jc w:val="both"/>
        <w:ind w:left="160" w:right="159" w:firstLine="648"/>
        <w:spacing w:after="0" w:line="258" w:lineRule="auto"/>
        <w:rPr>
          <w:sz w:val="20"/>
          <w:szCs w:val="20"/>
          <w:color w:val="auto"/>
        </w:rPr>
      </w:pPr>
      <w:r>
        <w:rPr>
          <w:rFonts w:ascii="Times New Roman" w:cs="Times New Roman" w:eastAsia="Times New Roman" w:hAnsi="Times New Roman"/>
          <w:sz w:val="22"/>
          <w:szCs w:val="22"/>
          <w:color w:val="auto"/>
        </w:rPr>
        <w:t>WHEREAS, Blueprint and Roche entered into a Collaboration and License Agreement dated March 14, 2016, as amended April 15, 2016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w:t>
      </w:r>
    </w:p>
    <w:p>
      <w:pPr>
        <w:spacing w:after="0" w:line="50" w:lineRule="exact"/>
        <w:rPr>
          <w:sz w:val="20"/>
          <w:szCs w:val="20"/>
          <w:color w:val="auto"/>
        </w:rPr>
      </w:pPr>
    </w:p>
    <w:p>
      <w:pPr>
        <w:jc w:val="both"/>
        <w:ind w:left="160" w:right="159" w:firstLine="648"/>
        <w:spacing w:after="0" w:line="258" w:lineRule="auto"/>
        <w:rPr>
          <w:sz w:val="20"/>
          <w:szCs w:val="20"/>
          <w:color w:val="auto"/>
        </w:rPr>
      </w:pPr>
      <w:r>
        <w:rPr>
          <w:rFonts w:ascii="Times New Roman" w:cs="Times New Roman" w:eastAsia="Times New Roman" w:hAnsi="Times New Roman"/>
          <w:sz w:val="22"/>
          <w:szCs w:val="22"/>
          <w:color w:val="auto"/>
        </w:rPr>
        <w:t>WHEREAS, Section 4.1.6 of the Agreement states that “Part 2 shall start with Screening of Library Compounds selected by both Parties”;</w:t>
      </w:r>
    </w:p>
    <w:p>
      <w:pPr>
        <w:spacing w:after="0" w:line="5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NOW THEREFORE, Roche and Blueprint hereby agree as follows: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At the end of Section 4.1.6, the following shall be inserted:</w:t>
      </w:r>
    </w:p>
    <w:p>
      <w:pPr>
        <w:spacing w:after="0" w:line="98" w:lineRule="exact"/>
        <w:rPr>
          <w:sz w:val="20"/>
          <w:szCs w:val="20"/>
          <w:color w:val="auto"/>
        </w:rPr>
      </w:pPr>
    </w:p>
    <w:p>
      <w:pPr>
        <w:jc w:val="both"/>
        <w:ind w:left="800" w:right="799" w:firstLine="648"/>
        <w:spacing w:after="0" w:line="239" w:lineRule="auto"/>
        <w:rPr>
          <w:sz w:val="20"/>
          <w:szCs w:val="20"/>
          <w:color w:val="auto"/>
        </w:rPr>
      </w:pPr>
      <w:r>
        <w:rPr>
          <w:rFonts w:ascii="Times New Roman" w:cs="Times New Roman" w:eastAsia="Times New Roman" w:hAnsi="Times New Roman"/>
          <w:sz w:val="22"/>
          <w:szCs w:val="22"/>
          <w:color w:val="auto"/>
        </w:rPr>
        <w:t>Under the Agreement, Blueprint will transfer Library Compounds to Roche. Roche will use the Library Compounds solely for Screening as outlined in the Agreement and for no other purpose. Roche agrees not to analyze the Library Compounds for the purpose of determining the structures thereof.</w:t>
      </w:r>
    </w:p>
    <w:p>
      <w:pPr>
        <w:spacing w:after="0" w:line="73" w:lineRule="exact"/>
        <w:rPr>
          <w:sz w:val="20"/>
          <w:szCs w:val="20"/>
          <w:color w:val="auto"/>
        </w:rPr>
      </w:pPr>
    </w:p>
    <w:p>
      <w:pPr>
        <w:jc w:val="both"/>
        <w:ind w:left="800" w:right="799" w:firstLine="648"/>
        <w:spacing w:after="0" w:line="235" w:lineRule="auto"/>
        <w:rPr>
          <w:sz w:val="20"/>
          <w:szCs w:val="20"/>
          <w:color w:val="auto"/>
        </w:rPr>
      </w:pPr>
      <w:r>
        <w:rPr>
          <w:rFonts w:ascii="Times New Roman" w:cs="Times New Roman" w:eastAsia="Times New Roman" w:hAnsi="Times New Roman"/>
          <w:sz w:val="22"/>
          <w:szCs w:val="22"/>
          <w:color w:val="auto"/>
        </w:rPr>
        <w:t>Blueprint may also transfer Other Compounds and Collaboration Compounds to Roche. Roche will use the Other Compounds solely as outlined in the Research Plan and for no other purpose. Prior to exercising an Option Right for a given Collaboration Target, Roche will use the Collaboration Compounds for that Collaboration Target solely as outlined in the Research Plan and for no other purpose. Prior to achieving Lead Series Identified Criteria, Roche agrees not to analyze the Other Compounds or Collaboration Compounds for the purpose of determining the structures thereof.</w:t>
      </w:r>
    </w:p>
    <w:p>
      <w:pPr>
        <w:spacing w:after="0" w:line="71" w:lineRule="exact"/>
        <w:rPr>
          <w:sz w:val="20"/>
          <w:szCs w:val="20"/>
          <w:color w:val="auto"/>
        </w:rPr>
      </w:pPr>
    </w:p>
    <w:p>
      <w:pPr>
        <w:jc w:val="both"/>
        <w:ind w:left="800" w:right="799" w:firstLine="648"/>
        <w:spacing w:after="0" w:line="235" w:lineRule="auto"/>
        <w:rPr>
          <w:sz w:val="20"/>
          <w:szCs w:val="20"/>
          <w:color w:val="auto"/>
        </w:rPr>
      </w:pPr>
      <w:r>
        <w:rPr>
          <w:rFonts w:ascii="Times New Roman" w:cs="Times New Roman" w:eastAsia="Times New Roman" w:hAnsi="Times New Roman"/>
          <w:sz w:val="22"/>
          <w:szCs w:val="22"/>
          <w:color w:val="auto"/>
        </w:rPr>
        <w:t>The Screening and use of the Library Compounds, Other Compounds, and Collaboration Compounds by Roche under the Research Plan will be conducted at Roche’s research facilities. None of the Library Compounds or Other Compounds will be transferred or sold to third parties. Prior to exercising an Option Right for a given Collaboration Target, none of the Collaboration Compounds for that Collaboration Target will be transferred or sold to third parties, unless specified by the Research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133985</wp:posOffset>
            </wp:positionV>
            <wp:extent cx="554863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4" w:name="page75"/>
    <w:bookmarkEnd w:id="74"/>
    <w:p>
      <w:pPr>
        <w:ind w:left="800"/>
        <w:spacing w:after="0"/>
        <w:rPr>
          <w:sz w:val="20"/>
          <w:szCs w:val="20"/>
          <w:color w:val="auto"/>
        </w:rPr>
      </w:pPr>
      <w:r>
        <w:rPr>
          <w:rFonts w:ascii="Times New Roman" w:cs="Times New Roman" w:eastAsia="Times New Roman" w:hAnsi="Times New Roman"/>
          <w:sz w:val="22"/>
          <w:szCs w:val="22"/>
          <w:color w:val="auto"/>
        </w:rPr>
        <w:t>Roche and Blueprint further agree as follows:</w:t>
      </w:r>
    </w:p>
    <w:p>
      <w:pPr>
        <w:spacing w:after="0" w:line="9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After the 4</w:t>
      </w:r>
      <w:r>
        <w:rPr>
          <w:rFonts w:ascii="Times New Roman" w:cs="Times New Roman" w:eastAsia="Times New Roman" w:hAnsi="Times New Roman"/>
          <w:sz w:val="10"/>
          <w:szCs w:val="10"/>
          <w:color w:val="auto"/>
        </w:rPr>
        <w:t>th</w:t>
      </w:r>
      <w:r>
        <w:rPr>
          <w:rFonts w:ascii="Times New Roman" w:cs="Times New Roman" w:eastAsia="Times New Roman" w:hAnsi="Times New Roman"/>
          <w:sz w:val="22"/>
          <w:szCs w:val="22"/>
          <w:color w:val="auto"/>
        </w:rPr>
        <w:t xml:space="preserve"> paragraph of Section 4.1.5 of the Agreement, the following shall be inserted:</w:t>
      </w:r>
    </w:p>
    <w:p>
      <w:pPr>
        <w:spacing w:after="0" w:line="98" w:lineRule="exact"/>
        <w:rPr>
          <w:sz w:val="20"/>
          <w:szCs w:val="20"/>
          <w:color w:val="auto"/>
        </w:rPr>
      </w:pPr>
    </w:p>
    <w:p>
      <w:pPr>
        <w:jc w:val="both"/>
        <w:ind w:left="800" w:right="799"/>
        <w:spacing w:after="0" w:line="232" w:lineRule="auto"/>
        <w:rPr>
          <w:sz w:val="20"/>
          <w:szCs w:val="20"/>
          <w:color w:val="auto"/>
        </w:rPr>
      </w:pPr>
      <w:r>
        <w:rPr>
          <w:rFonts w:ascii="Times New Roman" w:cs="Times New Roman" w:eastAsia="Times New Roman" w:hAnsi="Times New Roman"/>
          <w:sz w:val="22"/>
          <w:szCs w:val="22"/>
          <w:color w:val="auto"/>
        </w:rPr>
        <w:t>A crystallographer at Roche (“Crystallographer”) shall be designated in writing by Roche to solve crystal structures of Library Compounds, Other Compounds, or Collaboration Compounds bound to Targets as specified in the Research Plan. Roche will produce crystals of the target kinase complexed with an inhibitor. If the resulting electron density maps suggest that the x-ray structure of the kinase inhibitor complex can be determined, the project team will be informed. The Crystallographer will not continue refinement of the structure until the project team has approved further refinement. If the Crystallographer inadvertently solves for the structure of the inhibitor prior to approval, he or she will remain bound by the confidentiality provisions of this section. If approved by the project team, the chemical structure of the inhibitor will disclosed to the Crystallographer who will then complete the refinement of the structure to reveal the kinase - inhibitor structure. The Crystallographer shall independently handle the structural information regarding Library Compounds, Other Compounds, and Collaboration Compounds learned from solving such crystal structures; no structures of Library Compounds, Other Compounds, and Collaboration Compounds can be shared with any other individuals within Roche other than members of senior management specified on Appendix 4.1.5 acting in their decision making capacity and the Insulated Chemistry Experts. For clarity, these structures cannot be used for any other purpose than specified in the Research Plan, including any research purpose. Appropriate safeguards will be established by Roche that are intended to prevent any inadvertent disclosure or improper use of these structures and any structural information related to such structures. From Lead Nomination onwards and throughout Lead Optimization, the structures of Other Compounds and Collaboration Compounds in the Lead Optimization phase shall be shared with the Roche project team members (including Collaboration Compounds meeting Lead Series Identified Criteria, CLS Criteria and CCS Criteria).</w:t>
      </w:r>
    </w:p>
    <w:p>
      <w:pPr>
        <w:spacing w:after="0" w:line="6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Roche and Blueprint further agree as follows:</w:t>
      </w:r>
    </w:p>
    <w:p>
      <w:pPr>
        <w:spacing w:after="0" w:line="9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1"/>
          <w:szCs w:val="21"/>
          <w:color w:val="auto"/>
        </w:rPr>
        <w:t>Appendix 1.38 shall be deleted in its entirety and replaced with the attached Appendix 1.38.</w:t>
      </w:r>
    </w:p>
    <w:p>
      <w:pPr>
        <w:spacing w:after="0" w:line="110" w:lineRule="exact"/>
        <w:rPr>
          <w:sz w:val="20"/>
          <w:szCs w:val="20"/>
          <w:color w:val="auto"/>
        </w:rPr>
      </w:pPr>
    </w:p>
    <w:p>
      <w:pPr>
        <w:ind w:left="160" w:right="139" w:firstLine="648"/>
        <w:spacing w:after="0" w:line="258" w:lineRule="auto"/>
        <w:rPr>
          <w:sz w:val="20"/>
          <w:szCs w:val="20"/>
          <w:color w:val="auto"/>
        </w:rPr>
      </w:pPr>
      <w:r>
        <w:rPr>
          <w:rFonts w:ascii="Times New Roman" w:cs="Times New Roman" w:eastAsia="Times New Roman" w:hAnsi="Times New Roman"/>
          <w:sz w:val="22"/>
          <w:szCs w:val="22"/>
          <w:color w:val="auto"/>
        </w:rPr>
        <w:t>All other terms defined in the Agreement are to be interpreted as defined therein, and all other terms of the Agreement are to remain in full force and effect.</w:t>
      </w:r>
    </w:p>
    <w:p>
      <w:pPr>
        <w:spacing w:after="0" w:line="50" w:lineRule="exact"/>
        <w:rPr>
          <w:sz w:val="20"/>
          <w:szCs w:val="20"/>
          <w:color w:val="auto"/>
        </w:rPr>
      </w:pPr>
    </w:p>
    <w:p>
      <w:pPr>
        <w:ind w:left="160" w:right="159" w:firstLine="648"/>
        <w:spacing w:after="0" w:line="258" w:lineRule="auto"/>
        <w:rPr>
          <w:sz w:val="20"/>
          <w:szCs w:val="20"/>
          <w:color w:val="auto"/>
        </w:rPr>
      </w:pPr>
      <w:r>
        <w:rPr>
          <w:rFonts w:ascii="Times New Roman" w:cs="Times New Roman" w:eastAsia="Times New Roman" w:hAnsi="Times New Roman"/>
          <w:sz w:val="22"/>
          <w:szCs w:val="22"/>
          <w:color w:val="auto"/>
        </w:rPr>
        <w:t>This Amendment may be executed in counterparts, each of which shall be deemed an original, but both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118110</wp:posOffset>
            </wp:positionV>
            <wp:extent cx="554863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75" w:name="page76"/>
    <w:bookmarkEnd w:id="75"/>
    <w:p>
      <w:pPr>
        <w:ind w:left="160" w:right="299" w:firstLine="648"/>
        <w:spacing w:after="0" w:line="236" w:lineRule="auto"/>
        <w:rPr>
          <w:sz w:val="20"/>
          <w:szCs w:val="20"/>
          <w:color w:val="auto"/>
        </w:rPr>
      </w:pPr>
      <w:r>
        <w:rPr>
          <w:rFonts w:ascii="Times New Roman" w:cs="Times New Roman" w:eastAsia="Times New Roman" w:hAnsi="Times New Roman"/>
          <w:sz w:val="22"/>
          <w:szCs w:val="22"/>
          <w:color w:val="auto"/>
        </w:rPr>
        <w:t>IN WITNESS WHEREOF, the parties have caused this Amendment to be executed by their duly authorized representatives.</w:t>
      </w:r>
    </w:p>
    <w:p>
      <w:pPr>
        <w:spacing w:after="0" w:line="200" w:lineRule="exact"/>
        <w:rPr>
          <w:sz w:val="20"/>
          <w:szCs w:val="20"/>
          <w:color w:val="auto"/>
        </w:rPr>
      </w:pPr>
    </w:p>
    <w:p>
      <w:pPr>
        <w:spacing w:after="0" w:line="35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b w:val="1"/>
          <w:bCs w:val="1"/>
          <w:color w:val="auto"/>
        </w:rPr>
        <w:t>Blueprint Medicines Corporation</w:t>
      </w:r>
    </w:p>
    <w:p>
      <w:pPr>
        <w:spacing w:after="0" w:line="2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u w:val="single" w:color="auto"/>
          <w:color w:val="auto"/>
        </w:rPr>
        <w:t>/s/ Jeffrey Albers</w:t>
      </w:r>
    </w:p>
    <w:p>
      <w:pPr>
        <w:spacing w:after="0" w:line="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Name: Jeffrey Albers</w:t>
      </w:r>
    </w:p>
    <w:p>
      <w:pPr>
        <w:ind w:left="1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40" w:type="dxa"/>
        <w:tblCellMar>
          <w:top w:w="0" w:type="dxa"/>
          <w:left w:w="0" w:type="dxa"/>
          <w:bottom w:w="0" w:type="dxa"/>
          <w:right w:w="0" w:type="dxa"/>
        </w:tblCellMar>
      </w:tblPr>
      <w:tr>
        <w:trPr>
          <w:trHeight w:val="287"/>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F. Hoffmann-La Roche Ltd</w:t>
            </w: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Stefan Arnold</w:t>
            </w:r>
          </w:p>
        </w:tc>
        <w:tc>
          <w:tcPr>
            <w:tcW w:w="4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Barbara Lueckel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60" w:type="dxa"/>
            <w:vAlign w:val="bottom"/>
            <w:tcBorders>
              <w:left w:val="single" w:sz="8" w:color="auto"/>
            </w:tcBorders>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8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Lueckel</w:t>
            </w: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Name: Stefan Arnold</w:t>
            </w:r>
          </w:p>
        </w:tc>
        <w:tc>
          <w:tcPr>
            <w:tcW w:w="1700" w:type="dxa"/>
            <w:vAlign w:val="bottom"/>
          </w:tcPr>
          <w:p>
            <w:pPr>
              <w:spacing w:after="0" w:line="237" w:lineRule="exact"/>
              <w:rPr>
                <w:sz w:val="20"/>
                <w:szCs w:val="20"/>
                <w:color w:val="auto"/>
              </w:rPr>
            </w:pPr>
            <w:r>
              <w:rPr>
                <w:rFonts w:ascii="Times New Roman" w:cs="Times New Roman" w:eastAsia="Times New Roman" w:hAnsi="Times New Roman"/>
                <w:sz w:val="22"/>
                <w:szCs w:val="22"/>
                <w:color w:val="auto"/>
                <w:w w:val="99"/>
              </w:rPr>
              <w:t>Name: Dr. Barbara</w:t>
            </w:r>
          </w:p>
        </w:tc>
        <w:tc>
          <w:tcPr>
            <w:tcW w:w="28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0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Title: Head Legal Pharma</w:t>
            </w:r>
          </w:p>
        </w:tc>
        <w:tc>
          <w:tcPr>
            <w:tcW w:w="452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Title: Head of Research &amp; Technologies</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45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Partnering</w:t>
            </w:r>
          </w:p>
        </w:tc>
        <w:tc>
          <w:tcPr>
            <w:tcW w:w="0" w:type="dxa"/>
            <w:vAlign w:val="bottom"/>
          </w:tcPr>
          <w:p>
            <w:pPr>
              <w:spacing w:after="0"/>
              <w:rPr>
                <w:sz w:val="1"/>
                <w:szCs w:val="1"/>
                <w:color w:val="auto"/>
              </w:rPr>
            </w:pPr>
          </w:p>
        </w:tc>
      </w:tr>
      <w:tr>
        <w:trPr>
          <w:trHeight w:val="972"/>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color w:val="auto"/>
              </w:rPr>
              <w:t>Hoffmann-La Roche Inc</w:t>
            </w:r>
            <w:r>
              <w:rPr>
                <w:rFonts w:ascii="Times New Roman" w:cs="Times New Roman" w:eastAsia="Times New Roman" w:hAnsi="Times New Roman"/>
                <w:sz w:val="22"/>
                <w:szCs w:val="22"/>
                <w:color w:val="auto"/>
              </w:rPr>
              <w:t>.</w:t>
            </w: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 John P. Parise</w:t>
            </w: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200" w:type="dxa"/>
            <w:vAlign w:val="bottom"/>
            <w:gridSpan w:val="2"/>
          </w:tcPr>
          <w:p>
            <w:pPr>
              <w:spacing w:after="0" w:line="237" w:lineRule="exact"/>
              <w:rPr>
                <w:sz w:val="20"/>
                <w:szCs w:val="20"/>
                <w:color w:val="auto"/>
              </w:rPr>
            </w:pPr>
            <w:r>
              <w:rPr>
                <w:rFonts w:ascii="Times New Roman" w:cs="Times New Roman" w:eastAsia="Times New Roman" w:hAnsi="Times New Roman"/>
                <w:sz w:val="22"/>
                <w:szCs w:val="22"/>
                <w:color w:val="auto"/>
              </w:rPr>
              <w:t>Name: John P. Parise</w:t>
            </w:r>
          </w:p>
        </w:tc>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0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Title: Assistant Secretary</w:t>
            </w:r>
          </w:p>
        </w:tc>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6"/>
        </w:trPr>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98" w:right="1440"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22"/>
          <w:szCs w:val="22"/>
          <w:b w:val="1"/>
          <w:bCs w:val="1"/>
          <w:color w:val="auto"/>
        </w:rPr>
        <w:t>Appendix 1.38</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Approved CROs</w:t>
      </w:r>
    </w:p>
    <w:p>
      <w:pPr>
        <w:spacing w:after="0" w:line="200" w:lineRule="exact"/>
        <w:rPr>
          <w:sz w:val="20"/>
          <w:szCs w:val="20"/>
          <w:color w:val="auto"/>
        </w:rPr>
      </w:pPr>
    </w:p>
    <w:p>
      <w:pPr>
        <w:spacing w:after="0" w:line="4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139700</wp:posOffset>
            </wp:positionV>
            <wp:extent cx="5548630"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77" w:name="page78"/>
    <w:bookmarkEnd w:id="77"/>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Jeffrey W. Albers, certify that:</w:t>
      </w:r>
    </w:p>
    <w:p>
      <w:pPr>
        <w:spacing w:after="0" w:line="185" w:lineRule="exact"/>
        <w:rPr>
          <w:sz w:val="20"/>
          <w:szCs w:val="20"/>
          <w:color w:val="auto"/>
        </w:rPr>
      </w:pPr>
    </w:p>
    <w:p>
      <w:pPr>
        <w:ind w:left="1460" w:hanging="661"/>
        <w:spacing w:after="0"/>
        <w:tabs>
          <w:tab w:leader="none" w:pos="14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0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00" w:hanging="653"/>
        <w:spacing w:after="0"/>
        <w:tabs>
          <w:tab w:leader="none" w:pos="21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99" w:firstLine="647"/>
        <w:spacing w:after="0" w:line="220" w:lineRule="auto"/>
        <w:tabs>
          <w:tab w:leader="none" w:pos="21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7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09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37" w:lineRule="auto"/>
        <w:tabs>
          <w:tab w:leader="none" w:pos="210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8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3025140</wp:posOffset>
            </wp:positionH>
            <wp:positionV relativeFrom="paragraph">
              <wp:posOffset>0</wp:posOffset>
            </wp:positionV>
            <wp:extent cx="26073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76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8" w:name="page79"/>
    <w:bookmarkEnd w:id="78"/>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4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18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I, Michael Landsittel, certify that:</w:t>
      </w:r>
    </w:p>
    <w:p>
      <w:pPr>
        <w:spacing w:after="0" w:line="185" w:lineRule="exact"/>
        <w:rPr>
          <w:sz w:val="20"/>
          <w:szCs w:val="20"/>
          <w:color w:val="auto"/>
        </w:rPr>
      </w:pPr>
    </w:p>
    <w:p>
      <w:pPr>
        <w:ind w:left="1460" w:hanging="661"/>
        <w:spacing w:after="0"/>
        <w:tabs>
          <w:tab w:leader="none" w:pos="14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Blueprint Medicines Corporation;</w:t>
      </w:r>
    </w:p>
    <w:p>
      <w:pPr>
        <w:spacing w:after="0" w:line="184" w:lineRule="exact"/>
        <w:rPr>
          <w:rFonts w:ascii="Times New Roman" w:cs="Times New Roman" w:eastAsia="Times New Roman" w:hAnsi="Times New Roman"/>
          <w:sz w:val="18"/>
          <w:szCs w:val="18"/>
          <w:color w:val="auto"/>
        </w:rPr>
      </w:pPr>
    </w:p>
    <w:p>
      <w:pPr>
        <w:ind w:left="160" w:right="159" w:firstLine="639"/>
        <w:spacing w:after="0" w:line="226" w:lineRule="auto"/>
        <w:tabs>
          <w:tab w:leader="none" w:pos="14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8" w:lineRule="exact"/>
        <w:rPr>
          <w:rFonts w:ascii="Times New Roman" w:cs="Times New Roman" w:eastAsia="Times New Roman" w:hAnsi="Times New Roman"/>
          <w:sz w:val="18"/>
          <w:szCs w:val="18"/>
          <w:color w:val="auto"/>
        </w:rPr>
      </w:pPr>
    </w:p>
    <w:p>
      <w:pPr>
        <w:ind w:left="160" w:right="219" w:firstLine="639"/>
        <w:spacing w:after="0" w:line="226" w:lineRule="auto"/>
        <w:tabs>
          <w:tab w:leader="none" w:pos="14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8" w:lineRule="exact"/>
        <w:rPr>
          <w:rFonts w:ascii="Times New Roman" w:cs="Times New Roman" w:eastAsia="Times New Roman" w:hAnsi="Times New Roman"/>
          <w:sz w:val="18"/>
          <w:szCs w:val="18"/>
          <w:color w:val="auto"/>
        </w:rPr>
      </w:pPr>
    </w:p>
    <w:p>
      <w:pPr>
        <w:ind w:left="160" w:right="419" w:firstLine="639"/>
        <w:spacing w:after="0" w:line="226" w:lineRule="auto"/>
        <w:tabs>
          <w:tab w:leader="none" w:pos="14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for the registrant and have:</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20" w:lineRule="auto"/>
        <w:tabs>
          <w:tab w:leader="none" w:pos="209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Times New Roman" w:cs="Times New Roman" w:eastAsia="Times New Roman" w:hAnsi="Times New Roman"/>
          <w:sz w:val="18"/>
          <w:szCs w:val="18"/>
          <w:color w:val="auto"/>
        </w:rPr>
      </w:pPr>
    </w:p>
    <w:p>
      <w:pPr>
        <w:ind w:left="2100" w:hanging="653"/>
        <w:spacing w:after="0"/>
        <w:tabs>
          <w:tab w:leader="none" w:pos="21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w:t>
      </w:r>
    </w:p>
    <w:p>
      <w:pPr>
        <w:ind w:left="8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49313);</w:t>
      </w:r>
    </w:p>
    <w:p>
      <w:pPr>
        <w:spacing w:after="0" w:line="164" w:lineRule="exact"/>
        <w:rPr>
          <w:rFonts w:ascii="Times New Roman" w:cs="Times New Roman" w:eastAsia="Times New Roman" w:hAnsi="Times New Roman"/>
          <w:sz w:val="18"/>
          <w:szCs w:val="18"/>
          <w:color w:val="auto"/>
        </w:rPr>
      </w:pPr>
    </w:p>
    <w:p>
      <w:pPr>
        <w:ind w:left="800" w:right="259" w:firstLine="647"/>
        <w:spacing w:after="0" w:line="226" w:lineRule="auto"/>
        <w:tabs>
          <w:tab w:leader="none" w:pos="2125"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8" w:lineRule="exact"/>
        <w:rPr>
          <w:rFonts w:ascii="Times New Roman" w:cs="Times New Roman" w:eastAsia="Times New Roman" w:hAnsi="Times New Roman"/>
          <w:sz w:val="18"/>
          <w:szCs w:val="18"/>
          <w:color w:val="auto"/>
        </w:rPr>
      </w:pPr>
    </w:p>
    <w:p>
      <w:pPr>
        <w:ind w:left="800" w:right="199" w:firstLine="647"/>
        <w:spacing w:after="0" w:line="220" w:lineRule="auto"/>
        <w:tabs>
          <w:tab w:leader="none" w:pos="21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9" w:lineRule="exact"/>
        <w:rPr>
          <w:rFonts w:ascii="Times New Roman" w:cs="Times New Roman" w:eastAsia="Times New Roman" w:hAnsi="Times New Roman"/>
          <w:sz w:val="18"/>
          <w:szCs w:val="18"/>
          <w:color w:val="auto"/>
        </w:rPr>
      </w:pPr>
    </w:p>
    <w:p>
      <w:pPr>
        <w:jc w:val="both"/>
        <w:ind w:left="160" w:right="319" w:firstLine="639"/>
        <w:spacing w:after="0" w:line="226" w:lineRule="auto"/>
        <w:tabs>
          <w:tab w:leader="none" w:pos="147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8" w:lineRule="exact"/>
        <w:rPr>
          <w:rFonts w:ascii="Times New Roman" w:cs="Times New Roman" w:eastAsia="Times New Roman" w:hAnsi="Times New Roman"/>
          <w:sz w:val="18"/>
          <w:szCs w:val="18"/>
          <w:color w:val="auto"/>
        </w:rPr>
      </w:pPr>
    </w:p>
    <w:p>
      <w:pPr>
        <w:ind w:left="800" w:right="219" w:firstLine="647"/>
        <w:spacing w:after="0" w:line="226" w:lineRule="auto"/>
        <w:tabs>
          <w:tab w:leader="none" w:pos="209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8" w:lineRule="exact"/>
        <w:rPr>
          <w:rFonts w:ascii="Times New Roman" w:cs="Times New Roman" w:eastAsia="Times New Roman" w:hAnsi="Times New Roman"/>
          <w:sz w:val="18"/>
          <w:szCs w:val="18"/>
          <w:color w:val="auto"/>
        </w:rPr>
      </w:pPr>
    </w:p>
    <w:p>
      <w:pPr>
        <w:ind w:left="800" w:right="259" w:firstLine="647"/>
        <w:spacing w:after="0" w:line="237" w:lineRule="auto"/>
        <w:tabs>
          <w:tab w:leader="none" w:pos="2108"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47" w:lineRule="exact"/>
        <w:rPr>
          <w:sz w:val="20"/>
          <w:szCs w:val="20"/>
          <w:color w:val="auto"/>
        </w:rPr>
      </w:pPr>
    </w:p>
    <w:p>
      <w:pPr>
        <w:ind w:left="160"/>
        <w:spacing w:after="0"/>
        <w:tabs>
          <w:tab w:leader="none" w:pos="446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3016250</wp:posOffset>
            </wp:positionH>
            <wp:positionV relativeFrom="paragraph">
              <wp:posOffset>0</wp:posOffset>
            </wp:positionV>
            <wp:extent cx="261556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ind w:left="476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760"/>
        <w:spacing w:after="0" w:line="204" w:lineRule="auto"/>
        <w:rPr>
          <w:sz w:val="20"/>
          <w:szCs w:val="20"/>
          <w:color w:val="auto"/>
        </w:rPr>
      </w:pPr>
      <w:r>
        <w:rPr>
          <w:rFonts w:ascii="Times New Roman" w:cs="Times New Roman" w:eastAsia="Times New Roman" w:hAnsi="Times New Roman"/>
          <w:sz w:val="18"/>
          <w:szCs w:val="18"/>
          <w:color w:val="auto"/>
        </w:rPr>
        <w:t>Vice President of Finance</w:t>
      </w:r>
    </w:p>
    <w:p>
      <w:pPr>
        <w:ind w:left="47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p>
      <w:pPr>
        <w:sectPr>
          <w:pgSz w:w="11900" w:h="16838" w:orient="portrait"/>
          <w:cols w:equalWidth="0" w:num="1">
            <w:col w:w="9019"/>
          </w:cols>
          <w:pgMar w:left="1440" w:top="104" w:right="1440" w:bottom="1440" w:gutter="0" w:footer="0" w:header="0"/>
        </w:sectPr>
      </w:pPr>
    </w:p>
    <w:bookmarkStart w:id="79" w:name="page80"/>
    <w:bookmarkEnd w:id="79"/>
    <w:p>
      <w:pPr>
        <w:jc w:val="right"/>
        <w:ind w:right="13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44" w:lineRule="exact"/>
        <w:rPr>
          <w:sz w:val="20"/>
          <w:szCs w:val="20"/>
          <w:color w:val="auto"/>
        </w:rPr>
      </w:pPr>
    </w:p>
    <w:p>
      <w:pPr>
        <w:jc w:val="center"/>
        <w:ind w:left="160" w:right="139"/>
        <w:spacing w:after="0" w:line="227" w:lineRule="auto"/>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 ACT OF 2002</w:t>
      </w:r>
    </w:p>
    <w:p>
      <w:pPr>
        <w:spacing w:after="0" w:line="159" w:lineRule="exact"/>
        <w:rPr>
          <w:sz w:val="20"/>
          <w:szCs w:val="20"/>
          <w:color w:val="auto"/>
        </w:rPr>
      </w:pPr>
    </w:p>
    <w:p>
      <w:pPr>
        <w:ind w:left="160" w:right="219" w:firstLine="648"/>
        <w:spacing w:after="0" w:line="220" w:lineRule="auto"/>
        <w:rPr>
          <w:sz w:val="20"/>
          <w:szCs w:val="20"/>
          <w:color w:val="auto"/>
        </w:rPr>
      </w:pPr>
      <w:r>
        <w:rPr>
          <w:rFonts w:ascii="Times New Roman" w:cs="Times New Roman" w:eastAsia="Times New Roman" w:hAnsi="Times New Roman"/>
          <w:sz w:val="18"/>
          <w:szCs w:val="18"/>
          <w:color w:val="auto"/>
        </w:rPr>
        <w:t>In connection with the Quarterly Report on Form 10-Q of Blueprint Medicines Corporation (the “Company”) for the period ended June 30, 2016 as filed with the Securities and Exchange Commission on the date hereof (the “Report”), each of the undersigned officers of the Company hereby certifies, pursuant to 18 U.S.C. Section 1350, that to his knowledge:</w:t>
      </w:r>
    </w:p>
    <w:p>
      <w:pPr>
        <w:spacing w:after="0" w:line="159" w:lineRule="exact"/>
        <w:rPr>
          <w:sz w:val="20"/>
          <w:szCs w:val="20"/>
          <w:color w:val="auto"/>
        </w:rPr>
      </w:pPr>
    </w:p>
    <w:p>
      <w:pPr>
        <w:ind w:left="1440" w:right="299" w:hanging="560"/>
        <w:spacing w:after="0" w:line="237" w:lineRule="auto"/>
        <w:tabs>
          <w:tab w:leader="none" w:pos="14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58" w:lineRule="exact"/>
        <w:rPr>
          <w:rFonts w:ascii="Times New Roman" w:cs="Times New Roman" w:eastAsia="Times New Roman" w:hAnsi="Times New Roman"/>
          <w:sz w:val="18"/>
          <w:szCs w:val="18"/>
          <w:color w:val="auto"/>
        </w:rPr>
      </w:pPr>
    </w:p>
    <w:p>
      <w:pPr>
        <w:ind w:left="1440" w:right="219" w:hanging="560"/>
        <w:spacing w:after="0" w:line="237" w:lineRule="auto"/>
        <w:tabs>
          <w:tab w:leader="none" w:pos="14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10" w:lineRule="exact"/>
        <w:rPr>
          <w:sz w:val="20"/>
          <w:szCs w:val="20"/>
          <w:color w:val="auto"/>
        </w:rPr>
      </w:pPr>
    </w:p>
    <w:p>
      <w:pPr>
        <w:ind w:left="160"/>
        <w:spacing w:after="0"/>
        <w:tabs>
          <w:tab w:leader="none" w:pos="458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7"/>
          <w:szCs w:val="17"/>
          <w:color w:val="auto"/>
        </w:rPr>
        <w:t>By:/s/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0</wp:posOffset>
            </wp:positionV>
            <wp:extent cx="254698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ind w:left="4860"/>
        <w:spacing w:after="0" w:line="205" w:lineRule="auto"/>
        <w:rPr>
          <w:sz w:val="20"/>
          <w:szCs w:val="20"/>
          <w:color w:val="auto"/>
        </w:rPr>
      </w:pPr>
      <w:r>
        <w:rPr>
          <w:rFonts w:ascii="Times New Roman" w:cs="Times New Roman" w:eastAsia="Times New Roman" w:hAnsi="Times New Roman"/>
          <w:sz w:val="18"/>
          <w:szCs w:val="18"/>
          <w:color w:val="auto"/>
        </w:rPr>
        <w:t>Jeffrey W. Albers</w:t>
      </w:r>
    </w:p>
    <w:p>
      <w:pPr>
        <w:ind w:left="4860"/>
        <w:spacing w:after="0" w:line="204" w:lineRule="auto"/>
        <w:rPr>
          <w:sz w:val="20"/>
          <w:szCs w:val="20"/>
          <w:color w:val="auto"/>
        </w:rPr>
      </w:pPr>
      <w:r>
        <w:rPr>
          <w:rFonts w:ascii="Times New Roman" w:cs="Times New Roman" w:eastAsia="Times New Roman" w:hAnsi="Times New Roman"/>
          <w:sz w:val="18"/>
          <w:szCs w:val="18"/>
          <w:color w:val="auto"/>
        </w:rPr>
        <w:t>President and Chief Executive Officer</w:t>
      </w: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138" w:lineRule="exact"/>
        <w:rPr>
          <w:sz w:val="20"/>
          <w:szCs w:val="20"/>
          <w:color w:val="auto"/>
        </w:rPr>
      </w:pPr>
    </w:p>
    <w:p>
      <w:pPr>
        <w:ind w:left="160"/>
        <w:spacing w:after="0"/>
        <w:tabs>
          <w:tab w:leader="none" w:pos="4560" w:val="left"/>
        </w:tabs>
        <w:rPr>
          <w:sz w:val="20"/>
          <w:szCs w:val="20"/>
          <w:color w:val="auto"/>
        </w:rPr>
      </w:pPr>
      <w:r>
        <w:rPr>
          <w:rFonts w:ascii="Times New Roman" w:cs="Times New Roman" w:eastAsia="Times New Roman" w:hAnsi="Times New Roman"/>
          <w:sz w:val="18"/>
          <w:szCs w:val="18"/>
          <w:color w:val="auto"/>
        </w:rPr>
        <w:t>Date: August 9, 2016</w:t>
      </w:r>
      <w:r>
        <w:rPr>
          <w:sz w:val="20"/>
          <w:szCs w:val="20"/>
          <w:color w:val="auto"/>
        </w:rPr>
        <w:tab/>
      </w:r>
      <w:r>
        <w:rPr>
          <w:rFonts w:ascii="Times New Roman" w:cs="Times New Roman" w:eastAsia="Times New Roman" w:hAnsi="Times New Roman"/>
          <w:sz w:val="18"/>
          <w:szCs w:val="18"/>
          <w:color w:val="auto"/>
        </w:rPr>
        <w:t>By:/s/ Michael Landsittel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0</wp:posOffset>
            </wp:positionV>
            <wp:extent cx="25558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ind w:left="4860"/>
        <w:spacing w:after="0" w:line="205" w:lineRule="auto"/>
        <w:rPr>
          <w:sz w:val="20"/>
          <w:szCs w:val="20"/>
          <w:color w:val="auto"/>
        </w:rPr>
      </w:pPr>
      <w:r>
        <w:rPr>
          <w:rFonts w:ascii="Times New Roman" w:cs="Times New Roman" w:eastAsia="Times New Roman" w:hAnsi="Times New Roman"/>
          <w:sz w:val="18"/>
          <w:szCs w:val="18"/>
          <w:color w:val="auto"/>
        </w:rPr>
        <w:t>Michael Landsittel</w:t>
      </w:r>
    </w:p>
    <w:p>
      <w:pPr>
        <w:ind w:left="4860"/>
        <w:spacing w:after="0" w:line="204" w:lineRule="auto"/>
        <w:rPr>
          <w:sz w:val="20"/>
          <w:szCs w:val="20"/>
          <w:color w:val="auto"/>
        </w:rPr>
      </w:pPr>
      <w:r>
        <w:rPr>
          <w:rFonts w:ascii="Times New Roman" w:cs="Times New Roman" w:eastAsia="Times New Roman" w:hAnsi="Times New Roman"/>
          <w:sz w:val="18"/>
          <w:szCs w:val="18"/>
          <w:color w:val="auto"/>
        </w:rPr>
        <w:t>Vice President of Finance</w:t>
      </w:r>
    </w:p>
    <w:p>
      <w:pPr>
        <w:ind w:left="48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236220</wp:posOffset>
            </wp:positionV>
            <wp:extent cx="554863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548630" cy="26035"/>
                    </a:xfrm>
                    <a:prstGeom prst="rect">
                      <a:avLst/>
                    </a:prstGeom>
                    <a:noFill/>
                  </pic:spPr>
                </pic:pic>
              </a:graphicData>
            </a:graphic>
          </wp:anchor>
        </w:drawing>
      </w:r>
    </w:p>
    <w:sectPr>
      <w:pgSz w:w="11900" w:h="16838" w:orient="portrait"/>
      <w:cols w:equalWidth="0" w:num="1">
        <w:col w:w="9019"/>
      </w:cols>
      <w:pgMar w:left="1440" w:top="1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
      <w:numFmt w:val="bullet"/>
      <w:start w:val="1"/>
    </w:lvl>
  </w:abstractNum>
  <w:abstractNum w:abstractNumId="1">
    <w:nsid w:val="140E0F76"/>
    <w:multiLevelType w:val="hybridMultilevel"/>
    <w:lvl w:ilvl="0">
      <w:lvlJc w:val="left"/>
      <w:lvlText w:val=" "/>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1."/>
      <w:numFmt w:val="decimal"/>
      <w:start w:val="3"/>
    </w:lvl>
  </w:abstractNum>
  <w:abstractNum w:abstractNumId="4">
    <w:nsid w:val="DED7263"/>
    <w:multiLevelType w:val="hybridMultilevel"/>
    <w:lvl w:ilvl="0">
      <w:lvlJc w:val="left"/>
      <w:lvlText w:val="%1."/>
      <w:numFmt w:val="decimal"/>
      <w:start w:val="4"/>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lowerRoman"/>
      <w:start w:val="3"/>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
      <w:numFmt w:val="bullet"/>
      <w:start w:val="1"/>
    </w:lvl>
  </w:abstractNum>
  <w:abstractNum w:abstractNumId="9">
    <w:nsid w:val="4E6AFB66"/>
    <w:multiLevelType w:val="hybridMultilevel"/>
    <w:lvl w:ilvl="0">
      <w:lvlJc w:val="left"/>
      <w:lvlText w:val="·"/>
      <w:numFmt w:val="bullet"/>
      <w:start w:val="1"/>
    </w:lvl>
  </w:abstractNum>
  <w:abstractNum w:abstractNumId="10">
    <w:nsid w:val="25E45D32"/>
    <w:multiLevelType w:val="hybridMultilevel"/>
    <w:lvl w:ilvl="0">
      <w:lvlJc w:val="left"/>
      <w:lvlText w:val="·"/>
      <w:numFmt w:val="bullet"/>
      <w:start w:val="1"/>
    </w:lvl>
  </w:abstractNum>
  <w:abstractNum w:abstractNumId="11">
    <w:nsid w:val="519B500D"/>
    <w:multiLevelType w:val="hybridMultilevel"/>
    <w:lvl w:ilvl="0">
      <w:lvlJc w:val="left"/>
      <w:lvlText w:val="·"/>
      <w:numFmt w:val="bullet"/>
      <w:start w:val="1"/>
    </w:lvl>
  </w:abstractNum>
  <w:abstractNum w:abstractNumId="12">
    <w:nsid w:val="431BD7B7"/>
    <w:multiLevelType w:val="hybridMultilevel"/>
    <w:lvl w:ilvl="0">
      <w:lvlJc w:val="left"/>
      <w:lvlText w:val="(%1)"/>
      <w:numFmt w:val="lowerRoman"/>
      <w:start w:val="2"/>
    </w:lvl>
  </w:abstractNum>
  <w:abstractNum w:abstractNumId="13">
    <w:nsid w:val="3F2DBA31"/>
    <w:multiLevelType w:val="hybridMultilevel"/>
    <w:lvl w:ilvl="0">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
      <w:numFmt w:val="bullet"/>
      <w:start w:val="1"/>
    </w:lvl>
  </w:abstractNum>
  <w:abstractNum w:abstractNumId="17">
    <w:nsid w:val="436C6125"/>
    <w:multiLevelType w:val="hybridMultilevel"/>
    <w:lvl w:ilvl="0">
      <w:lvlJc w:val="left"/>
      <w:lvlText w:val="(%1)"/>
      <w:numFmt w:val="decimal"/>
      <w:start w:val="2"/>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lvl w:ilvl="1">
      <w:lvlJc w:val="left"/>
      <w:lvlText w:val="(%2)"/>
      <w:numFmt w:val="lowerLetter"/>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2019-12-29T11:13:14Z</dcterms:created>
  <dcterms:modified xsi:type="dcterms:W3CDTF">2019-12-29T11:13:14Z</dcterms:modified>
</cp:coreProperties>
</file>