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749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749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jc w:val="center"/>
        <w:ind w:right="-39"/>
        <w:spacing w:after="0" w:line="219"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55880</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75565</wp:posOffset>
            </wp:positionV>
            <wp:extent cx="1689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1400" w:hanging="968"/>
        <w:spacing w:after="0"/>
        <w:tabs>
          <w:tab w:leader="none" w:pos="1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400" w:hanging="968"/>
        <w:spacing w:after="0"/>
        <w:tabs>
          <w:tab w:leader="none" w:pos="1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3380"/>
        <w:spacing w:after="0"/>
        <w:tabs>
          <w:tab w:leader="none" w:pos="61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-6985</wp:posOffset>
            </wp:positionV>
            <wp:extent cx="1083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331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60325</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BLUEPRINT MEDICINES CORPORATION</w:t>
      </w:r>
    </w:p>
    <w:p>
      <w:pPr>
        <w:sectPr>
          <w:pgSz w:w="11900" w:h="16838" w:orient="portrait"/>
          <w:cols w:equalWidth="0" w:num="1">
            <w:col w:w="10580"/>
          </w:cols>
          <w:pgMar w:left="640" w:top="220" w:right="679" w:bottom="1440" w:gutter="0" w:footer="0" w:header="0"/>
        </w:sectPr>
      </w:pPr>
    </w:p>
    <w:p>
      <w:pPr>
        <w:spacing w:after="0" w:line="29" w:lineRule="exact"/>
        <w:rPr>
          <w:sz w:val="24"/>
          <w:szCs w:val="24"/>
          <w:color w:val="auto"/>
        </w:rPr>
      </w:pPr>
    </w:p>
    <w:p>
      <w:pPr>
        <w:jc w:val="right"/>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60325</wp:posOffset>
            </wp:positionV>
            <wp:extent cx="1689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83"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Delaware</w:t>
      </w:r>
    </w:p>
    <w:p>
      <w:pPr>
        <w:spacing w:after="0" w:line="1" w:lineRule="exact"/>
        <w:rPr>
          <w:sz w:val="24"/>
          <w:szCs w:val="24"/>
          <w:color w:val="auto"/>
        </w:rPr>
      </w:pPr>
    </w:p>
    <w:p>
      <w:pPr>
        <w:ind w:left="1740"/>
        <w:spacing w:after="0"/>
        <w:rPr>
          <w:sz w:val="20"/>
          <w:szCs w:val="20"/>
          <w:color w:val="auto"/>
        </w:rPr>
      </w:pPr>
      <w:r>
        <w:rPr>
          <w:rFonts w:ascii="Arial" w:cs="Arial" w:eastAsia="Arial" w:hAnsi="Arial"/>
          <w:sz w:val="16"/>
          <w:szCs w:val="16"/>
          <w:i w:val="1"/>
          <w:iCs w:val="1"/>
          <w:color w:val="auto"/>
        </w:rPr>
        <w:t>(State or other jurisdiction of</w:t>
      </w:r>
    </w:p>
    <w:p>
      <w:pPr>
        <w:ind w:left="180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26-3632015</w:t>
      </w:r>
    </w:p>
    <w:p>
      <w:pPr>
        <w:jc w:val="center"/>
        <w:ind w:right="1920"/>
        <w:spacing w:after="0" w:line="211" w:lineRule="auto"/>
        <w:rPr>
          <w:sz w:val="20"/>
          <w:szCs w:val="20"/>
          <w:color w:val="auto"/>
        </w:rPr>
      </w:pPr>
      <w:r>
        <w:rPr>
          <w:rFonts w:ascii="Arial" w:cs="Arial" w:eastAsia="Arial" w:hAnsi="Arial"/>
          <w:sz w:val="16"/>
          <w:szCs w:val="16"/>
          <w:i w:val="1"/>
          <w:iCs w:val="1"/>
          <w:color w:val="auto"/>
        </w:rPr>
        <w:t>(IRS Employer</w:t>
      </w:r>
    </w:p>
    <w:p>
      <w:pPr>
        <w:jc w:val="center"/>
        <w:ind w:right="1920"/>
        <w:spacing w:after="0"/>
        <w:rPr>
          <w:sz w:val="20"/>
          <w:szCs w:val="20"/>
          <w:color w:val="auto"/>
        </w:rPr>
      </w:pPr>
      <w:r>
        <w:rPr>
          <w:rFonts w:ascii="Arial" w:cs="Arial" w:eastAsia="Arial" w:hAnsi="Arial"/>
          <w:sz w:val="15"/>
          <w:szCs w:val="15"/>
          <w:i w:val="1"/>
          <w:iCs w:val="1"/>
          <w:color w:val="auto"/>
        </w:rPr>
        <w:t>Identification No.)</w:t>
      </w:r>
    </w:p>
    <w:p>
      <w:pPr>
        <w:spacing w:after="0" w:line="12" w:lineRule="exact"/>
        <w:rPr>
          <w:sz w:val="24"/>
          <w:szCs w:val="24"/>
          <w:color w:val="auto"/>
        </w:rPr>
      </w:pPr>
    </w:p>
    <w:p>
      <w:pPr>
        <w:sectPr>
          <w:pgSz w:w="11900" w:h="16838" w:orient="portrait"/>
          <w:cols w:equalWidth="0" w:num="2">
            <w:col w:w="7000" w:space="460"/>
            <w:col w:w="3120"/>
          </w:cols>
          <w:pgMar w:left="640" w:top="220" w:right="679" w:bottom="1440" w:gutter="0" w:footer="0" w:header="0"/>
          <w:type w:val="continuous"/>
        </w:sectPr>
      </w:pPr>
    </w:p>
    <w:tbl>
      <w:tblPr>
        <w:tblLayout w:type="fixed"/>
        <w:tblInd w:w="1420" w:type="dxa"/>
        <w:tblCellMar>
          <w:top w:w="0" w:type="dxa"/>
          <w:left w:w="0" w:type="dxa"/>
          <w:bottom w:w="0" w:type="dxa"/>
          <w:right w:w="0" w:type="dxa"/>
        </w:tblCellMar>
      </w:tblPr>
      <w:tr>
        <w:trPr>
          <w:trHeight w:val="149"/>
        </w:trPr>
        <w:tc>
          <w:tcPr>
            <w:tcW w:w="4400" w:type="dxa"/>
            <w:vAlign w:val="bottom"/>
          </w:tcPr>
          <w:p>
            <w:pPr>
              <w:jc w:val="center"/>
              <w:ind w:right="1799"/>
              <w:spacing w:after="0" w:line="149" w:lineRule="exact"/>
              <w:rPr>
                <w:sz w:val="20"/>
                <w:szCs w:val="20"/>
                <w:color w:val="auto"/>
              </w:rPr>
            </w:pPr>
            <w:r>
              <w:rPr>
                <w:rFonts w:ascii="Arial" w:cs="Arial" w:eastAsia="Arial" w:hAnsi="Arial"/>
                <w:sz w:val="16"/>
                <w:szCs w:val="16"/>
                <w:b w:val="1"/>
                <w:bCs w:val="1"/>
                <w:color w:val="auto"/>
                <w:w w:val="89"/>
              </w:rPr>
              <w:t>45 Sidney Street</w:t>
            </w:r>
          </w:p>
        </w:tc>
        <w:tc>
          <w:tcPr>
            <w:tcW w:w="25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66"/>
        </w:trPr>
        <w:tc>
          <w:tcPr>
            <w:tcW w:w="4400" w:type="dxa"/>
            <w:vAlign w:val="bottom"/>
          </w:tcPr>
          <w:p>
            <w:pPr>
              <w:jc w:val="center"/>
              <w:ind w:right="1779"/>
              <w:spacing w:after="0" w:line="166" w:lineRule="exact"/>
              <w:rPr>
                <w:sz w:val="20"/>
                <w:szCs w:val="20"/>
                <w:color w:val="auto"/>
              </w:rPr>
            </w:pPr>
            <w:r>
              <w:rPr>
                <w:rFonts w:ascii="Arial" w:cs="Arial" w:eastAsia="Arial" w:hAnsi="Arial"/>
                <w:sz w:val="16"/>
                <w:szCs w:val="16"/>
                <w:b w:val="1"/>
                <w:bCs w:val="1"/>
                <w:color w:val="auto"/>
                <w:w w:val="97"/>
              </w:rPr>
              <w:t>Cambridge, MA</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jc w:val="center"/>
              <w:ind w:right="177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2580" w:type="dxa"/>
            <w:vAlign w:val="bottom"/>
          </w:tcPr>
          <w:p>
            <w:pPr>
              <w:jc w:val="center"/>
              <w:ind w:left="1799"/>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 xml:space="preserve">Registrant’s telephone number, including area code: </w:t>
      </w:r>
      <w:r>
        <w:rPr>
          <w:rFonts w:ascii="Arial" w:cs="Arial" w:eastAsia="Arial" w:hAnsi="Arial"/>
          <w:sz w:val="16"/>
          <w:szCs w:val="16"/>
          <w:b w:val="1"/>
          <w:bCs w:val="1"/>
          <w:color w:val="auto"/>
        </w:rPr>
        <w:t>(617) 374-7580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pacing w:after="0" w:line="18" w:lineRule="exact"/>
        <w:rPr>
          <w:sz w:val="24"/>
          <w:szCs w:val="24"/>
          <w:color w:val="auto"/>
        </w:rPr>
      </w:pPr>
    </w:p>
    <w:tbl>
      <w:tblPr>
        <w:tblLayout w:type="fixed"/>
        <w:tblInd w:w="1380" w:type="dxa"/>
        <w:tblCellMar>
          <w:top w:w="0" w:type="dxa"/>
          <w:left w:w="0" w:type="dxa"/>
          <w:bottom w:w="0" w:type="dxa"/>
          <w:right w:w="0" w:type="dxa"/>
        </w:tblCellMar>
      </w:tblPr>
      <w:tr>
        <w:trPr>
          <w:trHeight w:val="199"/>
        </w:trPr>
        <w:tc>
          <w:tcPr>
            <w:tcW w:w="4560" w:type="dxa"/>
            <w:vAlign w:val="bottom"/>
            <w:gridSpan w:val="2"/>
          </w:tcPr>
          <w:p>
            <w:pPr>
              <w:jc w:val="center"/>
              <w:ind w:right="820"/>
              <w:spacing w:after="0"/>
              <w:rPr>
                <w:sz w:val="20"/>
                <w:szCs w:val="20"/>
                <w:color w:val="auto"/>
              </w:rPr>
            </w:pPr>
            <w:r>
              <w:rPr>
                <w:rFonts w:ascii="Arial" w:cs="Arial" w:eastAsia="Arial" w:hAnsi="Arial"/>
                <w:sz w:val="16"/>
                <w:szCs w:val="16"/>
                <w:i w:val="1"/>
                <w:iCs w:val="1"/>
                <w:color w:val="auto"/>
                <w:w w:val="92"/>
              </w:rPr>
              <w:t>Title of Class</w:t>
            </w:r>
          </w:p>
        </w:tc>
        <w:tc>
          <w:tcPr>
            <w:tcW w:w="3320" w:type="dxa"/>
            <w:vAlign w:val="bottom"/>
          </w:tcPr>
          <w:p>
            <w:pPr>
              <w:jc w:val="center"/>
              <w:spacing w:after="0"/>
              <w:rPr>
                <w:sz w:val="20"/>
                <w:szCs w:val="20"/>
                <w:color w:val="auto"/>
              </w:rPr>
            </w:pPr>
            <w:r>
              <w:rPr>
                <w:rFonts w:ascii="Arial" w:cs="Arial" w:eastAsia="Arial" w:hAnsi="Arial"/>
                <w:sz w:val="16"/>
                <w:szCs w:val="16"/>
                <w:i w:val="1"/>
                <w:iCs w:val="1"/>
                <w:color w:val="auto"/>
                <w:w w:val="89"/>
              </w:rPr>
              <w:t>Name of Exchange on Which Registered</w:t>
            </w:r>
          </w:p>
        </w:tc>
      </w:tr>
      <w:tr>
        <w:trPr>
          <w:trHeight w:val="20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820" w:type="dxa"/>
            <w:vAlign w:val="bottom"/>
          </w:tcPr>
          <w:p>
            <w:pPr>
              <w:spacing w:after="0"/>
              <w:rPr>
                <w:sz w:val="17"/>
                <w:szCs w:val="17"/>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jc w:val="center"/>
        <w:ind w:right="-39"/>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66675</wp:posOffset>
            </wp:positionV>
            <wp:extent cx="1689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4" w:lineRule="exact"/>
        <w:rPr>
          <w:sz w:val="24"/>
          <w:szCs w:val="24"/>
          <w:color w:val="auto"/>
        </w:rPr>
      </w:pPr>
    </w:p>
    <w:p>
      <w:pPr>
        <w:ind w:left="320" w:right="1420"/>
        <w:spacing w:after="0" w:line="21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ind w:firstLine="324"/>
        <w:spacing w:after="0" w:line="17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left="320"/>
        <w:spacing w:after="0" w:line="21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w:t>
      </w:r>
    </w:p>
    <w:p>
      <w:pPr>
        <w:ind w:left="80" w:hanging="80"/>
        <w:spacing w:after="0" w:line="185" w:lineRule="exact"/>
        <w:rPr>
          <w:sz w:val="20"/>
          <w:szCs w:val="20"/>
          <w:color w:val="auto"/>
        </w:rPr>
      </w:pPr>
      <w:r>
        <w:rPr>
          <w:rFonts w:ascii="Arial" w:cs="Arial" w:eastAsia="Arial" w:hAnsi="Arial"/>
          <w:sz w:val="16"/>
          <w:szCs w:val="16"/>
          <w:color w:val="auto"/>
        </w:rPr>
        <w:t xml:space="preserve">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40" w:firstLine="324"/>
        <w:spacing w:after="0" w:line="17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ind w:right="100" w:firstLine="324"/>
        <w:spacing w:after="0" w:line="2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 w:lineRule="exact"/>
        <w:rPr>
          <w:sz w:val="24"/>
          <w:szCs w:val="24"/>
          <w:color w:val="auto"/>
        </w:rPr>
      </w:pPr>
    </w:p>
    <w:p>
      <w:pPr>
        <w:ind w:left="1840"/>
        <w:spacing w:after="0" w:line="184" w:lineRule="exact"/>
        <w:tabs>
          <w:tab w:leader="none" w:pos="72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900"/>
        <w:spacing w:after="0" w:line="184" w:lineRule="exact"/>
        <w:tabs>
          <w:tab w:leader="none" w:pos="69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9" w:lineRule="exact"/>
        <w:rPr>
          <w:sz w:val="24"/>
          <w:szCs w:val="24"/>
          <w:color w:val="auto"/>
        </w:rPr>
      </w:pPr>
    </w:p>
    <w:p>
      <w:pPr>
        <w:ind w:left="69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ind w:right="120" w:firstLine="324"/>
        <w:spacing w:after="0" w:line="18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20"/>
        <w:spacing w:after="0" w:line="184" w:lineRule="exact"/>
        <w:tabs>
          <w:tab w:leader="none" w:pos="76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 w:lineRule="exact"/>
        <w:rPr>
          <w:sz w:val="24"/>
          <w:szCs w:val="24"/>
          <w:color w:val="auto"/>
        </w:rPr>
      </w:pPr>
    </w:p>
    <w:p>
      <w:pPr>
        <w:ind w:right="520" w:firstLine="324"/>
        <w:spacing w:after="0" w:line="223" w:lineRule="auto"/>
        <w:rPr>
          <w:sz w:val="20"/>
          <w:szCs w:val="20"/>
          <w:color w:val="auto"/>
        </w:rPr>
      </w:pPr>
      <w:r>
        <w:rPr>
          <w:rFonts w:ascii="Arial" w:cs="Arial" w:eastAsia="Arial" w:hAnsi="Arial"/>
          <w:sz w:val="16"/>
          <w:szCs w:val="16"/>
          <w:color w:val="auto"/>
        </w:rPr>
        <w:t>As of June 30, 2018, the aggregate market value of the voting and non-voting common equity held by non-affiliates of the registrant, based on the last reported sales price for the registrant’s common stock, par value $0.001 per share, on the Nasdaq Global Select Market on such date, was approximately $2,785,741,974.</w:t>
      </w:r>
    </w:p>
    <w:p>
      <w:pPr>
        <w:ind w:left="320"/>
        <w:spacing w:after="0"/>
        <w:rPr>
          <w:sz w:val="20"/>
          <w:szCs w:val="20"/>
          <w:color w:val="auto"/>
        </w:rPr>
      </w:pPr>
      <w:r>
        <w:rPr>
          <w:rFonts w:ascii="Arial" w:cs="Arial" w:eastAsia="Arial" w:hAnsi="Arial"/>
          <w:sz w:val="16"/>
          <w:szCs w:val="16"/>
          <w:color w:val="auto"/>
        </w:rPr>
        <w:t>Number of shares of the registrant’s common stock, par value $0.001 per share, outstanding on February 15, 2019: 44,099,429</w:t>
      </w:r>
    </w:p>
    <w:p>
      <w:pPr>
        <w:spacing w:after="0" w:line="8" w:lineRule="exact"/>
        <w:rPr>
          <w:sz w:val="24"/>
          <w:szCs w:val="24"/>
          <w:color w:val="auto"/>
        </w:rPr>
      </w:pPr>
    </w:p>
    <w:p>
      <w:pPr>
        <w:ind w:left="34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 w:lineRule="exact"/>
        <w:rPr>
          <w:sz w:val="24"/>
          <w:szCs w:val="24"/>
          <w:color w:val="auto"/>
        </w:rPr>
      </w:pPr>
    </w:p>
    <w:p>
      <w:pPr>
        <w:ind w:right="20" w:firstLine="324"/>
        <w:spacing w:after="0" w:line="229" w:lineRule="auto"/>
        <w:rPr>
          <w:sz w:val="20"/>
          <w:szCs w:val="20"/>
          <w:color w:val="auto"/>
        </w:rPr>
      </w:pPr>
      <w:r>
        <w:rPr>
          <w:rFonts w:ascii="Arial" w:cs="Arial" w:eastAsia="Arial" w:hAnsi="Arial"/>
          <w:sz w:val="16"/>
          <w:szCs w:val="16"/>
          <w:color w:val="auto"/>
        </w:rPr>
        <w:t>Portions of the registrant’s definitive proxy statement for its 2019 Annual Meeting of Stockholders, which the registrant intends to file with the Securities and Exchange Commission pursuant to Regulation 14A within 120 days after the end of the registrant’s fiscal year ended December 31, 2018,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6749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580"/>
          </w:cols>
          <w:pgMar w:left="640" w:top="220" w:right="6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r>
      <w:tr>
        <w:trPr>
          <w:trHeight w:val="37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0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25"/>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67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Item1A.</w:t>
            </w:r>
          </w:p>
        </w:tc>
        <w:tc>
          <w:tcPr>
            <w:tcW w:w="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82"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6460" w:type="dxa"/>
            <w:vAlign w:val="bottom"/>
            <w:gridSpan w:val="6"/>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82"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Unresolved Staff Comments</w:t>
              </w:r>
            </w:hyperlink>
          </w:p>
        </w:tc>
        <w:tc>
          <w:tcPr>
            <w:tcW w:w="5320" w:type="dxa"/>
            <w:vAlign w:val="bottom"/>
            <w:gridSpan w:val="3"/>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Properties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Legal Proceedings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Mine Safety Disclosures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420"/>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PART II</w:t>
        </w:r>
      </w:hyperlink>
    </w:p>
    <w:p>
      <w:pPr>
        <w:sectPr>
          <w:pgSz w:w="11900" w:h="16838" w:orient="portrait"/>
          <w:cols w:equalWidth="0" w:num="1">
            <w:col w:w="9060"/>
          </w:cols>
          <w:pgMar w:left="1420" w:top="95" w:right="1419" w:bottom="1440" w:gutter="0" w:footer="0" w:header="0"/>
        </w:sectPr>
      </w:pPr>
    </w:p>
    <w:p>
      <w:pPr>
        <w:spacing w:after="0" w:line="148" w:lineRule="exact"/>
        <w:rPr>
          <w:sz w:val="20"/>
          <w:szCs w:val="20"/>
          <w:color w:val="auto"/>
        </w:rPr>
      </w:pPr>
    </w:p>
    <w:p>
      <w:pPr>
        <w:ind w:left="1300" w:hanging="1309"/>
        <w:spacing w:after="0" w:line="212"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88">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88">
        <w:r>
          <w:rPr>
            <w:rFonts w:ascii="Arial" w:cs="Arial" w:eastAsia="Arial" w:hAnsi="Arial"/>
            <w:sz w:val="18"/>
            <w:szCs w:val="18"/>
            <w:u w:val="single" w:color="auto"/>
            <w:color w:val="0000EE"/>
          </w:rPr>
          <w:t>Securities</w:t>
        </w:r>
      </w:hyperlink>
    </w:p>
    <w:p>
      <w:pPr>
        <w:spacing w:after="0" w:line="1"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6.</w:t>
      </w:r>
      <w:r>
        <w:rPr>
          <w:sz w:val="20"/>
          <w:szCs w:val="20"/>
          <w:color w:val="auto"/>
        </w:rPr>
        <w:tab/>
      </w:r>
      <w:hyperlink w:anchor="page89">
        <w:r>
          <w:rPr>
            <w:rFonts w:ascii="Arial" w:cs="Arial" w:eastAsia="Arial" w:hAnsi="Arial"/>
            <w:sz w:val="16"/>
            <w:szCs w:val="16"/>
            <w:u w:val="single" w:color="auto"/>
            <w:color w:val="0000EE"/>
          </w:rPr>
          <w:t>Selected Financial Data</w:t>
        </w:r>
      </w:hyperlink>
    </w:p>
    <w:p>
      <w:pPr>
        <w:spacing w:after="0" w:line="7"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7.</w:t>
      </w:r>
      <w:r>
        <w:rPr>
          <w:sz w:val="20"/>
          <w:szCs w:val="20"/>
          <w:color w:val="auto"/>
        </w:rPr>
        <w:tab/>
      </w:r>
      <w:hyperlink w:anchor="page90">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7A.</w:t>
      </w:r>
      <w:r>
        <w:rPr>
          <w:sz w:val="20"/>
          <w:szCs w:val="20"/>
          <w:color w:val="auto"/>
        </w:rPr>
        <w:tab/>
      </w:r>
      <w:hyperlink w:anchor="page106">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8.</w:t>
      </w:r>
      <w:r>
        <w:rPr>
          <w:sz w:val="20"/>
          <w:szCs w:val="20"/>
          <w:color w:val="auto"/>
        </w:rPr>
        <w:tab/>
      </w:r>
      <w:hyperlink w:anchor="page106">
        <w:r>
          <w:rPr>
            <w:rFonts w:ascii="Arial" w:cs="Arial" w:eastAsia="Arial" w:hAnsi="Arial"/>
            <w:sz w:val="16"/>
            <w:szCs w:val="16"/>
            <w:u w:val="single" w:color="auto"/>
            <w:color w:val="0000EE"/>
          </w:rPr>
          <w:t>Financial Statements and Supplementary Data</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w:t>
      </w:r>
      <w:r>
        <w:rPr>
          <w:sz w:val="20"/>
          <w:szCs w:val="20"/>
          <w:color w:val="auto"/>
        </w:rPr>
        <w:tab/>
      </w:r>
      <w:hyperlink w:anchor="page106">
        <w:r>
          <w:rPr>
            <w:rFonts w:ascii="Arial" w:cs="Arial" w:eastAsia="Arial" w:hAnsi="Arial"/>
            <w:sz w:val="16"/>
            <w:szCs w:val="16"/>
            <w:u w:val="single" w:color="auto"/>
            <w:color w:val="0000EE"/>
          </w:rPr>
          <w:t>Change in and Disagreements with Accountants on Accounting and Financial Disclosure.</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9A.</w:t>
      </w:r>
      <w:r>
        <w:rPr>
          <w:sz w:val="20"/>
          <w:szCs w:val="20"/>
          <w:color w:val="auto"/>
        </w:rPr>
        <w:tab/>
      </w:r>
      <w:hyperlink w:anchor="page106">
        <w:r>
          <w:rPr>
            <w:rFonts w:ascii="Arial" w:cs="Arial" w:eastAsia="Arial" w:hAnsi="Arial"/>
            <w:sz w:val="16"/>
            <w:szCs w:val="16"/>
            <w:u w:val="single" w:color="auto"/>
            <w:color w:val="0000EE"/>
          </w:rPr>
          <w:t>Controls and Procedures</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9B.</w:t>
      </w:r>
      <w:r>
        <w:rPr>
          <w:sz w:val="20"/>
          <w:szCs w:val="20"/>
          <w:color w:val="auto"/>
        </w:rPr>
        <w:tab/>
      </w:r>
      <w:hyperlink w:anchor="page109">
        <w:r>
          <w:rPr>
            <w:rFonts w:ascii="Arial" w:cs="Arial" w:eastAsia="Arial" w:hAnsi="Arial"/>
            <w:sz w:val="16"/>
            <w:szCs w:val="16"/>
            <w:u w:val="single" w:color="auto"/>
            <w:color w:val="0000EE"/>
          </w:rPr>
          <w:t>Other Information</w:t>
        </w:r>
      </w:hyperlink>
    </w:p>
    <w:p>
      <w:pPr>
        <w:spacing w:after="0" w:line="166"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109">
        <w:r>
          <w:rPr>
            <w:rFonts w:ascii="Arial" w:cs="Arial" w:eastAsia="Arial" w:hAnsi="Arial"/>
            <w:sz w:val="18"/>
            <w:szCs w:val="18"/>
            <w:b w:val="1"/>
            <w:bCs w:val="1"/>
            <w:u w:val="single" w:color="auto"/>
            <w:color w:val="0000EE"/>
          </w:rPr>
          <w:t>PART III</w:t>
        </w:r>
      </w:hyperlink>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6"/>
          <w:szCs w:val="16"/>
          <w:color w:val="auto"/>
        </w:rPr>
        <w:t>86</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87</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88</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107</w:t>
      </w:r>
    </w:p>
    <w:p>
      <w:pPr>
        <w:spacing w:after="0" w:line="505" w:lineRule="exact"/>
        <w:rPr>
          <w:sz w:val="20"/>
          <w:szCs w:val="20"/>
          <w:color w:val="auto"/>
        </w:rPr>
      </w:pPr>
    </w:p>
    <w:p>
      <w:pPr>
        <w:sectPr>
          <w:pgSz w:w="11900" w:h="16838" w:orient="portrait"/>
          <w:cols w:equalWidth="0" w:num="2">
            <w:col w:w="8620" w:space="180"/>
            <w:col w:w="260"/>
          </w:cols>
          <w:pgMar w:left="1420" w:top="95" w:right="14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7380" w:type="dxa"/>
            <w:vAlign w:val="bottom"/>
            <w:gridSpan w:val="1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300" w:type="dxa"/>
            <w:vAlign w:val="bottom"/>
            <w:gridSpan w:val="3"/>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7380" w:type="dxa"/>
            <w:vAlign w:val="bottom"/>
            <w:gridSpan w:val="10"/>
          </w:tcPr>
          <w:p>
            <w:pPr>
              <w:spacing w:after="0" w:line="182"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Security Ownership of Certain Beneficial Owners and Management and Related Stockholder Matters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100" w:type="dxa"/>
            <w:vAlign w:val="bottom"/>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1940" w:type="dxa"/>
            <w:vAlign w:val="bottom"/>
            <w:gridSpan w:val="2"/>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10">
              <w:r>
                <w:rPr>
                  <w:rFonts w:ascii="Arial" w:cs="Arial" w:eastAsia="Arial" w:hAnsi="Arial"/>
                  <w:sz w:val="18"/>
                  <w:szCs w:val="18"/>
                  <w:b w:val="1"/>
                  <w:bCs w:val="1"/>
                  <w:color w:val="0000EE"/>
                  <w:w w:val="98"/>
                </w:rPr>
                <w:t>PART IV</w:t>
              </w:r>
            </w:hyperlink>
          </w:p>
        </w:tc>
        <w:tc>
          <w:tcPr>
            <w:tcW w:w="40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13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Exhibits and Financial Statement Schedules</w:t>
              </w:r>
            </w:hyperlink>
          </w:p>
        </w:tc>
        <w:tc>
          <w:tcPr>
            <w:tcW w:w="422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7380" w:type="dxa"/>
            <w:vAlign w:val="bottom"/>
            <w:gridSpan w:val="10"/>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Form 10-K Summary</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r>
      <w:tr>
        <w:trPr>
          <w:trHeight w:val="811"/>
        </w:trPr>
        <w:tc>
          <w:tcPr>
            <w:tcW w:w="1320" w:type="dxa"/>
            <w:vAlign w:val="bottom"/>
            <w:tcBorders>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95"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360" w:firstLine="648"/>
        <w:spacing w:after="0" w:line="214"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forward-looking statements in this Annual Report on Form 10-K include, but are not limited to, statements</w:t>
      </w: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right="260" w:hanging="325"/>
        <w:spacing w:after="0" w:line="22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BLU-667, BLU-554 and BLU-782, and our research and development programs;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80" w:hanging="325"/>
        <w:spacing w:after="0" w:line="23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jc w:val="both"/>
        <w:ind w:left="1300" w:right="100" w:hanging="325"/>
        <w:spacing w:after="0" w:line="22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and our collaboration with CStone Pharmaceuticals, as well as our ability to maintain these collaborations and establish other strategic collaborations;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66"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update or revise these forward-looking statements for any reason, even if new information becomes available in the future.</w:t>
      </w:r>
    </w:p>
    <w:p>
      <w:pPr>
        <w:spacing w:after="0" w:line="208"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Our most advanced drug candidates are avapritinib, BLU-667, BLU-554 and BLU-782. Our lead drug candidate, 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are currently evaluating avapritinib for the treatment of GIST in an ongoing Phase 1 clinical trial in advanced GIST, which we refer to as our NAVIGATOR trial, and an ongoing global, randomized Phase 3 clinical trial comparing avapritinib to regorafenib in third-line GIST, which we refer to as our VOYAGER trial. We have completed enrollment of the NAVIGATOR trial, and we plan to present additional data from this trial in the second quarter of 2019. We expect to complete enrollment of the VOYAGER trial in the second half of 2019. We plan to initiate a Phase 3 precision medicine trial in second-line GIST in the second half of 2019, which we refer to as our COMPASS-2L trial. In addition, we plan to submit a new drug application, or NDA, for avapritinib for the treatment of PDGFRA Exon 18 mutant GIST and fourth-line GIST in the second quarter of 2019, and we plan to submit a supplemental NDA for the treatment of third-line GIST in 2020. We are currently evaluating avapritinib for the treatment of SM in an ongoing Phase 1 clinical trial in advanced SM, which we refer to as our EXPLORER trial, an ongoing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in advanced SM, which we refer to as our PATHFINDER trial, and an ongoing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in indolent and smoldering SM, which we refer to as our PIONEER trial. We plan to present updated data from the EXPLORER trial in advanced SM in the second quarter of 2019. We expect to complete the dose-finding portion of the PIONEER trial and plan to present initial data from this trial in indolent and smoldering SM in the second half of 2019. We expect to complete enrollment of the PATHFINDER trial in the second half of 2019. We plan to submit an NDA for advanced SM in 2020. The U.S. Food and Drug Administration, or FDA, has granted orphan drug designation to avapritinib for the treatment of GIST and the treatment of mastocytosis, and the European Commission has granted orphan medicinal product designation to avapritinib for the treatment of GIST and the treatment of mastocytosis. 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 and to avapritinib for the treatment of advanced SM, including the subtypes of aggressive SM, SM with an associated hematologic neoplasm and mast cell leukemia.</w:t>
      </w:r>
    </w:p>
    <w:p>
      <w:pPr>
        <w:spacing w:after="0" w:line="170"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BLU-667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 We are currently evaluating BLU-667 in an ongoing Phase 1 clinical trial in patients with RET-altered NSCLC, MTC and other advanced solid tumors, which we refer to as our ARROW trial. We expect to complete enrollment of the previously treated NSCLC and MTC cohorts in the ARROW trial in the second quarter of 2019. In addition, we plan to present updated data from the ongoing ARROW trial in the second quarter of 2019. We plan to submit an NDA for BLU-667 in the first half of 2020 based on additional data from the ongoing ARROW trial and currently expect the NDA submission will be for separate potential indications: (1) patients with RET-fusion positive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NSCLC who have progressed following prior systemic therapy and (2) patients with RET-mutant MTC who have progressed following treatment with a tyrosine kinase inhibitor, or TKI. In addition, in the second half of 2019, we plan to initiate a Phase 3 clinical trial evaluating BLU-667 in first-line RET-altered NSCLC and plan to initiate a Phase 2 clinical trial evaluating BLU-667 in combination with osimertinib in treatment-resistant, EGFR-mutant NSCLC harboring an acquired RET alteration. The FDA has granted orphan drug designation to BLU-667 for the treatment of RET-rearranged NSCLC, JAK1/2-positive NSCLC or TRKC-positive NSCLC, and the FDA has granted breakthrough therapy designation to BLU-667 for the treatment of patients with RET mutation-positive MTC that requires systemic treatment and for which there are no acceptable alternative treatments.</w:t>
      </w:r>
    </w:p>
    <w:p>
      <w:pPr>
        <w:spacing w:after="0" w:line="165"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We and CStone Pharmaceuticals, or CStone, plan to expand our ongoing Phase 1 clinical trial of BLU-554 to include clinical sites in Mainland China by the middle of 2019. In addition, we and CStone plan to initiate a proof-of-concept clinical trial in the second half of 2019 in the CStone territory evaluating BLU-554 in combination with CS1001, a clinical stage anti-programmed death ligand-1 immunotherapy being developed by CStone, as a first-line therapy for the treatment of patients with HCC. The FDA has granted orphan drug designation to BLU-554 for the treatment of HCC.</w:t>
      </w:r>
    </w:p>
    <w:p>
      <w:pPr>
        <w:spacing w:after="0" w:line="167"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BLU-782 is an orally available, potent and highly selective inhibitor that targets mutant activin-like kinase 2, or ALK2. We are developing BLU-782 for the treatment of fibrodysplasia ossificans progressiva, or FOP, a rare, severely disabling genetic disease caused by mutations in the ALK2 gene, ACVR1. FOP is characterized by progressive heterotopic ossification, which is the abnormal transformation of muscle, ligaments and tendons into bone. Heterotopic ossification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Currently, there are no approved therapies for FOP. We initiated a Phase 1 clinical trial in healthy volunteers in the first quarter of 2019, and we plan to initiate a Phase 2 clinical trial evaluating BLU-782 in patients with FOP in the first half of 2020. The FDA has granted fast track designation to BLU-782 for the treatment of fibrodysplasia ossificans progressiva.</w:t>
      </w:r>
    </w:p>
    <w:p>
      <w:pPr>
        <w:spacing w:after="0" w:line="164"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for undisclosed kinase targets, and we anticipate nominating at least one additional wholly-owned discovery program in 2019.</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In addition, we entered into collaborations with F. Hoffmann La Roche Ltd and Hoffmann La Roche Inc., which we collectively refer to as Roche, and CStone in March 2016 and June 2018, respectively. Under our collaboration agreement with Roche, we are seeking to discover, develop and commercialize up to five small molecule therapeutics targeting kinases believed to be important in cancer immunotherapy, as single products or possibly in combination with other therapeutics. Under our collaboration agreement with CStone, we are seeking to develop and commercialize BLU-554, avapritinib and BLU-667, including back-up forms and certain other forms, in Mainland China, Hong Kong, Macau and Taiwan, or the CStone territory, either as a monotherapy or as part of a combination therapy.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4"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We currently have worldwide development and commercialization rights to avapritinib, BLU-667 and BLU-554 other than the rights licensed to CStone in the CStone territory. We currently have worldwide development and commercialization rights to BLU-782 and all of our discovery programs other than the discovery-stage programs under the Roche collaboration.</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Despite the success of approved kinase drugs, there is room for further improvement in kinase drug discovery and development. Many of the approved drugs are multi</w:t>
      </w:r>
      <w:r>
        <w:rPr>
          <w:rFonts w:ascii="MS PGothic" w:cs="MS PGothic" w:eastAsia="MS PGothic" w:hAnsi="MS PGothic"/>
          <w:sz w:val="16"/>
          <w:szCs w:val="16"/>
          <w:color w:val="auto"/>
        </w:rPr>
        <w:t>‑</w:t>
      </w:r>
      <w:r>
        <w:rPr>
          <w:rFonts w:ascii="Arial" w:cs="Arial" w:eastAsia="Arial" w:hAnsi="Arial"/>
          <w:sz w:val="16"/>
          <w:szCs w:val="16"/>
          <w:color w:val="auto"/>
        </w:rPr>
        <w:t>kinase inhibitors that are not selective for disease drivers. This results in off</w:t>
      </w:r>
      <w:r>
        <w:rPr>
          <w:rFonts w:ascii="MS PGothic" w:cs="MS PGothic" w:eastAsia="MS PGothic" w:hAnsi="MS PGothic"/>
          <w:sz w:val="16"/>
          <w:szCs w:val="16"/>
          <w:color w:val="auto"/>
        </w:rPr>
        <w:t>‑</w:t>
      </w:r>
      <w:r>
        <w:rPr>
          <w:rFonts w:ascii="Arial" w:cs="Arial" w:eastAsia="Arial" w:hAnsi="Arial"/>
          <w:sz w:val="16"/>
          <w:szCs w:val="16"/>
          <w:color w:val="auto"/>
        </w:rPr>
        <w:t>target toxicities that limit dose levels and target inhibition, thereby reducing efficacy. Further, patients who initially respond to a targeted kinase treatment often relapse due to the development of resistance mutations. For many of the known kinases, there is a strong link between genomic alterations in a kinase and disease, including specific forms of cancer and rare genetic diseases. However, the function of the majority of the kinome is still unknown, and small molecule drugs approved by the FDA target less than five percent of the 518 kinases. Taken together, this represents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substantial opportunity for developing novel and transformative drugs for cancer, rare genetic diseases and other disease areas, including cancer immunotherapy.</w:t>
      </w:r>
    </w:p>
    <w:p>
      <w:pPr>
        <w:spacing w:after="0" w:line="162"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To capitalize on the kinase opportunity, we built a discovery platform that integrates a novel target discovery engine and a proprietary compound library. Our novel target discovery engine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w:t>
      </w:r>
      <w:r>
        <w:rPr>
          <w:rFonts w:ascii="MS PGothic" w:cs="MS PGothic" w:eastAsia="MS PGothic" w:hAnsi="MS PGothic"/>
          <w:sz w:val="17"/>
          <w:szCs w:val="17"/>
          <w:color w:val="auto"/>
        </w:rPr>
        <w:t>‑</w:t>
      </w:r>
      <w:r>
        <w:rPr>
          <w:rFonts w:ascii="Arial" w:cs="Arial" w:eastAsia="Arial" w:hAnsi="Arial"/>
          <w:sz w:val="17"/>
          <w:szCs w:val="17"/>
          <w:color w:val="auto"/>
        </w:rPr>
        <w:t>house by Blueprint Medicines’ scientists as kinase inhibitors and enriched for drug</w:t>
      </w:r>
      <w:r>
        <w:rPr>
          <w:rFonts w:ascii="MS PGothic" w:cs="MS PGothic" w:eastAsia="MS PGothic" w:hAnsi="MS PGothic"/>
          <w:sz w:val="17"/>
          <w:szCs w:val="17"/>
          <w:color w:val="auto"/>
        </w:rPr>
        <w:t>‑</w:t>
      </w:r>
      <w:r>
        <w:rPr>
          <w:rFonts w:ascii="Arial" w:cs="Arial" w:eastAsia="Arial" w:hAnsi="Arial"/>
          <w:sz w:val="17"/>
          <w:szCs w:val="17"/>
          <w:color w:val="auto"/>
        </w:rPr>
        <w:t>like properties. We do not owe any royalties or other fees to any parties associated with our novel target discovery engine and our proprietary compound library, other than any royalties or other fees that may become payable to Roche under our cancer immunotherapy collaboration. Using this discovery platform, we have produced a drug pipeline of several promising drug candidates that target genomically defined patient subsets.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In January 2019, we announced our “2020 Blueprint” strategy, which outlined our strategy to transform Blueprint Medicines into a fully-integrated, global, commercial-stage enterprise focused on delivering a portfolio of precision therapies to patients with cancer and rare diseases. Under this strategy, we anticipate achieving the following by the end of 2020:</w:t>
      </w:r>
    </w:p>
    <w:p>
      <w:pPr>
        <w:spacing w:after="0" w:line="147" w:lineRule="exact"/>
        <w:rPr>
          <w:sz w:val="20"/>
          <w:szCs w:val="20"/>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 marketed products in the United States and 1 marketed product in Europe;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 additional marketing applications pending in the United States and Europe;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 therapeutic candidates in global clinical development;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8 research programs that leverage strategic areas of focus.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tenets of our strategy include the following:</w:t>
      </w:r>
    </w:p>
    <w:p>
      <w:pPr>
        <w:spacing w:after="0" w:line="185" w:lineRule="exact"/>
        <w:rPr>
          <w:sz w:val="20"/>
          <w:szCs w:val="20"/>
          <w:color w:val="auto"/>
        </w:rPr>
      </w:pPr>
    </w:p>
    <w:p>
      <w:pPr>
        <w:ind w:left="130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Rapidly advance the clinical development of avapritinib as a potential treatment for broad populations of GIST and SM, and if successful, seek global regulatory approval.</w:t>
      </w:r>
    </w:p>
    <w:p>
      <w:pPr>
        <w:spacing w:after="0" w:line="161" w:lineRule="exact"/>
        <w:rPr>
          <w:rFonts w:ascii="Arial" w:cs="Arial" w:eastAsia="Arial" w:hAnsi="Arial"/>
          <w:sz w:val="18"/>
          <w:szCs w:val="18"/>
          <w:color w:val="auto"/>
        </w:rPr>
      </w:pPr>
    </w:p>
    <w:p>
      <w:pPr>
        <w:ind w:left="1300" w:right="100" w:hanging="325"/>
        <w:spacing w:after="0" w:line="289"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Rapidly advance the clinical development of BLU-667 as a potential treatment for RET-altered cancers, including RET-altered NSCLC and MTC, and if successful, seek global regulatory approval.</w:t>
      </w:r>
    </w:p>
    <w:p>
      <w:pPr>
        <w:spacing w:after="0" w:line="124" w:lineRule="exact"/>
        <w:rPr>
          <w:rFonts w:ascii="Arial" w:cs="Arial" w:eastAsia="Arial" w:hAnsi="Arial"/>
          <w:sz w:val="16"/>
          <w:szCs w:val="16"/>
          <w:color w:val="auto"/>
        </w:rPr>
      </w:pPr>
    </w:p>
    <w:p>
      <w:pPr>
        <w:ind w:left="1300" w:right="200" w:hanging="325"/>
        <w:spacing w:after="0" w:line="22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Prepare for a potential commercial launch of avapritinib and build commercial capability to bring avapritinib and our other drug candidates, if and when approved, to healthcare providers and patients for the approved indications.</w:t>
      </w:r>
    </w:p>
    <w:p>
      <w:pPr>
        <w:spacing w:after="0" w:line="163" w:lineRule="exact"/>
        <w:rPr>
          <w:rFonts w:ascii="Arial" w:cs="Arial" w:eastAsia="Arial" w:hAnsi="Arial"/>
          <w:sz w:val="18"/>
          <w:szCs w:val="18"/>
          <w:color w:val="auto"/>
        </w:rPr>
      </w:pPr>
    </w:p>
    <w:p>
      <w:pPr>
        <w:ind w:left="1300" w:right="720" w:hanging="325"/>
        <w:spacing w:after="0" w:line="203"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Rapidly advance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 and BLU-782 through clinical development and define the potential regulatory path for these drug candidates.</w:t>
      </w:r>
    </w:p>
    <w:p>
      <w:pPr>
        <w:spacing w:after="0" w:line="161" w:lineRule="exact"/>
        <w:rPr>
          <w:rFonts w:ascii="Arial" w:cs="Arial" w:eastAsia="Arial" w:hAnsi="Arial"/>
          <w:sz w:val="18"/>
          <w:szCs w:val="18"/>
          <w:color w:val="auto"/>
        </w:rPr>
      </w:pPr>
    </w:p>
    <w:p>
      <w:pPr>
        <w:jc w:val="both"/>
        <w:ind w:left="1300" w:right="40" w:hanging="325"/>
        <w:spacing w:after="0" w:line="259"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expand our broad, differentiated pipeline of kinase drug candidates for genomically defined cancers, rare diseases and cancer immunotherapy, with a focus on strategic therapeutic areas where we have scientific and clinical expertise, including GIST, SM and lung cancer.</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Evaluate potential strategic collaborations to maximize the value of our programs and platform.</w:t>
      </w:r>
    </w:p>
    <w:p>
      <w:pPr>
        <w:spacing w:after="0" w:line="196" w:lineRule="exact"/>
        <w:rPr>
          <w:rFonts w:ascii="Arial" w:cs="Arial" w:eastAsia="Arial" w:hAnsi="Arial"/>
          <w:sz w:val="17"/>
          <w:szCs w:val="17"/>
          <w:color w:val="auto"/>
        </w:rPr>
      </w:pPr>
    </w:p>
    <w:p>
      <w:pPr>
        <w:ind w:left="1300" w:right="10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Maintain a commitment to Blueprint Medicines’ patient-focused and science-driven culture as we grow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 Highly Selective Kinase Drugs for Genomically Defined Cancers and Rare Diseases</w:t>
      </w:r>
    </w:p>
    <w:p>
      <w:pPr>
        <w:spacing w:after="0" w:line="18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Kinases are enzymes that function in many signaling pathways to regulate critical cellular functions. Kinase-dependent signaling networks are present in multiple different cell types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 (3) excessive amounts of protein are created due to gene duplication or dysregulation leading to overexpression. There is a strong link between genomic alterations in kinases and disease, including specific forms of cancer and rare genetic diseases. Several kinases have been validated as oncogenes, which are genes that when altered can initiate and maintain cancer growth. Examples of oncogenes are ABL, EGFR, B</w:t>
      </w:r>
      <w:r>
        <w:rPr>
          <w:rFonts w:ascii="MS PGothic" w:cs="MS PGothic" w:eastAsia="MS PGothic" w:hAnsi="MS PGothic"/>
          <w:sz w:val="17"/>
          <w:szCs w:val="17"/>
          <w:color w:val="auto"/>
        </w:rPr>
        <w:t>‑</w:t>
      </w:r>
      <w:r>
        <w:rPr>
          <w:rFonts w:ascii="Arial" w:cs="Arial" w:eastAsia="Arial" w:hAnsi="Arial"/>
          <w:sz w:val="17"/>
          <w:szCs w:val="17"/>
          <w:color w:val="auto"/>
        </w:rPr>
        <w:t>RAF, ALK, BTK and JAK, among many others. Ongoing genomic analyses of tumor data sets continue to identify new roles for kinases as drivers of disease.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Despite these successes, many opportunities remain in kinase drug discovery and development.</w:t>
      </w:r>
    </w:p>
    <w:p>
      <w:pPr>
        <w:spacing w:after="0" w:line="185" w:lineRule="exact"/>
        <w:rPr>
          <w:sz w:val="20"/>
          <w:szCs w:val="20"/>
          <w:color w:val="auto"/>
        </w:rPr>
      </w:pPr>
    </w:p>
    <w:p>
      <w:pPr>
        <w:ind w:left="1300" w:right="80" w:hanging="325"/>
        <w:spacing w:after="0" w:line="189" w:lineRule="exact"/>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Identifying novel kinase drivers of disease. </w:t>
      </w:r>
      <w:r>
        <w:rPr>
          <w:rFonts w:ascii="Arial" w:cs="Arial" w:eastAsia="Arial" w:hAnsi="Arial"/>
          <w:sz w:val="16"/>
          <w:szCs w:val="16"/>
          <w:color w:val="auto"/>
        </w:rPr>
        <w:t>Very few kinases are the focus of approved drugs. Further,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 of the majority of the kinome still remains unexplored. Thus, there is substantial opportunity for developing novel and transformative therapies that target well</w:t>
      </w:r>
      <w:r>
        <w:rPr>
          <w:rFonts w:ascii="MS PGothic" w:cs="MS PGothic" w:eastAsia="MS PGothic" w:hAnsi="MS PGothic"/>
          <w:sz w:val="16"/>
          <w:szCs w:val="16"/>
          <w:color w:val="auto"/>
        </w:rPr>
        <w:t>‑</w:t>
      </w:r>
      <w:r>
        <w:rPr>
          <w:rFonts w:ascii="Arial" w:cs="Arial" w:eastAsia="Arial" w:hAnsi="Arial"/>
          <w:sz w:val="16"/>
          <w:szCs w:val="16"/>
          <w:color w:val="auto"/>
        </w:rPr>
        <w:t>characterized but currently difficult-to-drug kinases as well as kinases of unknown biology, or KUBs, which constitute the majority of the kinome.</w:t>
      </w:r>
    </w:p>
    <w:p>
      <w:pPr>
        <w:spacing w:after="0" w:line="164" w:lineRule="exact"/>
        <w:rPr>
          <w:rFonts w:ascii="Arial" w:cs="Arial" w:eastAsia="Arial" w:hAnsi="Arial"/>
          <w:sz w:val="16"/>
          <w:szCs w:val="16"/>
          <w:color w:val="auto"/>
        </w:rPr>
      </w:pPr>
    </w:p>
    <w:p>
      <w:pPr>
        <w:ind w:left="1300" w:right="100" w:hanging="325"/>
        <w:spacing w:after="0" w:line="182" w:lineRule="exact"/>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Crafting very selective kinase drugs. </w:t>
      </w:r>
      <w:r>
        <w:rPr>
          <w:rFonts w:ascii="Arial" w:cs="Arial" w:eastAsia="Arial" w:hAnsi="Arial"/>
          <w:sz w:val="17"/>
          <w:szCs w:val="17"/>
          <w:color w:val="auto"/>
        </w:rPr>
        <w:t>Due to the high degree of homology between kinases,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targeting of a given kinase can be challenging. Many of the approved kinase drugs inhibit multiple kinases and are referred to as multi</w:t>
      </w:r>
      <w:r>
        <w:rPr>
          <w:rFonts w:ascii="MS PGothic" w:cs="MS PGothic" w:eastAsia="MS PGothic" w:hAnsi="MS PGothic"/>
          <w:sz w:val="17"/>
          <w:szCs w:val="17"/>
          <w:color w:val="auto"/>
        </w:rPr>
        <w:t>‑</w:t>
      </w:r>
      <w:r>
        <w:rPr>
          <w:rFonts w:ascii="Arial" w:cs="Arial" w:eastAsia="Arial" w:hAnsi="Arial"/>
          <w:sz w:val="17"/>
          <w:szCs w:val="17"/>
          <w:color w:val="auto"/>
        </w:rPr>
        <w:t>kinase inhibitors. Due to inhibition of off</w:t>
      </w:r>
      <w:r>
        <w:rPr>
          <w:rFonts w:ascii="MS PGothic" w:cs="MS PGothic" w:eastAsia="MS PGothic" w:hAnsi="MS PGothic"/>
          <w:sz w:val="17"/>
          <w:szCs w:val="17"/>
          <w:color w:val="auto"/>
        </w:rPr>
        <w:t>‑</w:t>
      </w:r>
      <w:r>
        <w:rPr>
          <w:rFonts w:ascii="Arial" w:cs="Arial" w:eastAsia="Arial" w:hAnsi="Arial"/>
          <w:sz w:val="17"/>
          <w:szCs w:val="17"/>
          <w:color w:val="auto"/>
        </w:rPr>
        <w:t>target kinases, these multi</w:t>
      </w:r>
      <w:r>
        <w:rPr>
          <w:rFonts w:ascii="MS PGothic" w:cs="MS PGothic" w:eastAsia="MS PGothic" w:hAnsi="MS PGothic"/>
          <w:sz w:val="17"/>
          <w:szCs w:val="17"/>
          <w:color w:val="auto"/>
        </w:rPr>
        <w:t>‑</w:t>
      </w:r>
      <w:r>
        <w:rPr>
          <w:rFonts w:ascii="Arial" w:cs="Arial" w:eastAsia="Arial" w:hAnsi="Arial"/>
          <w:sz w:val="17"/>
          <w:szCs w:val="17"/>
          <w:color w:val="auto"/>
        </w:rPr>
        <w:t>kinase inhibitors often give rise to severe unwanted effects, which can negatively impact the ability to dose patients at sufficient levels to achieve optimal efficacy. We believe increasing selectivity will minimize off</w:t>
      </w:r>
      <w:r>
        <w:rPr>
          <w:rFonts w:ascii="MS PGothic" w:cs="MS PGothic" w:eastAsia="MS PGothic" w:hAnsi="MS PGothic"/>
          <w:sz w:val="17"/>
          <w:szCs w:val="17"/>
          <w:color w:val="auto"/>
        </w:rPr>
        <w:t>‑</w:t>
      </w:r>
      <w:r>
        <w:rPr>
          <w:rFonts w:ascii="Arial" w:cs="Arial" w:eastAsia="Arial" w:hAnsi="Arial"/>
          <w:sz w:val="17"/>
          <w:szCs w:val="17"/>
          <w:color w:val="auto"/>
        </w:rPr>
        <w:t>target toxicities and will improve efficacy by enabling higher dose levels and greater target inhibition. Further, combination therapies require that the drugs have non</w:t>
      </w:r>
      <w:r>
        <w:rPr>
          <w:rFonts w:ascii="MS PGothic" w:cs="MS PGothic" w:eastAsia="MS PGothic" w:hAnsi="MS PGothic"/>
          <w:sz w:val="17"/>
          <w:szCs w:val="17"/>
          <w:color w:val="auto"/>
        </w:rPr>
        <w:t>‑</w:t>
      </w:r>
      <w:r>
        <w:rPr>
          <w:rFonts w:ascii="Arial" w:cs="Arial" w:eastAsia="Arial" w:hAnsi="Arial"/>
          <w:sz w:val="17"/>
          <w:szCs w:val="17"/>
          <w:color w:val="auto"/>
        </w:rPr>
        <w:t>overlapping toxicities, which could be minimized with more selective agents.</w:t>
      </w:r>
    </w:p>
    <w:p>
      <w:pPr>
        <w:spacing w:after="0" w:line="167" w:lineRule="exact"/>
        <w:rPr>
          <w:rFonts w:ascii="Arial" w:cs="Arial" w:eastAsia="Arial" w:hAnsi="Arial"/>
          <w:sz w:val="17"/>
          <w:szCs w:val="17"/>
          <w:color w:val="auto"/>
        </w:rPr>
      </w:pPr>
    </w:p>
    <w:p>
      <w:pPr>
        <w:ind w:left="1300" w:right="60" w:hanging="325"/>
        <w:spacing w:after="0" w:line="185" w:lineRule="exact"/>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Generating novel chemical matter required to target difficult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drug kinases. </w:t>
      </w:r>
      <w:r>
        <w:rPr>
          <w:rFonts w:ascii="Arial" w:cs="Arial" w:eastAsia="Arial" w:hAnsi="Arial"/>
          <w:sz w:val="18"/>
          <w:szCs w:val="18"/>
          <w:color w:val="auto"/>
        </w:rPr>
        <w:t>Novel chemical matter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drug kinases in alternate ways.</w:t>
      </w:r>
    </w:p>
    <w:p>
      <w:pPr>
        <w:spacing w:after="0" w:line="162" w:lineRule="exact"/>
        <w:rPr>
          <w:rFonts w:ascii="Arial" w:cs="Arial" w:eastAsia="Arial" w:hAnsi="Arial"/>
          <w:sz w:val="18"/>
          <w:szCs w:val="18"/>
          <w:color w:val="auto"/>
        </w:rPr>
      </w:pPr>
    </w:p>
    <w:p>
      <w:pPr>
        <w:ind w:left="1300" w:right="160" w:hanging="325"/>
        <w:spacing w:after="0" w:line="21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Overcoming resistance mediated by the alteration of kinase targets. </w:t>
      </w:r>
      <w:r>
        <w:rPr>
          <w:rFonts w:ascii="Arial" w:cs="Arial" w:eastAsia="Arial" w:hAnsi="Arial"/>
          <w:sz w:val="18"/>
          <w:szCs w:val="18"/>
          <w:color w:val="auto"/>
        </w:rPr>
        <w:t>Most approved kinase inhibitors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only temporary disease control. Patients may relapse due to the emergence of on-target resistance mutations. Novel approaches are needed to predict and inhibit resistant mutants thus providing more durable clinical responses.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189"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Our approach is to systematically and reproducibly identify kinases that are drivers of diseases in genomically defined patient populations and to craft drug candidates that provide significant and durable clinical responses to patients. This approach enables us to drug known kinase targets that have been difficult to inhibit selectively and also identify, characterize and design drug candidates to inhibit novel kinase targets. By focusing on diseases in genomically defined patient populations, we believe that we can quickly identify the patients most likely to respond, resulting in a more efficient development path with a greater likelihood of success.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approach is enabled by our drug discovery platform consisting of two pillars:</w:t>
      </w:r>
    </w:p>
    <w:p>
      <w:pPr>
        <w:spacing w:after="0" w:line="185" w:lineRule="exact"/>
        <w:rPr>
          <w:sz w:val="20"/>
          <w:szCs w:val="20"/>
          <w:color w:val="auto"/>
        </w:rPr>
      </w:pPr>
    </w:p>
    <w:p>
      <w:pPr>
        <w:ind w:left="4480" w:right="3140" w:hanging="3505"/>
        <w:spacing w:after="0" w:line="419" w:lineRule="exact"/>
        <w:tabs>
          <w:tab w:leader="none" w:pos="129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proprietary, highly</w:t>
      </w:r>
      <w:r>
        <w:rPr>
          <w:rFonts w:ascii="MS PGothic" w:cs="MS PGothic" w:eastAsia="MS PGothic" w:hAnsi="MS PGothic"/>
          <w:sz w:val="17"/>
          <w:szCs w:val="17"/>
          <w:color w:val="auto"/>
        </w:rPr>
        <w:t>‑</w:t>
      </w:r>
      <w:r>
        <w:rPr>
          <w:rFonts w:ascii="Arial" w:cs="Arial" w:eastAsia="Arial" w:hAnsi="Arial"/>
          <w:sz w:val="17"/>
          <w:szCs w:val="17"/>
          <w:color w:val="auto"/>
        </w:rPr>
        <w:t>annotated library of novel compounds;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280"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novel target discovery engine, which is a comprehensive process that interrogates kinase biology from many angles using genomics, structural biology and cell biology.</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7"/>
          <w:szCs w:val="17"/>
          <w:color w:val="auto"/>
        </w:rPr>
        <w:t>Our proprietary compound library is a unique collection of small molecules designed and developed entirely in</w:t>
      </w:r>
      <w:r>
        <w:rPr>
          <w:rFonts w:ascii="MS PGothic" w:cs="MS PGothic" w:eastAsia="MS PGothic" w:hAnsi="MS PGothic"/>
          <w:sz w:val="17"/>
          <w:szCs w:val="17"/>
          <w:color w:val="auto"/>
        </w:rPr>
        <w:t>‑</w:t>
      </w:r>
      <w:r>
        <w:rPr>
          <w:rFonts w:ascii="Arial" w:cs="Arial" w:eastAsia="Arial" w:hAnsi="Arial"/>
          <w:sz w:val="17"/>
          <w:szCs w:val="17"/>
          <w:color w:val="auto"/>
        </w:rPr>
        <w:t>house by Blueprint Medicines’ scientists as kinase inhibitors and enriched for drug</w:t>
      </w:r>
      <w:r>
        <w:rPr>
          <w:rFonts w:ascii="MS PGothic" w:cs="MS PGothic" w:eastAsia="MS PGothic" w:hAnsi="MS PGothic"/>
          <w:sz w:val="17"/>
          <w:szCs w:val="17"/>
          <w:color w:val="auto"/>
        </w:rPr>
        <w:t>‑</w:t>
      </w:r>
      <w:r>
        <w:rPr>
          <w:rFonts w:ascii="Arial" w:cs="Arial" w:eastAsia="Arial" w:hAnsi="Arial"/>
          <w:sz w:val="17"/>
          <w:szCs w:val="17"/>
          <w:color w:val="auto"/>
        </w:rPr>
        <w:t>like properties. We do not owe royalties or other fees to any parties associated with our novel target discovery engine and our proprietary compound library. This provides high</w:t>
      </w:r>
      <w:r>
        <w:rPr>
          <w:rFonts w:ascii="MS PGothic" w:cs="MS PGothic" w:eastAsia="MS PGothic" w:hAnsi="MS PGothic"/>
          <w:sz w:val="17"/>
          <w:szCs w:val="17"/>
          <w:color w:val="auto"/>
        </w:rPr>
        <w:t>‑</w:t>
      </w:r>
      <w:r>
        <w:rPr>
          <w:rFonts w:ascii="Arial" w:cs="Arial" w:eastAsia="Arial" w:hAnsi="Arial"/>
          <w:sz w:val="17"/>
          <w:szCs w:val="17"/>
          <w:color w:val="auto"/>
        </w:rPr>
        <w:t>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w:t>
      </w:r>
      <w:r>
        <w:rPr>
          <w:rFonts w:ascii="MS PGothic" w:cs="MS PGothic" w:eastAsia="MS PGothic" w:hAnsi="MS PGothic"/>
          <w:sz w:val="17"/>
          <w:szCs w:val="17"/>
          <w:color w:val="auto"/>
        </w:rPr>
        <w:t>‑</w:t>
      </w:r>
      <w:r>
        <w:rPr>
          <w:rFonts w:ascii="Arial" w:cs="Arial" w:eastAsia="Arial" w:hAnsi="Arial"/>
          <w:sz w:val="17"/>
          <w:szCs w:val="17"/>
          <w:color w:val="auto"/>
        </w:rPr>
        <w:t>relevant kinase mutants, and the majority of known kinases are targeted by at least one compound family. Thus, this “annotated” compound library provides high</w:t>
      </w:r>
      <w:r>
        <w:rPr>
          <w:rFonts w:ascii="MS PGothic" w:cs="MS PGothic" w:eastAsia="MS PGothic" w:hAnsi="MS PGothic"/>
          <w:sz w:val="17"/>
          <w:szCs w:val="17"/>
          <w:color w:val="auto"/>
        </w:rPr>
        <w:t>‑</w:t>
      </w:r>
      <w:r>
        <w:rPr>
          <w:rFonts w:ascii="Arial" w:cs="Arial" w:eastAsia="Arial" w:hAnsi="Arial"/>
          <w:sz w:val="17"/>
          <w:szCs w:val="17"/>
          <w:color w:val="auto"/>
        </w:rPr>
        <w:t>quality medicinal chemistry starting points that enable quick</w:t>
      </w:r>
      <w:r>
        <w:rPr>
          <w:rFonts w:ascii="MS PGothic" w:cs="MS PGothic" w:eastAsia="MS PGothic" w:hAnsi="MS PGothic"/>
          <w:sz w:val="17"/>
          <w:szCs w:val="17"/>
          <w:color w:val="auto"/>
        </w:rPr>
        <w:t>‑</w:t>
      </w:r>
      <w:r>
        <w:rPr>
          <w:rFonts w:ascii="Arial" w:cs="Arial" w:eastAsia="Arial" w:hAnsi="Arial"/>
          <w:sz w:val="17"/>
          <w:szCs w:val="17"/>
          <w:color w:val="auto"/>
        </w:rPr>
        <w:t>starts to drug discovery programs, avoiding the expense and time spent running high throughput screens. Notably, our proprietary compound library has yielded high quality chemical starting points for previously difficult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drug kinases. We have continued to expand our proprietary compound library to cover a significant portion of the kinome and anticipate that as part of our discovery efforts we will continue to increase the number of compound families that inhibit each kinase target.</w:t>
      </w:r>
    </w:p>
    <w:p>
      <w:pPr>
        <w:spacing w:after="0" w:line="169"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We have established a novel target discovery engine, which was developed entirely in</w:t>
      </w:r>
      <w:r>
        <w:rPr>
          <w:rFonts w:ascii="MS PGothic" w:cs="MS PGothic" w:eastAsia="MS PGothic" w:hAnsi="MS PGothic"/>
          <w:sz w:val="18"/>
          <w:szCs w:val="18"/>
          <w:color w:val="auto"/>
        </w:rPr>
        <w:t>‑</w:t>
      </w:r>
      <w:r>
        <w:rPr>
          <w:rFonts w:ascii="Arial" w:cs="Arial" w:eastAsia="Arial" w:hAnsi="Arial"/>
          <w:sz w:val="18"/>
          <w:szCs w:val="18"/>
          <w:color w:val="auto"/>
        </w:rPr>
        <w:t>house, to provide new insights into the biology of kinases as drivers of disease and to identify new kinase drug targets. There are two aspects to the novel target discovery engine:</w:t>
      </w:r>
    </w:p>
    <w:p>
      <w:pPr>
        <w:spacing w:after="0" w:line="163" w:lineRule="exact"/>
        <w:rPr>
          <w:sz w:val="20"/>
          <w:szCs w:val="20"/>
          <w:color w:val="auto"/>
        </w:rPr>
      </w:pPr>
    </w:p>
    <w:p>
      <w:pPr>
        <w:ind w:left="1300" w:right="80" w:hanging="325"/>
        <w:spacing w:after="0" w:line="185" w:lineRule="exact"/>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Genomics Approach to Identify Novel Kinase Targets. </w:t>
      </w:r>
      <w:r>
        <w:rPr>
          <w:rFonts w:ascii="Arial" w:cs="Arial" w:eastAsia="Arial" w:hAnsi="Arial"/>
          <w:sz w:val="18"/>
          <w:szCs w:val="18"/>
          <w:color w:val="auto"/>
        </w:rPr>
        <w:t>Our high</w:t>
      </w:r>
      <w:r>
        <w:rPr>
          <w:rFonts w:ascii="MS PGothic" w:cs="MS PGothic" w:eastAsia="MS PGothic" w:hAnsi="MS PGothic"/>
          <w:sz w:val="18"/>
          <w:szCs w:val="18"/>
          <w:color w:val="auto"/>
        </w:rPr>
        <w:t>‑</w:t>
      </w:r>
      <w:r>
        <w:rPr>
          <w:rFonts w:ascii="Arial" w:cs="Arial" w:eastAsia="Arial" w:hAnsi="Arial"/>
          <w:sz w:val="18"/>
          <w:szCs w:val="18"/>
          <w:color w:val="auto"/>
        </w:rPr>
        <w:t>capacity computing infrastructure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not only storage of very 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in 2014.</w:t>
      </w:r>
    </w:p>
    <w:p>
      <w:pPr>
        <w:spacing w:after="0" w:line="162" w:lineRule="exact"/>
        <w:rPr>
          <w:rFonts w:ascii="Arial" w:cs="Arial" w:eastAsia="Arial" w:hAnsi="Arial"/>
          <w:sz w:val="18"/>
          <w:szCs w:val="18"/>
          <w:color w:val="auto"/>
        </w:rPr>
      </w:pPr>
    </w:p>
    <w:p>
      <w:pPr>
        <w:ind w:left="1300" w:right="20" w:hanging="325"/>
        <w:spacing w:after="0" w:line="187" w:lineRule="exact"/>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Cell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Screens to Identify Novel Kinase Targets. </w:t>
      </w:r>
      <w:r>
        <w:rPr>
          <w:rFonts w:ascii="Arial" w:cs="Arial" w:eastAsia="Arial" w:hAnsi="Arial"/>
          <w:sz w:val="18"/>
          <w:szCs w:val="18"/>
          <w:color w:val="auto"/>
        </w:rPr>
        <w:t>In this approach, a subset of the compounds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compound library that exhibit remarkable potency and/or selectivity for one or a few kinases — our “tool compounds” — are used as probes in disease</w:t>
      </w:r>
      <w:r>
        <w:rPr>
          <w:rFonts w:ascii="MS PGothic" w:cs="MS PGothic" w:eastAsia="MS PGothic" w:hAnsi="MS PGothic"/>
          <w:sz w:val="18"/>
          <w:szCs w:val="18"/>
          <w:color w:val="auto"/>
        </w:rPr>
        <w:t>‑</w:t>
      </w:r>
      <w:r>
        <w:rPr>
          <w:rFonts w:ascii="Arial" w:cs="Arial" w:eastAsia="Arial" w:hAnsi="Arial"/>
          <w:sz w:val="18"/>
          <w:szCs w:val="18"/>
          <w:color w:val="auto"/>
        </w:rPr>
        <w:t>relevant cell</w:t>
      </w:r>
      <w:r>
        <w:rPr>
          <w:rFonts w:ascii="MS PGothic" w:cs="MS PGothic" w:eastAsia="MS PGothic" w:hAnsi="MS PGothic"/>
          <w:sz w:val="18"/>
          <w:szCs w:val="18"/>
          <w:color w:val="auto"/>
        </w:rPr>
        <w:t>‑</w:t>
      </w:r>
      <w:r>
        <w:rPr>
          <w:rFonts w:ascii="Arial" w:cs="Arial" w:eastAsia="Arial" w:hAnsi="Arial"/>
          <w:sz w:val="18"/>
          <w:szCs w:val="18"/>
          <w:color w:val="auto"/>
        </w:rPr>
        <w:t>based screens. Many of these tool compounds inhibit KUBs and thus allow us to evaluate potential roles for these relatively unexplored kinases in human disease.</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 defined cancers with a targeted therapy typically results in a significant anti</w:t>
      </w:r>
      <w:r>
        <w:rPr>
          <w:rFonts w:ascii="MS PGothic" w:cs="MS PGothic" w:eastAsia="MS PGothic" w:hAnsi="MS PGothic"/>
          <w:sz w:val="18"/>
          <w:szCs w:val="18"/>
          <w:color w:val="auto"/>
        </w:rPr>
        <w:t>‑</w:t>
      </w:r>
      <w:r>
        <w:rPr>
          <w:rFonts w:ascii="Arial" w:cs="Arial" w:eastAsia="Arial" w:hAnsi="Arial"/>
          <w:sz w:val="18"/>
          <w:szCs w:val="18"/>
          <w:color w:val="auto"/>
        </w:rPr>
        <w:t>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Programs</w:t>
      </w:r>
    </w:p>
    <w:p>
      <w:pPr>
        <w:spacing w:after="0" w:line="18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We have leveraged our discovery platform to develop a robust drug pipeline of orally available, potent and selective small molecule kinase inhibitors that target genomic drivers in several cancers and a rare genetic disease. We currently have worldwide development and commercialization rights to avapritinib, BLU-667 and BLU-554 other than the rights licensed to CStone in the CStone territory. We currently have worldwide development and commercialization rights to BLU-782 and all of our discovery programs other than the discovery-stage programs under the Roche collaboration. The following table summarizes our most advanced drug candidates as of February 15, 2019, each of which is described in further detail below.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1680" w:type="dxa"/>
            <w:vAlign w:val="bottom"/>
            <w:tcBorders>
              <w:top w:val="single" w:sz="8" w:color="auto"/>
            </w:tcBorders>
            <w:shd w:val="clear" w:color="auto" w:fill="BFBFBF"/>
          </w:tcPr>
          <w:p>
            <w:pPr>
              <w:ind w:left="320"/>
              <w:spacing w:after="0"/>
              <w:rPr>
                <w:sz w:val="20"/>
                <w:szCs w:val="20"/>
                <w:color w:val="auto"/>
              </w:rPr>
            </w:pPr>
            <w:r>
              <w:rPr>
                <w:rFonts w:ascii="Arial" w:cs="Arial" w:eastAsia="Arial" w:hAnsi="Arial"/>
                <w:sz w:val="14"/>
                <w:szCs w:val="14"/>
                <w:b w:val="1"/>
                <w:bCs w:val="1"/>
                <w:color w:val="auto"/>
              </w:rPr>
              <w:t>Drug Candidate</w:t>
            </w:r>
          </w:p>
        </w:tc>
        <w:tc>
          <w:tcPr>
            <w:tcW w:w="20" w:type="dxa"/>
            <w:vAlign w:val="bottom"/>
            <w:tcBorders>
              <w:top w:val="single" w:sz="8" w:color="auto"/>
            </w:tcBorders>
            <w:shd w:val="clear" w:color="auto" w:fill="BFBFBF"/>
          </w:tcPr>
          <w:p>
            <w:pPr>
              <w:spacing w:after="0"/>
              <w:rPr>
                <w:sz w:val="18"/>
                <w:szCs w:val="18"/>
                <w:color w:val="auto"/>
              </w:rPr>
            </w:pPr>
          </w:p>
        </w:tc>
        <w:tc>
          <w:tcPr>
            <w:tcW w:w="2660" w:type="dxa"/>
            <w:vAlign w:val="bottom"/>
            <w:tcBorders>
              <w:top w:val="single" w:sz="8" w:color="auto"/>
            </w:tcBorders>
            <w:shd w:val="clear" w:color="auto" w:fill="BFBFBF"/>
          </w:tcPr>
          <w:p>
            <w:pPr>
              <w:spacing w:after="0"/>
              <w:rPr>
                <w:sz w:val="18"/>
                <w:szCs w:val="18"/>
                <w:color w:val="auto"/>
              </w:rPr>
            </w:pPr>
          </w:p>
        </w:tc>
        <w:tc>
          <w:tcPr>
            <w:tcW w:w="2820" w:type="dxa"/>
            <w:vAlign w:val="bottom"/>
            <w:tcBorders>
              <w:top w:val="single" w:sz="8" w:color="auto"/>
            </w:tcBorders>
            <w:shd w:val="clear" w:color="auto" w:fill="BFBFBF"/>
          </w:tcPr>
          <w:p>
            <w:pPr>
              <w:spacing w:after="0"/>
              <w:rPr>
                <w:sz w:val="18"/>
                <w:szCs w:val="18"/>
                <w:color w:val="auto"/>
              </w:rPr>
            </w:pPr>
          </w:p>
        </w:tc>
        <w:tc>
          <w:tcPr>
            <w:tcW w:w="1580" w:type="dxa"/>
            <w:vAlign w:val="bottom"/>
            <w:tcBorders>
              <w:top w:val="single" w:sz="8" w:color="auto"/>
            </w:tcBorders>
            <w:shd w:val="clear" w:color="auto" w:fill="BFBFBF"/>
          </w:tcPr>
          <w:p>
            <w:pPr>
              <w:spacing w:after="0"/>
              <w:rPr>
                <w:sz w:val="18"/>
                <w:szCs w:val="18"/>
                <w:color w:val="auto"/>
              </w:rPr>
            </w:pPr>
          </w:p>
        </w:tc>
      </w:tr>
      <w:tr>
        <w:trPr>
          <w:trHeight w:val="233"/>
        </w:trPr>
        <w:tc>
          <w:tcPr>
            <w:tcW w:w="1680" w:type="dxa"/>
            <w:vAlign w:val="bottom"/>
            <w:tcBorders>
              <w:bottom w:val="single" w:sz="8" w:color="BFBFBF"/>
            </w:tcBorders>
            <w:shd w:val="clear" w:color="auto" w:fill="BFBFBF"/>
          </w:tcPr>
          <w:p>
            <w:pPr>
              <w:ind w:left="280"/>
              <w:spacing w:after="0"/>
              <w:rPr>
                <w:sz w:val="20"/>
                <w:szCs w:val="20"/>
                <w:color w:val="auto"/>
              </w:rPr>
            </w:pPr>
            <w:r>
              <w:rPr>
                <w:rFonts w:ascii="Arial" w:cs="Arial" w:eastAsia="Arial" w:hAnsi="Arial"/>
                <w:sz w:val="14"/>
                <w:szCs w:val="14"/>
                <w:b w:val="1"/>
                <w:bCs w:val="1"/>
                <w:i w:val="1"/>
                <w:iCs w:val="1"/>
                <w:color w:val="auto"/>
              </w:rPr>
              <w:t>(Genomic Target)</w:t>
            </w:r>
          </w:p>
        </w:tc>
        <w:tc>
          <w:tcPr>
            <w:tcW w:w="20" w:type="dxa"/>
            <w:vAlign w:val="bottom"/>
            <w:tcBorders>
              <w:bottom w:val="single" w:sz="8" w:color="BFBFBF"/>
            </w:tcBorders>
            <w:shd w:val="clear" w:color="auto" w:fill="BFBFBF"/>
          </w:tcPr>
          <w:p>
            <w:pPr>
              <w:spacing w:after="0"/>
              <w:rPr>
                <w:sz w:val="19"/>
                <w:szCs w:val="19"/>
                <w:color w:val="auto"/>
              </w:rPr>
            </w:pPr>
          </w:p>
        </w:tc>
        <w:tc>
          <w:tcPr>
            <w:tcW w:w="2660" w:type="dxa"/>
            <w:vAlign w:val="bottom"/>
            <w:tcBorders>
              <w:bottom w:val="single" w:sz="8" w:color="BFBFBF"/>
            </w:tcBorders>
            <w:shd w:val="clear" w:color="auto" w:fill="BFBFBF"/>
          </w:tcPr>
          <w:p>
            <w:pPr>
              <w:ind w:left="900"/>
              <w:spacing w:after="0"/>
              <w:rPr>
                <w:sz w:val="20"/>
                <w:szCs w:val="20"/>
                <w:color w:val="auto"/>
              </w:rPr>
            </w:pPr>
            <w:r>
              <w:rPr>
                <w:rFonts w:ascii="Arial" w:cs="Arial" w:eastAsia="Arial" w:hAnsi="Arial"/>
                <w:sz w:val="14"/>
                <w:szCs w:val="14"/>
                <w:b w:val="1"/>
                <w:bCs w:val="1"/>
                <w:color w:val="auto"/>
              </w:rPr>
              <w:t>Initial Diseases</w:t>
            </w:r>
          </w:p>
        </w:tc>
        <w:tc>
          <w:tcPr>
            <w:tcW w:w="2820" w:type="dxa"/>
            <w:vAlign w:val="bottom"/>
            <w:tcBorders>
              <w:bottom w:val="single" w:sz="8" w:color="BFBFBF"/>
            </w:tcBorders>
            <w:shd w:val="clear" w:color="auto" w:fill="BFBFBF"/>
          </w:tcPr>
          <w:p>
            <w:pPr>
              <w:ind w:left="820"/>
              <w:spacing w:after="0"/>
              <w:rPr>
                <w:sz w:val="20"/>
                <w:szCs w:val="20"/>
                <w:color w:val="auto"/>
              </w:rPr>
            </w:pPr>
            <w:r>
              <w:rPr>
                <w:rFonts w:ascii="Arial" w:cs="Arial" w:eastAsia="Arial" w:hAnsi="Arial"/>
                <w:sz w:val="14"/>
                <w:szCs w:val="14"/>
                <w:b w:val="1"/>
                <w:bCs w:val="1"/>
                <w:color w:val="auto"/>
              </w:rPr>
              <w:t>Stage of Development</w:t>
            </w:r>
          </w:p>
        </w:tc>
        <w:tc>
          <w:tcPr>
            <w:tcW w:w="1580" w:type="dxa"/>
            <w:vAlign w:val="bottom"/>
            <w:tcBorders>
              <w:bottom w:val="single" w:sz="8" w:color="BFBFBF"/>
            </w:tcBorders>
            <w:shd w:val="clear" w:color="auto" w:fill="BFBFBF"/>
          </w:tcPr>
          <w:p>
            <w:pPr>
              <w:ind w:left="240"/>
              <w:spacing w:after="0"/>
              <w:rPr>
                <w:sz w:val="20"/>
                <w:szCs w:val="20"/>
                <w:color w:val="auto"/>
              </w:rPr>
            </w:pPr>
            <w:r>
              <w:rPr>
                <w:rFonts w:ascii="Arial" w:cs="Arial" w:eastAsia="Arial" w:hAnsi="Arial"/>
                <w:sz w:val="14"/>
                <w:szCs w:val="14"/>
                <w:b w:val="1"/>
                <w:bCs w:val="1"/>
                <w:color w:val="auto"/>
              </w:rPr>
              <w:t>Commercial Rights</w:t>
            </w:r>
          </w:p>
        </w:tc>
      </w:tr>
      <w:tr>
        <w:trPr>
          <w:trHeight w:val="198"/>
        </w:trPr>
        <w:tc>
          <w:tcPr>
            <w:tcW w:w="16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Avapritinib</w:t>
            </w:r>
          </w:p>
        </w:tc>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PDGFRA Exon 18 mutant GIST </w:t>
            </w:r>
            <w:r>
              <w:rPr>
                <w:rFonts w:ascii="Arial" w:cs="Arial" w:eastAsia="Arial" w:hAnsi="Arial"/>
                <w:sz w:val="7"/>
                <w:szCs w:val="7"/>
                <w:color w:val="auto"/>
              </w:rPr>
              <w:t>(1)</w:t>
            </w:r>
          </w:p>
        </w:tc>
        <w:tc>
          <w:tcPr>
            <w:tcW w:w="282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w w:val="92"/>
              </w:rPr>
              <w:t xml:space="preserve">Phase 1 enrollment completed </w:t>
            </w:r>
            <w:r>
              <w:rPr>
                <w:rFonts w:ascii="Arial" w:cs="Arial" w:eastAsia="Arial" w:hAnsi="Arial"/>
                <w:sz w:val="14"/>
                <w:szCs w:val="14"/>
                <w:i w:val="1"/>
                <w:iCs w:val="1"/>
                <w:color w:val="auto"/>
                <w:w w:val="92"/>
              </w:rPr>
              <w:t>(NAVIGATOR)</w:t>
            </w:r>
          </w:p>
        </w:tc>
        <w:tc>
          <w:tcPr>
            <w:tcW w:w="15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 xml:space="preserve">Blueprint Medicines </w:t>
            </w:r>
            <w:r>
              <w:rPr>
                <w:rFonts w:ascii="Arial" w:cs="Arial" w:eastAsia="Arial" w:hAnsi="Arial"/>
                <w:sz w:val="7"/>
                <w:szCs w:val="7"/>
                <w:color w:val="auto"/>
              </w:rPr>
              <w:t>(2)</w:t>
            </w:r>
          </w:p>
        </w:tc>
      </w:tr>
      <w:tr>
        <w:trPr>
          <w:trHeight w:val="189"/>
        </w:trPr>
        <w:tc>
          <w:tcPr>
            <w:tcW w:w="1680" w:type="dxa"/>
            <w:vAlign w:val="bottom"/>
          </w:tcPr>
          <w:p>
            <w:pPr>
              <w:ind w:left="200"/>
              <w:spacing w:after="0"/>
              <w:rPr>
                <w:sz w:val="20"/>
                <w:szCs w:val="20"/>
                <w:color w:val="auto"/>
              </w:rPr>
            </w:pPr>
            <w:r>
              <w:rPr>
                <w:rFonts w:ascii="Arial" w:cs="Arial" w:eastAsia="Arial" w:hAnsi="Arial"/>
                <w:sz w:val="14"/>
                <w:szCs w:val="14"/>
                <w:i w:val="1"/>
                <w:iCs w:val="1"/>
                <w:color w:val="auto"/>
              </w:rPr>
              <w:t>(KIT and PDGFRA)</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NDA planned for Q2 2019</w:t>
            </w:r>
          </w:p>
        </w:tc>
        <w:tc>
          <w:tcPr>
            <w:tcW w:w="1580" w:type="dxa"/>
            <w:vAlign w:val="bottom"/>
          </w:tcPr>
          <w:p>
            <w:pPr>
              <w:spacing w:after="0"/>
              <w:rPr>
                <w:sz w:val="16"/>
                <w:szCs w:val="16"/>
                <w:color w:val="auto"/>
              </w:rPr>
            </w:pPr>
          </w:p>
        </w:tc>
      </w:tr>
      <w:tr>
        <w:trPr>
          <w:trHeight w:val="39"/>
        </w:trPr>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Fourth-line GIST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w w:val="92"/>
              </w:rPr>
              <w:t xml:space="preserve">Phase 1 enrollment completed </w:t>
            </w:r>
            <w:r>
              <w:rPr>
                <w:rFonts w:ascii="Arial" w:cs="Arial" w:eastAsia="Arial" w:hAnsi="Arial"/>
                <w:sz w:val="14"/>
                <w:szCs w:val="14"/>
                <w:i w:val="1"/>
                <w:iCs w:val="1"/>
                <w:color w:val="auto"/>
                <w:w w:val="92"/>
              </w:rPr>
              <w:t>(NAVIGATOR)</w:t>
            </w:r>
          </w:p>
        </w:tc>
        <w:tc>
          <w:tcPr>
            <w:tcW w:w="1580" w:type="dxa"/>
            <w:vAlign w:val="bottom"/>
          </w:tcPr>
          <w:p>
            <w:pPr>
              <w:spacing w:after="0"/>
              <w:rPr>
                <w:sz w:val="17"/>
                <w:szCs w:val="17"/>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NDA planned for Q2 2019</w:t>
            </w:r>
          </w:p>
        </w:tc>
        <w:tc>
          <w:tcPr>
            <w:tcW w:w="1580" w:type="dxa"/>
            <w:vAlign w:val="bottom"/>
          </w:tcPr>
          <w:p>
            <w:pPr>
              <w:spacing w:after="0"/>
              <w:rPr>
                <w:sz w:val="16"/>
                <w:szCs w:val="16"/>
                <w:color w:val="auto"/>
              </w:rPr>
            </w:pPr>
          </w:p>
        </w:tc>
      </w:tr>
      <w:tr>
        <w:trPr>
          <w:trHeight w:val="39"/>
        </w:trPr>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Third-line GIST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w w:val="92"/>
              </w:rPr>
              <w:t xml:space="preserve">Phase 1 enrollment completed </w:t>
            </w:r>
            <w:r>
              <w:rPr>
                <w:rFonts w:ascii="Arial" w:cs="Arial" w:eastAsia="Arial" w:hAnsi="Arial"/>
                <w:sz w:val="14"/>
                <w:szCs w:val="14"/>
                <w:i w:val="1"/>
                <w:iCs w:val="1"/>
                <w:color w:val="auto"/>
                <w:w w:val="92"/>
              </w:rPr>
              <w:t>(NAVIGATOR)</w:t>
            </w:r>
          </w:p>
        </w:tc>
        <w:tc>
          <w:tcPr>
            <w:tcW w:w="1580" w:type="dxa"/>
            <w:vAlign w:val="bottom"/>
          </w:tcPr>
          <w:p>
            <w:pPr>
              <w:spacing w:after="0"/>
              <w:rPr>
                <w:sz w:val="17"/>
                <w:szCs w:val="17"/>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3 ongoing </w:t>
            </w:r>
            <w:r>
              <w:rPr>
                <w:rFonts w:ascii="Arial" w:cs="Arial" w:eastAsia="Arial" w:hAnsi="Arial"/>
                <w:sz w:val="14"/>
                <w:szCs w:val="14"/>
                <w:i w:val="1"/>
                <w:iCs w:val="1"/>
                <w:color w:val="auto"/>
              </w:rPr>
              <w:t>(VOYAGER)</w:t>
            </w:r>
          </w:p>
        </w:tc>
        <w:tc>
          <w:tcPr>
            <w:tcW w:w="158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NDA planned for 2020</w:t>
            </w:r>
          </w:p>
        </w:tc>
        <w:tc>
          <w:tcPr>
            <w:tcW w:w="1580" w:type="dxa"/>
            <w:vAlign w:val="bottom"/>
          </w:tcPr>
          <w:p>
            <w:pPr>
              <w:spacing w:after="0"/>
              <w:rPr>
                <w:sz w:val="16"/>
                <w:szCs w:val="16"/>
                <w:color w:val="auto"/>
              </w:rPr>
            </w:pPr>
          </w:p>
        </w:tc>
      </w:tr>
      <w:tr>
        <w:trPr>
          <w:trHeight w:val="309"/>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Second-line GIST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w w:val="92"/>
              </w:rPr>
              <w:t xml:space="preserve">Phase 1 enrollment completed </w:t>
            </w:r>
            <w:r>
              <w:rPr>
                <w:rFonts w:ascii="Arial" w:cs="Arial" w:eastAsia="Arial" w:hAnsi="Arial"/>
                <w:sz w:val="14"/>
                <w:szCs w:val="14"/>
                <w:i w:val="1"/>
                <w:iCs w:val="1"/>
                <w:color w:val="auto"/>
                <w:w w:val="92"/>
              </w:rPr>
              <w:t>(NAVIGATOR)</w:t>
            </w:r>
          </w:p>
        </w:tc>
        <w:tc>
          <w:tcPr>
            <w:tcW w:w="1580" w:type="dxa"/>
            <w:vAlign w:val="bottom"/>
          </w:tcPr>
          <w:p>
            <w:pPr>
              <w:spacing w:after="0"/>
              <w:rPr>
                <w:sz w:val="17"/>
                <w:szCs w:val="17"/>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w w:val="92"/>
              </w:rPr>
              <w:t xml:space="preserve">Phase 3 planned for 2H 2019 </w:t>
            </w:r>
            <w:r>
              <w:rPr>
                <w:rFonts w:ascii="Arial" w:cs="Arial" w:eastAsia="Arial" w:hAnsi="Arial"/>
                <w:sz w:val="14"/>
                <w:szCs w:val="14"/>
                <w:i w:val="1"/>
                <w:iCs w:val="1"/>
                <w:color w:val="auto"/>
                <w:w w:val="92"/>
              </w:rPr>
              <w:t>(COMPASS-2L)</w:t>
            </w:r>
          </w:p>
        </w:tc>
        <w:tc>
          <w:tcPr>
            <w:tcW w:w="1580" w:type="dxa"/>
            <w:vAlign w:val="bottom"/>
          </w:tcPr>
          <w:p>
            <w:pPr>
              <w:spacing w:after="0"/>
              <w:rPr>
                <w:sz w:val="16"/>
                <w:szCs w:val="16"/>
                <w:color w:val="auto"/>
              </w:rPr>
            </w:pPr>
          </w:p>
        </w:tc>
      </w:tr>
      <w:tr>
        <w:trPr>
          <w:trHeight w:val="39"/>
        </w:trPr>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Advanced SM</w:t>
            </w: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1 ongoing </w:t>
            </w:r>
            <w:r>
              <w:rPr>
                <w:rFonts w:ascii="Arial" w:cs="Arial" w:eastAsia="Arial" w:hAnsi="Arial"/>
                <w:sz w:val="14"/>
                <w:szCs w:val="14"/>
                <w:i w:val="1"/>
                <w:iCs w:val="1"/>
                <w:color w:val="auto"/>
              </w:rPr>
              <w:t>(EXPLORER)</w:t>
            </w:r>
          </w:p>
        </w:tc>
        <w:tc>
          <w:tcPr>
            <w:tcW w:w="1580" w:type="dxa"/>
            <w:vAlign w:val="bottom"/>
          </w:tcPr>
          <w:p>
            <w:pPr>
              <w:spacing w:after="0"/>
              <w:rPr>
                <w:sz w:val="17"/>
                <w:szCs w:val="17"/>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2 ongoing </w:t>
            </w:r>
            <w:r>
              <w:rPr>
                <w:rFonts w:ascii="Arial" w:cs="Arial" w:eastAsia="Arial" w:hAnsi="Arial"/>
                <w:sz w:val="14"/>
                <w:szCs w:val="14"/>
                <w:i w:val="1"/>
                <w:iCs w:val="1"/>
                <w:color w:val="auto"/>
              </w:rPr>
              <w:t>(PATHFINDER)</w:t>
            </w:r>
          </w:p>
        </w:tc>
        <w:tc>
          <w:tcPr>
            <w:tcW w:w="158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NDA planned for 2020</w:t>
            </w:r>
          </w:p>
        </w:tc>
        <w:tc>
          <w:tcPr>
            <w:tcW w:w="1580" w:type="dxa"/>
            <w:vAlign w:val="bottom"/>
          </w:tcPr>
          <w:p>
            <w:pPr>
              <w:spacing w:after="0"/>
              <w:rPr>
                <w:sz w:val="16"/>
                <w:szCs w:val="16"/>
                <w:color w:val="auto"/>
              </w:rPr>
            </w:pPr>
          </w:p>
        </w:tc>
      </w:tr>
      <w:tr>
        <w:trPr>
          <w:trHeight w:val="39"/>
        </w:trPr>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Indolent and smoldering SM</w:t>
            </w: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2 ongoing </w:t>
            </w:r>
            <w:r>
              <w:rPr>
                <w:rFonts w:ascii="Arial" w:cs="Arial" w:eastAsia="Arial" w:hAnsi="Arial"/>
                <w:sz w:val="14"/>
                <w:szCs w:val="14"/>
                <w:i w:val="1"/>
                <w:iCs w:val="1"/>
                <w:color w:val="auto"/>
              </w:rPr>
              <w:t>(PIONEER)</w:t>
            </w:r>
          </w:p>
        </w:tc>
        <w:tc>
          <w:tcPr>
            <w:tcW w:w="1580" w:type="dxa"/>
            <w:vAlign w:val="bottom"/>
          </w:tcPr>
          <w:p>
            <w:pPr>
              <w:spacing w:after="0"/>
              <w:rPr>
                <w:sz w:val="17"/>
                <w:szCs w:val="17"/>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2"/>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4"/>
                <w:szCs w:val="14"/>
                <w:color w:val="auto"/>
              </w:rPr>
              <w:t>BLU-667</w:t>
            </w: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Second-line RET-altered NSCLC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1 ongoing </w:t>
            </w:r>
            <w:r>
              <w:rPr>
                <w:rFonts w:ascii="Arial" w:cs="Arial" w:eastAsia="Arial" w:hAnsi="Arial"/>
                <w:sz w:val="14"/>
                <w:szCs w:val="14"/>
                <w:i w:val="1"/>
                <w:iCs w:val="1"/>
                <w:color w:val="auto"/>
              </w:rPr>
              <w:t>(ARROW)</w:t>
            </w:r>
          </w:p>
        </w:tc>
        <w:tc>
          <w:tcPr>
            <w:tcW w:w="1580" w:type="dxa"/>
            <w:vAlign w:val="bottom"/>
          </w:tcPr>
          <w:p>
            <w:pPr>
              <w:ind w:left="80"/>
              <w:spacing w:after="0"/>
              <w:rPr>
                <w:sz w:val="20"/>
                <w:szCs w:val="20"/>
                <w:color w:val="auto"/>
              </w:rPr>
            </w:pPr>
            <w:r>
              <w:rPr>
                <w:rFonts w:ascii="Arial" w:cs="Arial" w:eastAsia="Arial" w:hAnsi="Arial"/>
                <w:sz w:val="14"/>
                <w:szCs w:val="14"/>
                <w:color w:val="auto"/>
              </w:rPr>
              <w:t xml:space="preserve">Blueprint Medicines </w:t>
            </w:r>
            <w:r>
              <w:rPr>
                <w:rFonts w:ascii="Arial" w:cs="Arial" w:eastAsia="Arial" w:hAnsi="Arial"/>
                <w:sz w:val="7"/>
                <w:szCs w:val="7"/>
                <w:color w:val="auto"/>
              </w:rPr>
              <w:t>(2)</w:t>
            </w:r>
          </w:p>
        </w:tc>
      </w:tr>
      <w:tr>
        <w:trPr>
          <w:trHeight w:val="189"/>
        </w:trPr>
        <w:tc>
          <w:tcPr>
            <w:tcW w:w="1680" w:type="dxa"/>
            <w:vAlign w:val="bottom"/>
          </w:tcPr>
          <w:p>
            <w:pPr>
              <w:ind w:left="200"/>
              <w:spacing w:after="0"/>
              <w:rPr>
                <w:sz w:val="20"/>
                <w:szCs w:val="20"/>
                <w:color w:val="auto"/>
              </w:rPr>
            </w:pPr>
            <w:r>
              <w:rPr>
                <w:rFonts w:ascii="Arial" w:cs="Arial" w:eastAsia="Arial" w:hAnsi="Arial"/>
                <w:sz w:val="14"/>
                <w:szCs w:val="14"/>
                <w:i w:val="1"/>
                <w:iCs w:val="1"/>
                <w:color w:val="auto"/>
              </w:rPr>
              <w:t>(RET)</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NDA planned for 1H 2020</w:t>
            </w:r>
          </w:p>
        </w:tc>
        <w:tc>
          <w:tcPr>
            <w:tcW w:w="1580" w:type="dxa"/>
            <w:vAlign w:val="bottom"/>
          </w:tcPr>
          <w:p>
            <w:pPr>
              <w:spacing w:after="0"/>
              <w:rPr>
                <w:sz w:val="16"/>
                <w:szCs w:val="16"/>
                <w:color w:val="auto"/>
              </w:rPr>
            </w:pPr>
          </w:p>
        </w:tc>
      </w:tr>
      <w:tr>
        <w:trPr>
          <w:trHeight w:val="432"/>
        </w:trPr>
        <w:tc>
          <w:tcPr>
            <w:tcW w:w="168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First-line RET-altered NSCLC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rPr>
              <w:t>Phase 3 planned for 2H 2019</w:t>
            </w:r>
          </w:p>
        </w:tc>
        <w:tc>
          <w:tcPr>
            <w:tcW w:w="1580" w:type="dxa"/>
            <w:vAlign w:val="bottom"/>
          </w:tcPr>
          <w:p>
            <w:pPr>
              <w:spacing w:after="0"/>
              <w:rPr>
                <w:sz w:val="24"/>
                <w:szCs w:val="24"/>
                <w:color w:val="auto"/>
              </w:rPr>
            </w:pPr>
          </w:p>
        </w:tc>
      </w:tr>
      <w:tr>
        <w:trPr>
          <w:trHeight w:val="201"/>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w w:val="99"/>
              </w:rPr>
              <w:t>Treatment-resistant, EGFR-mutant NSCLC</w:t>
            </w:r>
          </w:p>
        </w:tc>
        <w:tc>
          <w:tcPr>
            <w:tcW w:w="2820" w:type="dxa"/>
            <w:vAlign w:val="bottom"/>
          </w:tcPr>
          <w:p>
            <w:pPr>
              <w:ind w:left="160"/>
              <w:spacing w:after="0"/>
              <w:rPr>
                <w:sz w:val="20"/>
                <w:szCs w:val="20"/>
                <w:color w:val="auto"/>
              </w:rPr>
            </w:pPr>
            <w:r>
              <w:rPr>
                <w:rFonts w:ascii="Arial" w:cs="Arial" w:eastAsia="Arial" w:hAnsi="Arial"/>
                <w:sz w:val="14"/>
                <w:szCs w:val="14"/>
                <w:color w:val="auto"/>
              </w:rPr>
              <w:t>Phase 2 combination with osimertinib</w:t>
            </w:r>
          </w:p>
        </w:tc>
        <w:tc>
          <w:tcPr>
            <w:tcW w:w="1580" w:type="dxa"/>
            <w:vAlign w:val="bottom"/>
          </w:tcPr>
          <w:p>
            <w:pPr>
              <w:spacing w:after="0"/>
              <w:rPr>
                <w:sz w:val="17"/>
                <w:szCs w:val="17"/>
                <w:color w:val="auto"/>
              </w:rPr>
            </w:pPr>
          </w:p>
        </w:tc>
      </w:tr>
      <w:tr>
        <w:trPr>
          <w:trHeight w:val="182"/>
        </w:trPr>
        <w:tc>
          <w:tcPr>
            <w:tcW w:w="168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harboring an acquired RET alteration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rPr>
              <w:t>planned for 2H 2019</w:t>
            </w:r>
          </w:p>
        </w:tc>
        <w:tc>
          <w:tcPr>
            <w:tcW w:w="1580" w:type="dxa"/>
            <w:vAlign w:val="bottom"/>
          </w:tcPr>
          <w:p>
            <w:pPr>
              <w:spacing w:after="0"/>
              <w:rPr>
                <w:sz w:val="15"/>
                <w:szCs w:val="15"/>
                <w:color w:val="auto"/>
              </w:rPr>
            </w:pPr>
          </w:p>
        </w:tc>
      </w:tr>
      <w:tr>
        <w:trPr>
          <w:trHeight w:val="34"/>
        </w:trPr>
        <w:tc>
          <w:tcPr>
            <w:tcW w:w="168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Second-line RET-altered MTC </w:t>
            </w:r>
            <w:r>
              <w:rPr>
                <w:rFonts w:ascii="Arial" w:cs="Arial" w:eastAsia="Arial" w:hAnsi="Arial"/>
                <w:sz w:val="7"/>
                <w:szCs w:val="7"/>
                <w:color w:val="auto"/>
              </w:rPr>
              <w:t>(1)</w:t>
            </w: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1 ongoing </w:t>
            </w:r>
            <w:r>
              <w:rPr>
                <w:rFonts w:ascii="Arial" w:cs="Arial" w:eastAsia="Arial" w:hAnsi="Arial"/>
                <w:sz w:val="14"/>
                <w:szCs w:val="14"/>
                <w:i w:val="1"/>
                <w:iCs w:val="1"/>
                <w:color w:val="auto"/>
              </w:rPr>
              <w:t>(ARROW)</w:t>
            </w:r>
          </w:p>
        </w:tc>
        <w:tc>
          <w:tcPr>
            <w:tcW w:w="1580" w:type="dxa"/>
            <w:vAlign w:val="bottom"/>
          </w:tcPr>
          <w:p>
            <w:pPr>
              <w:spacing w:after="0"/>
              <w:rPr>
                <w:sz w:val="17"/>
                <w:szCs w:val="17"/>
                <w:color w:val="auto"/>
              </w:rPr>
            </w:pPr>
          </w:p>
        </w:tc>
      </w:tr>
      <w:tr>
        <w:trPr>
          <w:trHeight w:val="189"/>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NDA planned for 1H 2020</w:t>
            </w:r>
          </w:p>
        </w:tc>
        <w:tc>
          <w:tcPr>
            <w:tcW w:w="1580" w:type="dxa"/>
            <w:vAlign w:val="bottom"/>
          </w:tcPr>
          <w:p>
            <w:pPr>
              <w:spacing w:after="0"/>
              <w:rPr>
                <w:sz w:val="16"/>
                <w:szCs w:val="16"/>
                <w:color w:val="auto"/>
              </w:rPr>
            </w:pPr>
          </w:p>
        </w:tc>
      </w:tr>
      <w:tr>
        <w:trPr>
          <w:trHeight w:val="39"/>
        </w:trPr>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8"/>
        </w:trPr>
        <w:tc>
          <w:tcPr>
            <w:tcW w:w="16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w w:val="98"/>
              </w:rPr>
              <w:t xml:space="preserve">Other advanced RET-altered solid tumors </w:t>
            </w:r>
            <w:r>
              <w:rPr>
                <w:rFonts w:ascii="Arial" w:cs="Arial" w:eastAsia="Arial" w:hAnsi="Arial"/>
                <w:sz w:val="7"/>
                <w:szCs w:val="7"/>
                <w:color w:val="auto"/>
                <w:w w:val="98"/>
              </w:rPr>
              <w:t>(1)</w:t>
            </w:r>
          </w:p>
        </w:tc>
        <w:tc>
          <w:tcPr>
            <w:tcW w:w="2820" w:type="dxa"/>
            <w:vAlign w:val="bottom"/>
          </w:tcPr>
          <w:p>
            <w:pPr>
              <w:ind w:left="160"/>
              <w:spacing w:after="0"/>
              <w:rPr>
                <w:sz w:val="20"/>
                <w:szCs w:val="20"/>
                <w:color w:val="auto"/>
              </w:rPr>
            </w:pPr>
            <w:r>
              <w:rPr>
                <w:rFonts w:ascii="Arial" w:cs="Arial" w:eastAsia="Arial" w:hAnsi="Arial"/>
                <w:sz w:val="14"/>
                <w:szCs w:val="14"/>
                <w:color w:val="auto"/>
              </w:rPr>
              <w:t xml:space="preserve">Phase 1 ongoing </w:t>
            </w:r>
            <w:r>
              <w:rPr>
                <w:rFonts w:ascii="Arial" w:cs="Arial" w:eastAsia="Arial" w:hAnsi="Arial"/>
                <w:sz w:val="14"/>
                <w:szCs w:val="14"/>
                <w:i w:val="1"/>
                <w:iCs w:val="1"/>
                <w:color w:val="auto"/>
              </w:rPr>
              <w:t>(ARROW)</w:t>
            </w:r>
          </w:p>
        </w:tc>
        <w:tc>
          <w:tcPr>
            <w:tcW w:w="1580" w:type="dxa"/>
            <w:vAlign w:val="bottom"/>
          </w:tcPr>
          <w:p>
            <w:pPr>
              <w:spacing w:after="0"/>
              <w:rPr>
                <w:sz w:val="17"/>
                <w:szCs w:val="17"/>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2"/>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8"/>
        </w:trPr>
        <w:tc>
          <w:tcPr>
            <w:tcW w:w="1680" w:type="dxa"/>
            <w:vAlign w:val="bottom"/>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w:t>
            </w:r>
          </w:p>
        </w:tc>
        <w:tc>
          <w:tcPr>
            <w:tcW w:w="2680" w:type="dxa"/>
            <w:vAlign w:val="bottom"/>
            <w:gridSpan w:val="2"/>
          </w:tcPr>
          <w:p>
            <w:pPr>
              <w:spacing w:after="0"/>
              <w:rPr>
                <w:sz w:val="20"/>
                <w:szCs w:val="20"/>
                <w:color w:val="auto"/>
              </w:rPr>
            </w:pPr>
            <w:r>
              <w:rPr>
                <w:rFonts w:ascii="Arial" w:cs="Arial" w:eastAsia="Arial" w:hAnsi="Arial"/>
                <w:sz w:val="14"/>
                <w:szCs w:val="14"/>
                <w:color w:val="auto"/>
              </w:rPr>
              <w:t>Advanced HCC</w:t>
            </w:r>
          </w:p>
        </w:tc>
        <w:tc>
          <w:tcPr>
            <w:tcW w:w="2820" w:type="dxa"/>
            <w:vAlign w:val="bottom"/>
          </w:tcPr>
          <w:p>
            <w:pPr>
              <w:ind w:left="160"/>
              <w:spacing w:after="0"/>
              <w:rPr>
                <w:sz w:val="20"/>
                <w:szCs w:val="20"/>
                <w:color w:val="auto"/>
              </w:rPr>
            </w:pPr>
            <w:r>
              <w:rPr>
                <w:rFonts w:ascii="Arial" w:cs="Arial" w:eastAsia="Arial" w:hAnsi="Arial"/>
                <w:sz w:val="14"/>
                <w:szCs w:val="14"/>
                <w:color w:val="auto"/>
              </w:rPr>
              <w:t>Phase 1 ongoing</w:t>
            </w:r>
          </w:p>
        </w:tc>
        <w:tc>
          <w:tcPr>
            <w:tcW w:w="1580" w:type="dxa"/>
            <w:vAlign w:val="bottom"/>
          </w:tcPr>
          <w:p>
            <w:pPr>
              <w:ind w:left="80"/>
              <w:spacing w:after="0"/>
              <w:rPr>
                <w:sz w:val="20"/>
                <w:szCs w:val="20"/>
                <w:color w:val="auto"/>
              </w:rPr>
            </w:pPr>
            <w:r>
              <w:rPr>
                <w:rFonts w:ascii="Arial" w:cs="Arial" w:eastAsia="Arial" w:hAnsi="Arial"/>
                <w:sz w:val="14"/>
                <w:szCs w:val="14"/>
                <w:color w:val="auto"/>
              </w:rPr>
              <w:t xml:space="preserve">Blueprint Medicines </w:t>
            </w:r>
            <w:r>
              <w:rPr>
                <w:rFonts w:ascii="Arial" w:cs="Arial" w:eastAsia="Arial" w:hAnsi="Arial"/>
                <w:sz w:val="7"/>
                <w:szCs w:val="7"/>
                <w:color w:val="auto"/>
              </w:rPr>
              <w:t>(2)</w:t>
            </w:r>
          </w:p>
        </w:tc>
      </w:tr>
      <w:tr>
        <w:trPr>
          <w:trHeight w:val="189"/>
        </w:trPr>
        <w:tc>
          <w:tcPr>
            <w:tcW w:w="1680" w:type="dxa"/>
            <w:vAlign w:val="bottom"/>
          </w:tcPr>
          <w:p>
            <w:pPr>
              <w:ind w:left="200"/>
              <w:spacing w:after="0"/>
              <w:rPr>
                <w:sz w:val="20"/>
                <w:szCs w:val="20"/>
                <w:color w:val="auto"/>
              </w:rPr>
            </w:pPr>
            <w:r>
              <w:rPr>
                <w:rFonts w:ascii="Arial" w:cs="Arial" w:eastAsia="Arial" w:hAnsi="Arial"/>
                <w:sz w:val="14"/>
                <w:szCs w:val="14"/>
                <w:i w:val="1"/>
                <w:iCs w:val="1"/>
                <w:color w:val="auto"/>
              </w:rPr>
              <w:t>(FGFR4)</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9"/>
        </w:trPr>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56"/>
        </w:trPr>
        <w:tc>
          <w:tcPr>
            <w:tcW w:w="1680" w:type="dxa"/>
            <w:vAlign w:val="bottom"/>
          </w:tcPr>
          <w:p>
            <w:pPr>
              <w:spacing w:after="0"/>
              <w:rPr>
                <w:sz w:val="13"/>
                <w:szCs w:val="13"/>
                <w:color w:val="auto"/>
              </w:rPr>
            </w:pPr>
          </w:p>
        </w:tc>
        <w:tc>
          <w:tcPr>
            <w:tcW w:w="2680" w:type="dxa"/>
            <w:vAlign w:val="bottom"/>
            <w:gridSpan w:val="2"/>
          </w:tcPr>
          <w:p>
            <w:pPr>
              <w:spacing w:after="0" w:line="155" w:lineRule="exact"/>
              <w:rPr>
                <w:sz w:val="20"/>
                <w:szCs w:val="20"/>
                <w:color w:val="auto"/>
              </w:rPr>
            </w:pPr>
            <w:r>
              <w:rPr>
                <w:rFonts w:ascii="Arial" w:cs="Arial" w:eastAsia="Arial" w:hAnsi="Arial"/>
                <w:sz w:val="14"/>
                <w:szCs w:val="14"/>
                <w:color w:val="auto"/>
              </w:rPr>
              <w:t>Advanced HCC</w:t>
            </w:r>
          </w:p>
        </w:tc>
        <w:tc>
          <w:tcPr>
            <w:tcW w:w="2820" w:type="dxa"/>
            <w:vAlign w:val="bottom"/>
          </w:tcPr>
          <w:p>
            <w:pPr>
              <w:ind w:left="160"/>
              <w:spacing w:after="0" w:line="155" w:lineRule="exact"/>
              <w:rPr>
                <w:sz w:val="20"/>
                <w:szCs w:val="20"/>
                <w:color w:val="auto"/>
              </w:rPr>
            </w:pPr>
            <w:r>
              <w:rPr>
                <w:rFonts w:ascii="Arial" w:cs="Arial" w:eastAsia="Arial" w:hAnsi="Arial"/>
                <w:sz w:val="14"/>
                <w:szCs w:val="14"/>
                <w:color w:val="auto"/>
                <w:w w:val="98"/>
              </w:rPr>
              <w:t>Phase 1 combination with CS1001 planned</w:t>
            </w:r>
          </w:p>
        </w:tc>
        <w:tc>
          <w:tcPr>
            <w:tcW w:w="1580" w:type="dxa"/>
            <w:vAlign w:val="bottom"/>
          </w:tcPr>
          <w:p>
            <w:pPr>
              <w:spacing w:after="0"/>
              <w:rPr>
                <w:sz w:val="13"/>
                <w:szCs w:val="13"/>
                <w:color w:val="auto"/>
              </w:rPr>
            </w:pPr>
          </w:p>
        </w:tc>
      </w:tr>
      <w:tr>
        <w:trPr>
          <w:trHeight w:val="182"/>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rPr>
              <w:t>for 2H 2019</w:t>
            </w:r>
          </w:p>
        </w:tc>
        <w:tc>
          <w:tcPr>
            <w:tcW w:w="1580" w:type="dxa"/>
            <w:vAlign w:val="bottom"/>
          </w:tcPr>
          <w:p>
            <w:pPr>
              <w:spacing w:after="0"/>
              <w:rPr>
                <w:sz w:val="15"/>
                <w:szCs w:val="15"/>
                <w:color w:val="auto"/>
              </w:rPr>
            </w:pPr>
          </w:p>
        </w:tc>
      </w:tr>
      <w:tr>
        <w:trPr>
          <w:trHeight w:val="34"/>
        </w:trPr>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4"/>
                <w:szCs w:val="14"/>
                <w:color w:val="auto"/>
              </w:rPr>
              <w:t>BLU-782</w:t>
            </w:r>
          </w:p>
        </w:tc>
        <w:tc>
          <w:tcPr>
            <w:tcW w:w="2680" w:type="dxa"/>
            <w:vAlign w:val="bottom"/>
            <w:gridSpan w:val="2"/>
          </w:tcPr>
          <w:p>
            <w:pPr>
              <w:spacing w:after="0"/>
              <w:rPr>
                <w:sz w:val="20"/>
                <w:szCs w:val="20"/>
                <w:color w:val="auto"/>
              </w:rPr>
            </w:pPr>
            <w:r>
              <w:rPr>
                <w:rFonts w:ascii="Arial" w:cs="Arial" w:eastAsia="Arial" w:hAnsi="Arial"/>
                <w:sz w:val="14"/>
                <w:szCs w:val="14"/>
                <w:color w:val="auto"/>
              </w:rPr>
              <w:t>FOP</w:t>
            </w:r>
          </w:p>
        </w:tc>
        <w:tc>
          <w:tcPr>
            <w:tcW w:w="2820" w:type="dxa"/>
            <w:vAlign w:val="bottom"/>
          </w:tcPr>
          <w:p>
            <w:pPr>
              <w:ind w:left="160"/>
              <w:spacing w:after="0"/>
              <w:rPr>
                <w:sz w:val="20"/>
                <w:szCs w:val="20"/>
                <w:color w:val="auto"/>
              </w:rPr>
            </w:pPr>
            <w:r>
              <w:rPr>
                <w:rFonts w:ascii="Arial" w:cs="Arial" w:eastAsia="Arial" w:hAnsi="Arial"/>
                <w:sz w:val="14"/>
                <w:szCs w:val="14"/>
                <w:color w:val="auto"/>
              </w:rPr>
              <w:t>Phase 1 in healthy volunteers ongoing</w:t>
            </w:r>
          </w:p>
        </w:tc>
        <w:tc>
          <w:tcPr>
            <w:tcW w:w="1580" w:type="dxa"/>
            <w:vAlign w:val="bottom"/>
          </w:tcPr>
          <w:p>
            <w:pPr>
              <w:ind w:left="80"/>
              <w:spacing w:after="0"/>
              <w:rPr>
                <w:sz w:val="20"/>
                <w:szCs w:val="20"/>
                <w:color w:val="auto"/>
              </w:rPr>
            </w:pPr>
            <w:r>
              <w:rPr>
                <w:rFonts w:ascii="Arial" w:cs="Arial" w:eastAsia="Arial" w:hAnsi="Arial"/>
                <w:sz w:val="14"/>
                <w:szCs w:val="14"/>
                <w:color w:val="auto"/>
              </w:rPr>
              <w:t>Blueprint Medicines</w:t>
            </w:r>
          </w:p>
        </w:tc>
      </w:tr>
      <w:tr>
        <w:trPr>
          <w:trHeight w:val="189"/>
        </w:trPr>
        <w:tc>
          <w:tcPr>
            <w:tcW w:w="1680" w:type="dxa"/>
            <w:vAlign w:val="bottom"/>
          </w:tcPr>
          <w:p>
            <w:pPr>
              <w:ind w:left="200"/>
              <w:spacing w:after="0"/>
              <w:rPr>
                <w:sz w:val="20"/>
                <w:szCs w:val="20"/>
                <w:color w:val="auto"/>
              </w:rPr>
            </w:pPr>
            <w:r>
              <w:rPr>
                <w:rFonts w:ascii="Arial" w:cs="Arial" w:eastAsia="Arial" w:hAnsi="Arial"/>
                <w:sz w:val="14"/>
                <w:szCs w:val="14"/>
                <w:i w:val="1"/>
                <w:iCs w:val="1"/>
                <w:color w:val="auto"/>
              </w:rPr>
              <w:t>(ALK2)</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4"/>
                <w:szCs w:val="14"/>
                <w:color w:val="auto"/>
                <w:w w:val="93"/>
              </w:rPr>
              <w:t>Phase 2 in FOP patients planned for 1H 2020</w:t>
            </w:r>
          </w:p>
        </w:tc>
        <w:tc>
          <w:tcPr>
            <w:tcW w:w="1580" w:type="dxa"/>
            <w:vAlign w:val="bottom"/>
          </w:tcPr>
          <w:p>
            <w:pPr>
              <w:spacing w:after="0"/>
              <w:rPr>
                <w:sz w:val="16"/>
                <w:szCs w:val="16"/>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4"/>
                <w:szCs w:val="14"/>
                <w:color w:val="auto"/>
              </w:rPr>
              <w:t>Cancer immunotherapy</w:t>
            </w:r>
          </w:p>
        </w:tc>
        <w:tc>
          <w:tcPr>
            <w:tcW w:w="2680" w:type="dxa"/>
            <w:vAlign w:val="bottom"/>
            <w:gridSpan w:val="2"/>
          </w:tcPr>
          <w:p>
            <w:pPr>
              <w:spacing w:after="0"/>
              <w:rPr>
                <w:sz w:val="20"/>
                <w:szCs w:val="20"/>
                <w:color w:val="auto"/>
              </w:rPr>
            </w:pPr>
            <w:r>
              <w:rPr>
                <w:rFonts w:ascii="Arial" w:cs="Arial" w:eastAsia="Arial" w:hAnsi="Arial"/>
                <w:sz w:val="14"/>
                <w:szCs w:val="14"/>
                <w:color w:val="auto"/>
              </w:rPr>
              <w:t>Oncology</w:t>
            </w:r>
          </w:p>
        </w:tc>
        <w:tc>
          <w:tcPr>
            <w:tcW w:w="2820" w:type="dxa"/>
            <w:vAlign w:val="bottom"/>
          </w:tcPr>
          <w:p>
            <w:pPr>
              <w:ind w:left="160"/>
              <w:spacing w:after="0"/>
              <w:rPr>
                <w:sz w:val="20"/>
                <w:szCs w:val="20"/>
                <w:color w:val="auto"/>
              </w:rPr>
            </w:pPr>
            <w:r>
              <w:rPr>
                <w:rFonts w:ascii="Arial" w:cs="Arial" w:eastAsia="Arial" w:hAnsi="Arial"/>
                <w:sz w:val="14"/>
                <w:szCs w:val="14"/>
                <w:color w:val="auto"/>
              </w:rPr>
              <w:t>Undisclosed</w:t>
            </w:r>
          </w:p>
        </w:tc>
        <w:tc>
          <w:tcPr>
            <w:tcW w:w="1580" w:type="dxa"/>
            <w:vAlign w:val="bottom"/>
          </w:tcPr>
          <w:p>
            <w:pPr>
              <w:ind w:left="80"/>
              <w:spacing w:after="0"/>
              <w:rPr>
                <w:sz w:val="20"/>
                <w:szCs w:val="20"/>
                <w:color w:val="auto"/>
              </w:rPr>
            </w:pPr>
            <w:r>
              <w:rPr>
                <w:rFonts w:ascii="Arial" w:cs="Arial" w:eastAsia="Arial" w:hAnsi="Arial"/>
                <w:sz w:val="14"/>
                <w:szCs w:val="14"/>
                <w:color w:val="auto"/>
              </w:rPr>
              <w:t xml:space="preserve">Blueprint Medicines </w:t>
            </w:r>
            <w:r>
              <w:rPr>
                <w:rFonts w:ascii="Arial" w:cs="Arial" w:eastAsia="Arial" w:hAnsi="Arial"/>
                <w:sz w:val="7"/>
                <w:szCs w:val="7"/>
                <w:color w:val="auto"/>
              </w:rPr>
              <w:t>(3)</w:t>
            </w:r>
          </w:p>
        </w:tc>
      </w:tr>
      <w:tr>
        <w:trPr>
          <w:trHeight w:val="189"/>
        </w:trPr>
        <w:tc>
          <w:tcPr>
            <w:tcW w:w="1680" w:type="dxa"/>
            <w:vAlign w:val="bottom"/>
          </w:tcPr>
          <w:p>
            <w:pPr>
              <w:ind w:left="200"/>
              <w:spacing w:after="0"/>
              <w:rPr>
                <w:sz w:val="20"/>
                <w:szCs w:val="20"/>
                <w:color w:val="auto"/>
              </w:rPr>
            </w:pPr>
            <w:r>
              <w:rPr>
                <w:rFonts w:ascii="Arial" w:cs="Arial" w:eastAsia="Arial" w:hAnsi="Arial"/>
                <w:sz w:val="14"/>
                <w:szCs w:val="14"/>
                <w:i w:val="1"/>
                <w:iCs w:val="1"/>
                <w:color w:val="auto"/>
                <w:w w:val="99"/>
              </w:rPr>
              <w:t>(immunokinase targets)</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80" w:type="dxa"/>
            <w:vAlign w:val="bottom"/>
          </w:tcPr>
          <w:p>
            <w:pPr>
              <w:ind w:left="80"/>
              <w:spacing w:after="0"/>
              <w:rPr>
                <w:sz w:val="20"/>
                <w:szCs w:val="20"/>
                <w:color w:val="auto"/>
              </w:rPr>
            </w:pPr>
            <w:r>
              <w:rPr>
                <w:rFonts w:ascii="Arial" w:cs="Arial" w:eastAsia="Arial" w:hAnsi="Arial"/>
                <w:sz w:val="14"/>
                <w:szCs w:val="14"/>
                <w:color w:val="auto"/>
              </w:rPr>
              <w:t xml:space="preserve">Roche </w:t>
            </w:r>
            <w:r>
              <w:rPr>
                <w:rFonts w:ascii="Arial" w:cs="Arial" w:eastAsia="Arial" w:hAnsi="Arial"/>
                <w:sz w:val="7"/>
                <w:szCs w:val="7"/>
                <w:color w:val="auto"/>
              </w:rPr>
              <w:t>(4)</w:t>
            </w:r>
          </w:p>
        </w:tc>
      </w:tr>
      <w:tr>
        <w:trPr>
          <w:trHeight w:val="39"/>
        </w:trPr>
        <w:tc>
          <w:tcPr>
            <w:tcW w:w="1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ind w:left="1000" w:hanging="349"/>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Unresectable or metastatic disease</w:t>
      </w:r>
    </w:p>
    <w:p>
      <w:pPr>
        <w:ind w:left="980" w:right="39" w:hanging="329"/>
        <w:spacing w:after="0" w:line="201" w:lineRule="auto"/>
        <w:tabs>
          <w:tab w:leader="none" w:pos="1013" w:val="left"/>
        </w:tabs>
        <w:numPr>
          <w:ilvl w:val="0"/>
          <w:numId w:val="10"/>
        </w:numPr>
        <w:rPr>
          <w:rFonts w:ascii="Arial" w:cs="Arial" w:eastAsia="Arial" w:hAnsi="Arial"/>
          <w:sz w:val="14"/>
          <w:szCs w:val="14"/>
          <w:color w:val="auto"/>
        </w:rPr>
      </w:pPr>
      <w:r>
        <w:rPr>
          <w:rFonts w:ascii="Arial" w:cs="Arial" w:eastAsia="Arial" w:hAnsi="Arial"/>
          <w:sz w:val="14"/>
          <w:szCs w:val="14"/>
          <w:color w:val="auto"/>
        </w:rPr>
        <w:t>CStone Pharmaceuticals has exclusive rights to develop and commercialize in Mainland China, Hong Kong, Macau and Taiwan. Blueprint Medicines retains all rights in the rest of the world.</w:t>
      </w:r>
    </w:p>
    <w:p>
      <w:pPr>
        <w:ind w:left="1000" w:hanging="349"/>
        <w:spacing w:after="0" w:line="201" w:lineRule="auto"/>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Blueprint Medicines has U.S. commercialization rights for up to two programs.</w:t>
      </w:r>
    </w:p>
    <w:p>
      <w:pPr>
        <w:ind w:left="1000" w:hanging="349"/>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Roche has worldwide commercialization rights for up to three programs and ex-U.S. commercialization rights for up to two programs.</w:t>
      </w:r>
    </w:p>
    <w:p>
      <w:pPr>
        <w:spacing w:after="0" w:line="113" w:lineRule="exact"/>
        <w:rPr>
          <w:sz w:val="20"/>
          <w:szCs w:val="20"/>
          <w:color w:val="auto"/>
        </w:rPr>
      </w:pPr>
    </w:p>
    <w:p>
      <w:pPr>
        <w:ind w:right="39" w:firstLine="648"/>
        <w:spacing w:after="0" w:line="181" w:lineRule="exact"/>
        <w:rPr>
          <w:sz w:val="20"/>
          <w:szCs w:val="20"/>
          <w:color w:val="auto"/>
        </w:rPr>
      </w:pPr>
      <w:r>
        <w:rPr>
          <w:rFonts w:ascii="Arial" w:cs="Arial" w:eastAsia="Arial" w:hAnsi="Arial"/>
          <w:sz w:val="18"/>
          <w:szCs w:val="18"/>
          <w:color w:val="auto"/>
        </w:rPr>
        <w:t>All of our current clinical programs target patient populations with genomically defined diseases. Generally, as we advance our drug candidates through Phase 1 clinical development, we enrich our clinical trials by selecting patients most likely to respond to our drug candidates to confirm mechanistic and clinical proof-of-concept. We are also collaborating with third parties to develop and commercialize companion diagnostic tests for avapritinib in order to identify GIST patients with the PDGFRA D842V mutation, BLU-667 in order to identify NSCLC patients with RET fusions and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We also plan to collaborate with third parties to develop and commercialize a companion diagnostic test for avapritinib in order to identify GIST patients who do not test positive for the KIT V654A or T670I mutations. We may collaborate with other third parties in the future to develop and commercialize additional companion diagnostic tests or to develop assays to measure target engagement, pathway modulation and early response.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The table below lists the initial diseases and genomic drivers targeted by avapritinib, BLU-667, BLU-554 and BLU-782, and for each of these diseases, the corresponding estimated number of patients in the United States, France, Germany, Italy, Spain, the United Kingdom and Japan, or the Major Markets. In addition, the table lists the estimated frequency of the genomic alterations that we are initially targeting for each of these diseases.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120" w:type="dxa"/>
            <w:vAlign w:val="bottom"/>
            <w:tcBorders>
              <w:top w:val="single" w:sz="8" w:color="auto"/>
            </w:tcBorders>
            <w:shd w:val="clear" w:color="auto" w:fill="D9D9D9"/>
          </w:tcPr>
          <w:p>
            <w:pPr>
              <w:spacing w:after="0"/>
              <w:rPr>
                <w:sz w:val="16"/>
                <w:szCs w:val="16"/>
                <w:color w:val="auto"/>
              </w:rPr>
            </w:pPr>
          </w:p>
        </w:tc>
        <w:tc>
          <w:tcPr>
            <w:tcW w:w="60" w:type="dxa"/>
            <w:vAlign w:val="bottom"/>
            <w:tcBorders>
              <w:top w:val="single" w:sz="8" w:color="auto"/>
            </w:tcBorders>
            <w:shd w:val="clear" w:color="auto" w:fill="D9D9D9"/>
          </w:tcPr>
          <w:p>
            <w:pPr>
              <w:spacing w:after="0"/>
              <w:rPr>
                <w:sz w:val="16"/>
                <w:szCs w:val="16"/>
                <w:color w:val="auto"/>
              </w:rPr>
            </w:pPr>
          </w:p>
        </w:tc>
        <w:tc>
          <w:tcPr>
            <w:tcW w:w="980" w:type="dxa"/>
            <w:vAlign w:val="bottom"/>
            <w:tcBorders>
              <w:top w:val="single" w:sz="8" w:color="auto"/>
            </w:tcBorders>
            <w:shd w:val="clear" w:color="auto" w:fill="D9D9D9"/>
          </w:tcPr>
          <w:p>
            <w:pPr>
              <w:spacing w:after="0"/>
              <w:rPr>
                <w:sz w:val="16"/>
                <w:szCs w:val="16"/>
                <w:color w:val="auto"/>
              </w:rPr>
            </w:pPr>
          </w:p>
        </w:tc>
        <w:tc>
          <w:tcPr>
            <w:tcW w:w="2680" w:type="dxa"/>
            <w:vAlign w:val="bottom"/>
            <w:tcBorders>
              <w:top w:val="single" w:sz="8" w:color="auto"/>
            </w:tcBorders>
            <w:gridSpan w:val="2"/>
            <w:shd w:val="clear" w:color="auto" w:fill="D9D9D9"/>
          </w:tcPr>
          <w:p>
            <w:pPr>
              <w:ind w:left="380"/>
              <w:spacing w:after="0"/>
              <w:rPr>
                <w:sz w:val="20"/>
                <w:szCs w:val="20"/>
                <w:color w:val="auto"/>
              </w:rPr>
            </w:pPr>
            <w:r>
              <w:rPr>
                <w:rFonts w:ascii="Arial" w:cs="Arial" w:eastAsia="Arial" w:hAnsi="Arial"/>
                <w:sz w:val="14"/>
                <w:szCs w:val="14"/>
                <w:b w:val="1"/>
                <w:bCs w:val="1"/>
                <w:color w:val="auto"/>
              </w:rPr>
              <w:t xml:space="preserve">Estimated Number of Patients </w:t>
            </w:r>
            <w:r>
              <w:rPr>
                <w:rFonts w:ascii="Arial" w:cs="Arial" w:eastAsia="Arial" w:hAnsi="Arial"/>
                <w:sz w:val="7"/>
                <w:szCs w:val="7"/>
                <w:b w:val="1"/>
                <w:bCs w:val="1"/>
                <w:color w:val="auto"/>
              </w:rPr>
              <w:t>(1)</w:t>
            </w:r>
          </w:p>
        </w:tc>
        <w:tc>
          <w:tcPr>
            <w:tcW w:w="60" w:type="dxa"/>
            <w:vAlign w:val="bottom"/>
            <w:tcBorders>
              <w:top w:val="single" w:sz="8" w:color="auto"/>
            </w:tcBorders>
            <w:shd w:val="clear" w:color="auto" w:fill="D9D9D9"/>
          </w:tcPr>
          <w:p>
            <w:pPr>
              <w:spacing w:after="0"/>
              <w:rPr>
                <w:sz w:val="16"/>
                <w:szCs w:val="16"/>
                <w:color w:val="auto"/>
              </w:rPr>
            </w:pPr>
          </w:p>
        </w:tc>
        <w:tc>
          <w:tcPr>
            <w:tcW w:w="1680" w:type="dxa"/>
            <w:vAlign w:val="bottom"/>
            <w:tcBorders>
              <w:top w:val="single" w:sz="8" w:color="auto"/>
            </w:tcBorders>
            <w:shd w:val="clear" w:color="auto" w:fill="D9D9D9"/>
          </w:tcPr>
          <w:p>
            <w:pPr>
              <w:spacing w:after="0"/>
              <w:rPr>
                <w:sz w:val="16"/>
                <w:szCs w:val="16"/>
                <w:color w:val="auto"/>
              </w:rPr>
            </w:pPr>
          </w:p>
        </w:tc>
        <w:tc>
          <w:tcPr>
            <w:tcW w:w="178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shd w:val="clear" w:color="auto" w:fill="D9D9D9"/>
          </w:tcPr>
          <w:p>
            <w:pPr>
              <w:ind w:left="60"/>
              <w:spacing w:after="0"/>
              <w:rPr>
                <w:sz w:val="20"/>
                <w:szCs w:val="20"/>
                <w:color w:val="auto"/>
              </w:rPr>
            </w:pPr>
            <w:r>
              <w:rPr>
                <w:rFonts w:ascii="Arial" w:cs="Arial" w:eastAsia="Arial" w:hAnsi="Arial"/>
                <w:sz w:val="14"/>
                <w:szCs w:val="14"/>
                <w:b w:val="1"/>
                <w:bCs w:val="1"/>
                <w:color w:val="auto"/>
                <w:w w:val="99"/>
              </w:rPr>
              <w:t>Drug Candidate</w:t>
            </w:r>
          </w:p>
        </w:tc>
        <w:tc>
          <w:tcPr>
            <w:tcW w:w="60" w:type="dxa"/>
            <w:vAlign w:val="bottom"/>
            <w:shd w:val="clear" w:color="auto" w:fill="D9D9D9"/>
          </w:tcPr>
          <w:p>
            <w:pPr>
              <w:spacing w:after="0"/>
              <w:rPr>
                <w:sz w:val="12"/>
                <w:szCs w:val="12"/>
                <w:color w:val="auto"/>
              </w:rPr>
            </w:pPr>
          </w:p>
        </w:tc>
        <w:tc>
          <w:tcPr>
            <w:tcW w:w="980" w:type="dxa"/>
            <w:vAlign w:val="bottom"/>
            <w:vMerge w:val="restart"/>
            <w:shd w:val="clear" w:color="auto" w:fill="D9D9D9"/>
          </w:tcPr>
          <w:p>
            <w:pPr>
              <w:ind w:left="20"/>
              <w:spacing w:after="0"/>
              <w:rPr>
                <w:sz w:val="20"/>
                <w:szCs w:val="20"/>
                <w:color w:val="auto"/>
              </w:rPr>
            </w:pPr>
            <w:r>
              <w:rPr>
                <w:rFonts w:ascii="Arial" w:cs="Arial" w:eastAsia="Arial" w:hAnsi="Arial"/>
                <w:sz w:val="14"/>
                <w:szCs w:val="14"/>
                <w:b w:val="1"/>
                <w:bCs w:val="1"/>
                <w:color w:val="auto"/>
                <w:w w:val="92"/>
              </w:rPr>
              <w:t>Initial Diseases</w:t>
            </w:r>
          </w:p>
        </w:tc>
        <w:tc>
          <w:tcPr>
            <w:tcW w:w="1240" w:type="dxa"/>
            <w:vAlign w:val="bottom"/>
            <w:vMerge w:val="restart"/>
            <w:shd w:val="clear" w:color="auto" w:fill="D9D9D9"/>
          </w:tcPr>
          <w:p>
            <w:pPr>
              <w:ind w:left="240"/>
              <w:spacing w:after="0"/>
              <w:rPr>
                <w:sz w:val="20"/>
                <w:szCs w:val="20"/>
                <w:color w:val="auto"/>
              </w:rPr>
            </w:pPr>
            <w:r>
              <w:rPr>
                <w:rFonts w:ascii="Arial" w:cs="Arial" w:eastAsia="Arial" w:hAnsi="Arial"/>
                <w:sz w:val="14"/>
                <w:szCs w:val="14"/>
                <w:b w:val="1"/>
                <w:bCs w:val="1"/>
                <w:color w:val="auto"/>
              </w:rPr>
              <w:t>United States</w:t>
            </w:r>
          </w:p>
        </w:tc>
        <w:tc>
          <w:tcPr>
            <w:tcW w:w="1440" w:type="dxa"/>
            <w:vAlign w:val="bottom"/>
            <w:vMerge w:val="restart"/>
            <w:shd w:val="clear" w:color="auto" w:fill="D9D9D9"/>
          </w:tcPr>
          <w:p>
            <w:pPr>
              <w:ind w:left="100"/>
              <w:spacing w:after="0"/>
              <w:rPr>
                <w:sz w:val="20"/>
                <w:szCs w:val="20"/>
                <w:color w:val="auto"/>
              </w:rPr>
            </w:pPr>
            <w:r>
              <w:rPr>
                <w:rFonts w:ascii="Arial" w:cs="Arial" w:eastAsia="Arial" w:hAnsi="Arial"/>
                <w:sz w:val="14"/>
                <w:szCs w:val="14"/>
                <w:b w:val="1"/>
                <w:bCs w:val="1"/>
                <w:color w:val="auto"/>
              </w:rPr>
              <w:t>Total Major Markets</w:t>
            </w:r>
          </w:p>
        </w:tc>
        <w:tc>
          <w:tcPr>
            <w:tcW w:w="60" w:type="dxa"/>
            <w:vAlign w:val="bottom"/>
            <w:shd w:val="clear" w:color="auto" w:fill="D9D9D9"/>
          </w:tcPr>
          <w:p>
            <w:pPr>
              <w:spacing w:after="0"/>
              <w:rPr>
                <w:sz w:val="12"/>
                <w:szCs w:val="12"/>
                <w:color w:val="auto"/>
              </w:rPr>
            </w:pPr>
          </w:p>
        </w:tc>
        <w:tc>
          <w:tcPr>
            <w:tcW w:w="1680" w:type="dxa"/>
            <w:vAlign w:val="bottom"/>
            <w:vMerge w:val="restart"/>
            <w:shd w:val="clear" w:color="auto" w:fill="D9D9D9"/>
          </w:tcPr>
          <w:p>
            <w:pPr>
              <w:ind w:left="280"/>
              <w:spacing w:after="0"/>
              <w:rPr>
                <w:sz w:val="20"/>
                <w:szCs w:val="20"/>
                <w:color w:val="auto"/>
              </w:rPr>
            </w:pPr>
            <w:r>
              <w:rPr>
                <w:rFonts w:ascii="Arial" w:cs="Arial" w:eastAsia="Arial" w:hAnsi="Arial"/>
                <w:sz w:val="14"/>
                <w:szCs w:val="14"/>
                <w:b w:val="1"/>
                <w:bCs w:val="1"/>
                <w:color w:val="auto"/>
              </w:rPr>
              <w:t>Genomic Drivers</w:t>
            </w:r>
          </w:p>
        </w:tc>
        <w:tc>
          <w:tcPr>
            <w:tcW w:w="1780" w:type="dxa"/>
            <w:vAlign w:val="bottom"/>
            <w:shd w:val="clear" w:color="auto" w:fill="D9D9D9"/>
          </w:tcPr>
          <w:p>
            <w:pPr>
              <w:jc w:val="center"/>
              <w:spacing w:after="0" w:line="149" w:lineRule="exact"/>
              <w:rPr>
                <w:sz w:val="20"/>
                <w:szCs w:val="20"/>
                <w:color w:val="auto"/>
              </w:rPr>
            </w:pPr>
            <w:r>
              <w:rPr>
                <w:rFonts w:ascii="Arial" w:cs="Arial" w:eastAsia="Arial" w:hAnsi="Arial"/>
                <w:sz w:val="14"/>
                <w:szCs w:val="14"/>
                <w:b w:val="1"/>
                <w:bCs w:val="1"/>
                <w:color w:val="auto"/>
                <w:w w:val="92"/>
              </w:rPr>
              <w:t>Frequency of Alteration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20" w:type="dxa"/>
            <w:vAlign w:val="bottom"/>
            <w:tcBorders>
              <w:bottom w:val="single" w:sz="8" w:color="D9D9D9"/>
            </w:tcBorders>
            <w:vMerge w:val="continue"/>
            <w:shd w:val="clear" w:color="auto" w:fill="D9D9D9"/>
          </w:tcPr>
          <w:p>
            <w:pPr>
              <w:spacing w:after="0"/>
              <w:rPr>
                <w:sz w:val="19"/>
                <w:szCs w:val="19"/>
                <w:color w:val="auto"/>
              </w:rPr>
            </w:pPr>
          </w:p>
        </w:tc>
        <w:tc>
          <w:tcPr>
            <w:tcW w:w="60" w:type="dxa"/>
            <w:vAlign w:val="bottom"/>
            <w:tcBorders>
              <w:bottom w:val="single" w:sz="8" w:color="D9D9D9"/>
            </w:tcBorders>
            <w:shd w:val="clear" w:color="auto" w:fill="D9D9D9"/>
          </w:tcPr>
          <w:p>
            <w:pPr>
              <w:spacing w:after="0"/>
              <w:rPr>
                <w:sz w:val="19"/>
                <w:szCs w:val="19"/>
                <w:color w:val="auto"/>
              </w:rPr>
            </w:pPr>
          </w:p>
        </w:tc>
        <w:tc>
          <w:tcPr>
            <w:tcW w:w="980" w:type="dxa"/>
            <w:vAlign w:val="bottom"/>
            <w:tcBorders>
              <w:bottom w:val="single" w:sz="8" w:color="D9D9D9"/>
            </w:tcBorders>
            <w:vMerge w:val="continue"/>
            <w:shd w:val="clear" w:color="auto" w:fill="D9D9D9"/>
          </w:tcPr>
          <w:p>
            <w:pPr>
              <w:spacing w:after="0"/>
              <w:rPr>
                <w:sz w:val="19"/>
                <w:szCs w:val="19"/>
                <w:color w:val="auto"/>
              </w:rPr>
            </w:pPr>
          </w:p>
        </w:tc>
        <w:tc>
          <w:tcPr>
            <w:tcW w:w="1240" w:type="dxa"/>
            <w:vAlign w:val="bottom"/>
            <w:tcBorders>
              <w:bottom w:val="single" w:sz="8" w:color="D9D9D9"/>
            </w:tcBorders>
            <w:vMerge w:val="continue"/>
            <w:shd w:val="clear" w:color="auto" w:fill="D9D9D9"/>
          </w:tcPr>
          <w:p>
            <w:pPr>
              <w:spacing w:after="0"/>
              <w:rPr>
                <w:sz w:val="19"/>
                <w:szCs w:val="19"/>
                <w:color w:val="auto"/>
              </w:rPr>
            </w:pPr>
          </w:p>
        </w:tc>
        <w:tc>
          <w:tcPr>
            <w:tcW w:w="1440" w:type="dxa"/>
            <w:vAlign w:val="bottom"/>
            <w:tcBorders>
              <w:bottom w:val="single" w:sz="8" w:color="D9D9D9"/>
            </w:tcBorders>
            <w:vMerge w:val="continue"/>
            <w:shd w:val="clear" w:color="auto" w:fill="D9D9D9"/>
          </w:tcPr>
          <w:p>
            <w:pPr>
              <w:spacing w:after="0"/>
              <w:rPr>
                <w:sz w:val="19"/>
                <w:szCs w:val="19"/>
                <w:color w:val="auto"/>
              </w:rPr>
            </w:pPr>
          </w:p>
        </w:tc>
        <w:tc>
          <w:tcPr>
            <w:tcW w:w="60" w:type="dxa"/>
            <w:vAlign w:val="bottom"/>
            <w:tcBorders>
              <w:bottom w:val="single" w:sz="8" w:color="D9D9D9"/>
            </w:tcBorders>
            <w:shd w:val="clear" w:color="auto" w:fill="D9D9D9"/>
          </w:tcPr>
          <w:p>
            <w:pPr>
              <w:spacing w:after="0"/>
              <w:rPr>
                <w:sz w:val="19"/>
                <w:szCs w:val="19"/>
                <w:color w:val="auto"/>
              </w:rPr>
            </w:pPr>
          </w:p>
        </w:tc>
        <w:tc>
          <w:tcPr>
            <w:tcW w:w="1680" w:type="dxa"/>
            <w:vAlign w:val="bottom"/>
            <w:tcBorders>
              <w:bottom w:val="single" w:sz="8" w:color="D9D9D9"/>
            </w:tcBorders>
            <w:vMerge w:val="continue"/>
            <w:shd w:val="clear" w:color="auto" w:fill="D9D9D9"/>
          </w:tcPr>
          <w:p>
            <w:pPr>
              <w:spacing w:after="0"/>
              <w:rPr>
                <w:sz w:val="19"/>
                <w:szCs w:val="19"/>
                <w:color w:val="auto"/>
              </w:rPr>
            </w:pPr>
          </w:p>
        </w:tc>
        <w:tc>
          <w:tcPr>
            <w:tcW w:w="17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 of Patients)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3,200 first line</w:t>
            </w:r>
          </w:p>
        </w:tc>
        <w:tc>
          <w:tcPr>
            <w:tcW w:w="14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8,500 first line</w:t>
            </w:r>
          </w:p>
        </w:tc>
        <w:tc>
          <w:tcPr>
            <w:tcW w:w="17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D842V mutant PDGFRA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~5-6% of primary GIST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GIST</w:t>
            </w:r>
          </w:p>
        </w:tc>
        <w:tc>
          <w:tcPr>
            <w:tcW w:w="1240" w:type="dxa"/>
            <w:vAlign w:val="bottom"/>
            <w:vMerge w:val="restart"/>
          </w:tcPr>
          <w:p>
            <w:pPr>
              <w:ind w:left="40"/>
              <w:spacing w:after="0"/>
              <w:rPr>
                <w:sz w:val="20"/>
                <w:szCs w:val="20"/>
                <w:color w:val="auto"/>
              </w:rPr>
            </w:pPr>
            <w:r>
              <w:rPr>
                <w:rFonts w:ascii="Arial" w:cs="Arial" w:eastAsia="Arial" w:hAnsi="Arial"/>
                <w:sz w:val="14"/>
                <w:szCs w:val="14"/>
                <w:color w:val="auto"/>
              </w:rPr>
              <w:t>2,900 second line</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7,500 second line</w:t>
            </w:r>
          </w:p>
        </w:tc>
        <w:tc>
          <w:tcPr>
            <w:tcW w:w="6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4"/>
                <w:szCs w:val="14"/>
                <w:color w:val="auto"/>
              </w:rPr>
              <w:t>KIT mutations</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3"/>
              </w:rPr>
              <w:t>~80%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vMerge w:val="restart"/>
          </w:tcPr>
          <w:p>
            <w:pPr>
              <w:ind w:left="40"/>
              <w:spacing w:after="0"/>
              <w:rPr>
                <w:sz w:val="20"/>
                <w:szCs w:val="20"/>
                <w:color w:val="auto"/>
              </w:rPr>
            </w:pPr>
            <w:r>
              <w:rPr>
                <w:rFonts w:ascii="Arial" w:cs="Arial" w:eastAsia="Arial" w:hAnsi="Arial"/>
                <w:sz w:val="14"/>
                <w:szCs w:val="14"/>
                <w:color w:val="auto"/>
              </w:rPr>
              <w:t>3,400 ≥ third line</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7,400 ≥ third line</w:t>
            </w:r>
          </w:p>
        </w:tc>
        <w:tc>
          <w:tcPr>
            <w:tcW w:w="1740" w:type="dxa"/>
            <w:vAlign w:val="bottom"/>
            <w:gridSpan w:val="2"/>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rPr>
              <w:t>avapritinib</w:t>
            </w: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vMerge w:val="restart"/>
          </w:tcPr>
          <w:p>
            <w:pPr>
              <w:ind w:left="40"/>
              <w:spacing w:after="0"/>
              <w:rPr>
                <w:sz w:val="20"/>
                <w:szCs w:val="20"/>
                <w:color w:val="auto"/>
              </w:rPr>
            </w:pPr>
            <w:r>
              <w:rPr>
                <w:rFonts w:ascii="Arial" w:cs="Arial" w:eastAsia="Arial" w:hAnsi="Arial"/>
                <w:sz w:val="14"/>
                <w:szCs w:val="14"/>
                <w:color w:val="auto"/>
                <w:w w:val="94"/>
              </w:rPr>
              <w:t>1,100 advanced SM</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2,600 advanced SM</w:t>
            </w:r>
          </w:p>
        </w:tc>
        <w:tc>
          <w:tcPr>
            <w:tcW w:w="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SM</w:t>
            </w:r>
          </w:p>
        </w:tc>
        <w:tc>
          <w:tcPr>
            <w:tcW w:w="1240" w:type="dxa"/>
            <w:vAlign w:val="bottom"/>
          </w:tcPr>
          <w:p>
            <w:pPr>
              <w:ind w:left="40"/>
              <w:spacing w:after="0"/>
              <w:rPr>
                <w:sz w:val="20"/>
                <w:szCs w:val="20"/>
                <w:color w:val="auto"/>
              </w:rPr>
            </w:pPr>
            <w:r>
              <w:rPr>
                <w:rFonts w:ascii="Arial" w:cs="Arial" w:eastAsia="Arial" w:hAnsi="Arial"/>
                <w:sz w:val="14"/>
                <w:szCs w:val="14"/>
                <w:color w:val="auto"/>
                <w:w w:val="97"/>
              </w:rPr>
              <w:t>700 smoldering SM</w:t>
            </w:r>
          </w:p>
        </w:tc>
        <w:tc>
          <w:tcPr>
            <w:tcW w:w="1440" w:type="dxa"/>
            <w:vAlign w:val="bottom"/>
          </w:tcPr>
          <w:p>
            <w:pPr>
              <w:ind w:left="60"/>
              <w:spacing w:after="0"/>
              <w:rPr>
                <w:sz w:val="20"/>
                <w:szCs w:val="20"/>
                <w:color w:val="auto"/>
              </w:rPr>
            </w:pPr>
            <w:r>
              <w:rPr>
                <w:rFonts w:ascii="Arial" w:cs="Arial" w:eastAsia="Arial" w:hAnsi="Arial"/>
                <w:sz w:val="14"/>
                <w:szCs w:val="14"/>
                <w:color w:val="auto"/>
              </w:rPr>
              <w:t>1,800 smoldering SM</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KIT D816V mutation</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Arial" w:cs="Arial" w:eastAsia="Arial" w:hAnsi="Arial"/>
                <w:sz w:val="14"/>
                <w:szCs w:val="14"/>
                <w:color w:val="auto"/>
              </w:rPr>
              <w:t>6,700 indolent SM</w:t>
            </w:r>
          </w:p>
        </w:tc>
        <w:tc>
          <w:tcPr>
            <w:tcW w:w="1440" w:type="dxa"/>
            <w:vAlign w:val="bottom"/>
          </w:tcPr>
          <w:p>
            <w:pPr>
              <w:ind w:left="60"/>
              <w:spacing w:after="0"/>
              <w:rPr>
                <w:sz w:val="20"/>
                <w:szCs w:val="20"/>
                <w:color w:val="auto"/>
              </w:rPr>
            </w:pPr>
            <w:r>
              <w:rPr>
                <w:rFonts w:ascii="Arial" w:cs="Arial" w:eastAsia="Arial" w:hAnsi="Arial"/>
                <w:sz w:val="14"/>
                <w:szCs w:val="14"/>
                <w:color w:val="auto"/>
              </w:rPr>
              <w:t>16,300 indolent SM</w:t>
            </w: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NSCLC</w:t>
            </w:r>
          </w:p>
        </w:tc>
        <w:tc>
          <w:tcPr>
            <w:tcW w:w="1240" w:type="dxa"/>
            <w:vAlign w:val="bottom"/>
          </w:tcPr>
          <w:p>
            <w:pPr>
              <w:ind w:left="40"/>
              <w:spacing w:after="0"/>
              <w:rPr>
                <w:sz w:val="20"/>
                <w:szCs w:val="20"/>
                <w:color w:val="auto"/>
              </w:rPr>
            </w:pPr>
            <w:r>
              <w:rPr>
                <w:rFonts w:ascii="Arial" w:cs="Arial" w:eastAsia="Arial" w:hAnsi="Arial"/>
                <w:sz w:val="14"/>
                <w:szCs w:val="14"/>
                <w:color w:val="auto"/>
              </w:rPr>
              <w:t>147,300 first line</w:t>
            </w:r>
          </w:p>
        </w:tc>
        <w:tc>
          <w:tcPr>
            <w:tcW w:w="1440" w:type="dxa"/>
            <w:vAlign w:val="bottom"/>
          </w:tcPr>
          <w:p>
            <w:pPr>
              <w:ind w:left="60"/>
              <w:spacing w:after="0"/>
              <w:rPr>
                <w:sz w:val="20"/>
                <w:szCs w:val="20"/>
                <w:color w:val="auto"/>
              </w:rPr>
            </w:pPr>
            <w:r>
              <w:rPr>
                <w:rFonts w:ascii="Arial" w:cs="Arial" w:eastAsia="Arial" w:hAnsi="Arial"/>
                <w:sz w:val="14"/>
                <w:szCs w:val="14"/>
                <w:color w:val="auto"/>
              </w:rPr>
              <w:t>374,500 first line</w:t>
            </w:r>
          </w:p>
        </w:tc>
        <w:tc>
          <w:tcPr>
            <w:tcW w:w="1740" w:type="dxa"/>
            <w:vAlign w:val="bottom"/>
            <w:gridSpan w:val="2"/>
            <w:vMerge w:val="restart"/>
          </w:tcPr>
          <w:p>
            <w:pPr>
              <w:ind w:left="40"/>
              <w:spacing w:after="0"/>
              <w:rPr>
                <w:sz w:val="20"/>
                <w:szCs w:val="20"/>
                <w:color w:val="auto"/>
              </w:rPr>
            </w:pPr>
            <w:r>
              <w:rPr>
                <w:rFonts w:ascii="Arial" w:cs="Arial" w:eastAsia="Arial" w:hAnsi="Arial"/>
                <w:sz w:val="14"/>
                <w:szCs w:val="14"/>
                <w:color w:val="auto"/>
              </w:rPr>
              <w:t>RET fusions</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7"/>
              </w:rPr>
              <w:t>~1-2%</w:t>
            </w:r>
          </w:p>
        </w:tc>
        <w:tc>
          <w:tcPr>
            <w:tcW w:w="0" w:type="dxa"/>
            <w:vAlign w:val="bottom"/>
          </w:tcPr>
          <w:p>
            <w:pPr>
              <w:spacing w:after="0"/>
              <w:rPr>
                <w:sz w:val="1"/>
                <w:szCs w:val="1"/>
                <w:color w:val="auto"/>
              </w:rPr>
            </w:pPr>
          </w:p>
        </w:tc>
      </w:tr>
      <w:tr>
        <w:trPr>
          <w:trHeight w:val="95"/>
        </w:trPr>
        <w:tc>
          <w:tcPr>
            <w:tcW w:w="114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667</w:t>
            </w:r>
          </w:p>
        </w:tc>
        <w:tc>
          <w:tcPr>
            <w:tcW w:w="1040" w:type="dxa"/>
            <w:vAlign w:val="bottom"/>
            <w:gridSpan w:val="2"/>
            <w:vMerge w:val="continue"/>
          </w:tcPr>
          <w:p>
            <w:pPr>
              <w:spacing w:after="0"/>
              <w:rPr>
                <w:sz w:val="8"/>
                <w:szCs w:val="8"/>
                <w:color w:val="auto"/>
              </w:rPr>
            </w:pPr>
          </w:p>
        </w:tc>
        <w:tc>
          <w:tcPr>
            <w:tcW w:w="1240" w:type="dxa"/>
            <w:vAlign w:val="bottom"/>
            <w:vMerge w:val="restart"/>
          </w:tcPr>
          <w:p>
            <w:pPr>
              <w:ind w:left="40"/>
              <w:spacing w:after="0"/>
              <w:rPr>
                <w:sz w:val="20"/>
                <w:szCs w:val="20"/>
                <w:color w:val="auto"/>
              </w:rPr>
            </w:pPr>
            <w:r>
              <w:rPr>
                <w:rFonts w:ascii="Arial" w:cs="Arial" w:eastAsia="Arial" w:hAnsi="Arial"/>
                <w:sz w:val="14"/>
                <w:szCs w:val="14"/>
                <w:color w:val="auto"/>
              </w:rPr>
              <w:t>87,800 second line</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218,000 second line</w:t>
            </w:r>
          </w:p>
        </w:tc>
        <w:tc>
          <w:tcPr>
            <w:tcW w:w="174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MTC</w:t>
            </w:r>
          </w:p>
        </w:tc>
        <w:tc>
          <w:tcPr>
            <w:tcW w:w="1240" w:type="dxa"/>
            <w:vAlign w:val="bottom"/>
          </w:tcPr>
          <w:p>
            <w:pPr>
              <w:ind w:left="40"/>
              <w:spacing w:after="0"/>
              <w:rPr>
                <w:sz w:val="20"/>
                <w:szCs w:val="20"/>
                <w:color w:val="auto"/>
              </w:rPr>
            </w:pPr>
            <w:r>
              <w:rPr>
                <w:rFonts w:ascii="Arial" w:cs="Arial" w:eastAsia="Arial" w:hAnsi="Arial"/>
                <w:sz w:val="14"/>
                <w:szCs w:val="14"/>
                <w:color w:val="auto"/>
              </w:rPr>
              <w:t>650 all lines</w:t>
            </w:r>
          </w:p>
        </w:tc>
        <w:tc>
          <w:tcPr>
            <w:tcW w:w="1440" w:type="dxa"/>
            <w:vAlign w:val="bottom"/>
          </w:tcPr>
          <w:p>
            <w:pPr>
              <w:ind w:left="60"/>
              <w:spacing w:after="0"/>
              <w:rPr>
                <w:sz w:val="20"/>
                <w:szCs w:val="20"/>
                <w:color w:val="auto"/>
              </w:rPr>
            </w:pPr>
            <w:r>
              <w:rPr>
                <w:rFonts w:ascii="Arial" w:cs="Arial" w:eastAsia="Arial" w:hAnsi="Arial"/>
                <w:sz w:val="14"/>
                <w:szCs w:val="14"/>
                <w:color w:val="auto"/>
              </w:rPr>
              <w:t>1,300 all lines</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RET mutations</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~60%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140" w:type="dxa"/>
            <w:vAlign w:val="bottom"/>
            <w:gridSpan w:val="2"/>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 xml:space="preserve">HCC </w:t>
            </w:r>
            <w:r>
              <w:rPr>
                <w:rFonts w:ascii="Arial" w:cs="Arial" w:eastAsia="Arial" w:hAnsi="Arial"/>
                <w:sz w:val="14"/>
                <w:szCs w:val="14"/>
                <w:color w:val="auto"/>
                <w:vertAlign w:val="superscript"/>
              </w:rPr>
              <w:t>(2)</w:t>
            </w:r>
          </w:p>
        </w:tc>
        <w:tc>
          <w:tcPr>
            <w:tcW w:w="1240" w:type="dxa"/>
            <w:vAlign w:val="bottom"/>
          </w:tcPr>
          <w:p>
            <w:pPr>
              <w:ind w:left="40"/>
              <w:spacing w:after="0"/>
              <w:rPr>
                <w:sz w:val="20"/>
                <w:szCs w:val="20"/>
                <w:color w:val="auto"/>
              </w:rPr>
            </w:pPr>
            <w:r>
              <w:rPr>
                <w:rFonts w:ascii="Arial" w:cs="Arial" w:eastAsia="Arial" w:hAnsi="Arial"/>
                <w:sz w:val="14"/>
                <w:szCs w:val="14"/>
                <w:color w:val="auto"/>
              </w:rPr>
              <w:t>20,200 first line</w:t>
            </w:r>
          </w:p>
        </w:tc>
        <w:tc>
          <w:tcPr>
            <w:tcW w:w="1440" w:type="dxa"/>
            <w:vAlign w:val="bottom"/>
          </w:tcPr>
          <w:p>
            <w:pPr>
              <w:ind w:left="60"/>
              <w:spacing w:after="0"/>
              <w:rPr>
                <w:sz w:val="20"/>
                <w:szCs w:val="20"/>
                <w:color w:val="auto"/>
              </w:rPr>
            </w:pPr>
            <w:r>
              <w:rPr>
                <w:rFonts w:ascii="Arial" w:cs="Arial" w:eastAsia="Arial" w:hAnsi="Arial"/>
                <w:sz w:val="14"/>
                <w:szCs w:val="14"/>
                <w:color w:val="auto"/>
              </w:rPr>
              <w:t>63,500 first line</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Aberrant FGFR4 signaling</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7,400 second line</w:t>
            </w: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22,700 second line</w:t>
            </w:r>
          </w:p>
        </w:tc>
        <w:tc>
          <w:tcPr>
            <w:tcW w:w="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40" w:type="dxa"/>
            <w:vAlign w:val="bottom"/>
            <w:gridSpan w:val="2"/>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782</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FOP</w:t>
            </w:r>
          </w:p>
        </w:tc>
        <w:tc>
          <w:tcPr>
            <w:tcW w:w="1240" w:type="dxa"/>
            <w:vAlign w:val="bottom"/>
          </w:tcPr>
          <w:p>
            <w:pPr>
              <w:ind w:left="40"/>
              <w:spacing w:after="0"/>
              <w:rPr>
                <w:sz w:val="20"/>
                <w:szCs w:val="20"/>
                <w:color w:val="auto"/>
              </w:rPr>
            </w:pPr>
            <w:r>
              <w:rPr>
                <w:rFonts w:ascii="Arial" w:cs="Arial" w:eastAsia="Arial" w:hAnsi="Arial"/>
                <w:sz w:val="14"/>
                <w:szCs w:val="14"/>
                <w:color w:val="auto"/>
              </w:rPr>
              <w:t>400 total</w:t>
            </w:r>
          </w:p>
        </w:tc>
        <w:tc>
          <w:tcPr>
            <w:tcW w:w="1440" w:type="dxa"/>
            <w:vAlign w:val="bottom"/>
          </w:tcPr>
          <w:p>
            <w:pPr>
              <w:ind w:left="60"/>
              <w:spacing w:after="0"/>
              <w:rPr>
                <w:sz w:val="20"/>
                <w:szCs w:val="20"/>
                <w:color w:val="auto"/>
              </w:rPr>
            </w:pPr>
            <w:r>
              <w:rPr>
                <w:rFonts w:ascii="Arial" w:cs="Arial" w:eastAsia="Arial" w:hAnsi="Arial"/>
                <w:sz w:val="14"/>
                <w:szCs w:val="14"/>
                <w:color w:val="auto"/>
              </w:rPr>
              <w:t>1,100 total</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ALK2 mutations</w:t>
            </w:r>
          </w:p>
        </w:tc>
        <w:tc>
          <w:tcPr>
            <w:tcW w:w="1780" w:type="dxa"/>
            <w:vAlign w:val="bottom"/>
          </w:tcPr>
          <w:p>
            <w:pPr>
              <w:jc w:val="center"/>
              <w:spacing w:after="0"/>
              <w:rPr>
                <w:sz w:val="20"/>
                <w:szCs w:val="20"/>
                <w:color w:val="auto"/>
              </w:rPr>
            </w:pPr>
            <w:r>
              <w:rPr>
                <w:rFonts w:ascii="Arial" w:cs="Arial" w:eastAsia="Arial" w:hAnsi="Arial"/>
                <w:sz w:val="14"/>
                <w:szCs w:val="14"/>
                <w:color w:val="auto"/>
                <w:w w:val="95"/>
              </w:rPr>
              <w:t>~100%</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80" w:right="360" w:hanging="329"/>
        <w:spacing w:after="0" w:line="210"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estimated prevalence for SM, MTC patients and FOP patients and estimated incidence for GIST, HCC and NSCLC patients. Estimates for GIST, HCC and NSCLC include metastatic and unresectable patient populations.</w:t>
      </w:r>
    </w:p>
    <w:p>
      <w:pPr>
        <w:ind w:left="980" w:right="320" w:hanging="329"/>
        <w:spacing w:after="0" w:line="153" w:lineRule="exact"/>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incidence of HCC outside of the Major Markets (including in China, South Korea, Taiwan and Singapore) represents an additional opportunity for BLU</w:t>
      </w:r>
      <w:r>
        <w:rPr>
          <w:rFonts w:ascii="MS PGothic" w:cs="MS PGothic" w:eastAsia="MS PGothic" w:hAnsi="MS PGothic"/>
          <w:sz w:val="14"/>
          <w:szCs w:val="14"/>
          <w:color w:val="auto"/>
        </w:rPr>
        <w:t>‑</w:t>
      </w:r>
      <w:r>
        <w:rPr>
          <w:rFonts w:ascii="Arial" w:cs="Arial" w:eastAsia="Arial" w:hAnsi="Arial"/>
          <w:sz w:val="14"/>
          <w:szCs w:val="14"/>
          <w:color w:val="auto"/>
        </w:rPr>
        <w:t>554.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 and PDGFRA Inhibitor Program (avapritinib)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Avapritinib is an orally available, potent and highly selective inhibitor that targets the homologous kinases KIT and PDGFRA, receptor tyrosine kinases that are drivers of cancer and proliferative disorders when abnormally activated. We specifically designed avapritinib to preferentially interact with the active conformation of KIT and PDGFRA to potently inhibit activation loop mutants not well-targeted by other agents, as well as a broad spectrum of other clinically relevant mutations. Avapritinib is able to potently and selectively inhibit both KIT and PDGFRA mutations with minimal inhibition of other kinases due to the high degree of structural similarity of the kinase domains of KIT and PDGFRA.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right="440"/>
        <w:spacing w:after="0" w:line="243" w:lineRule="auto"/>
        <w:rPr>
          <w:sz w:val="20"/>
          <w:szCs w:val="20"/>
          <w:color w:val="auto"/>
        </w:rPr>
      </w:pPr>
      <w:r>
        <w:rPr>
          <w:rFonts w:ascii="Arial" w:cs="Arial" w:eastAsia="Arial" w:hAnsi="Arial"/>
          <w:sz w:val="13"/>
          <w:szCs w:val="13"/>
          <w:color w:val="auto"/>
        </w:rPr>
        <w:t xml:space="preserve">Approximate kinome tree locations of KIT and PDGFRA, illustrating close structural similarity between these kinases. Each branch of the dendogram represents an individual human kinase. </w:t>
      </w:r>
      <w:r>
        <w:rPr>
          <w:rFonts w:ascii="Arial" w:cs="Arial" w:eastAsia="Arial" w:hAnsi="Arial"/>
          <w:sz w:val="13"/>
          <w:szCs w:val="13"/>
          <w:i w:val="1"/>
          <w:iCs w:val="1"/>
          <w:color w:val="auto"/>
        </w:rPr>
        <w:t>Kinome illustration reproduced courtesy of Cell Signaling Technology, Inc., or CSTI</w:t>
      </w:r>
      <w:r>
        <w:rPr>
          <w:rFonts w:ascii="Arial" w:cs="Arial" w:eastAsia="Arial" w:hAnsi="Arial"/>
          <w:sz w:val="13"/>
          <w:szCs w:val="13"/>
          <w:color w:val="auto"/>
        </w:rPr>
        <w:t xml:space="preserve"> </w:t>
      </w:r>
      <w:r>
        <w:rPr>
          <w:rFonts w:ascii="Arial" w:cs="Arial" w:eastAsia="Arial" w:hAnsi="Arial"/>
          <w:sz w:val="13"/>
          <w:szCs w:val="13"/>
          <w:i w:val="1"/>
          <w:iCs w:val="1"/>
          <w:color w:val="auto"/>
        </w:rPr>
        <w:t>(www.cellsignal.com). The foregoing website is maintained by CSTI, and Blueprint Medicines is not responsible for its content.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We are initially developing avapritinib for PDGFRA-driven GIST and KIT-driven GIST, which we collectively refer to as advanced GIST, and for SM, including advanced SM and indolent and smoldering SM. We also plan to evaluate further development of avapritinib in additional diseases driven by KIT and PDGFRA.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Gastrointestinal Stromal Tumors (GIST)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GIST Disease Background</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GIST is a rare disease that is a sarcoma of the GI tract. Tumors arise within cells in the wall of the GI tract and occur most often in the stomach or small intestine. Most patients are diagnosed between the ages of 50</w:t>
      </w:r>
      <w:r>
        <w:rPr>
          <w:rFonts w:ascii="MS PGothic" w:cs="MS PGothic" w:eastAsia="MS PGothic" w:hAnsi="MS PGothic"/>
          <w:sz w:val="18"/>
          <w:szCs w:val="18"/>
          <w:color w:val="auto"/>
        </w:rPr>
        <w:t>‑</w:t>
      </w:r>
      <w:r>
        <w:rPr>
          <w:rFonts w:ascii="Arial" w:cs="Arial" w:eastAsia="Arial" w:hAnsi="Arial"/>
          <w:sz w:val="18"/>
          <w:szCs w:val="18"/>
          <w:color w:val="auto"/>
        </w:rPr>
        <w:t>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The GIST treatment paradigm has advanced dramatically over the past 15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five</w:t>
      </w:r>
      <w:r>
        <w:rPr>
          <w:rFonts w:ascii="MS PGothic" w:cs="MS PGothic" w:eastAsia="MS PGothic" w:hAnsi="MS PGothic"/>
          <w:sz w:val="18"/>
          <w:szCs w:val="18"/>
          <w:color w:val="auto"/>
        </w:rPr>
        <w:t>‑</w:t>
      </w:r>
      <w:r>
        <w:rPr>
          <w:rFonts w:ascii="Arial" w:cs="Arial" w:eastAsia="Arial" w:hAnsi="Arial"/>
          <w:sz w:val="18"/>
          <w:szCs w:val="18"/>
          <w:color w:val="auto"/>
        </w:rPr>
        <w:t>year median overall survival. Unresectable or metastatic patients typically receive imatinib, followed by sunitinib and regorafenib as the disease progresses.</w:t>
      </w:r>
    </w:p>
    <w:p>
      <w:pPr>
        <w:spacing w:after="0" w:line="162"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For patients with KIT</w:t>
      </w:r>
      <w:r>
        <w:rPr>
          <w:rFonts w:ascii="MS PGothic" w:cs="MS PGothic" w:eastAsia="MS PGothic" w:hAnsi="MS PGothic"/>
          <w:sz w:val="18"/>
          <w:szCs w:val="18"/>
          <w:color w:val="auto"/>
        </w:rPr>
        <w:t>‑</w:t>
      </w:r>
      <w:r>
        <w:rPr>
          <w:rFonts w:ascii="Arial" w:cs="Arial" w:eastAsia="Arial" w:hAnsi="Arial"/>
          <w:sz w:val="18"/>
          <w:szCs w:val="18"/>
          <w:color w:val="auto"/>
        </w:rPr>
        <w:t>driven GIST, current medical therapies slow the course of disease, but progression is inevitable in most cases. Up to 50% of patients treated with frontline imatinib relapse within approximately 18 months. Of the secondary resistance mutations that lead to relapse, many of the mutations confer resistance to current treatments. A therapy that effectively suppresses a broad spectrum of KIT mutations and that is potentially amenable to combinations with existing agents is needed.</w:t>
      </w:r>
    </w:p>
    <w:p>
      <w:pPr>
        <w:spacing w:after="0" w:line="162"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8"/>
          <w:szCs w:val="18"/>
          <w:color w:val="auto"/>
        </w:rPr>
        <w:t>Patients with PDGFRA D842V</w:t>
      </w:r>
      <w:r>
        <w:rPr>
          <w:rFonts w:ascii="MS PGothic" w:cs="MS PGothic" w:eastAsia="MS PGothic" w:hAnsi="MS PGothic"/>
          <w:sz w:val="18"/>
          <w:szCs w:val="18"/>
          <w:color w:val="auto"/>
        </w:rPr>
        <w:t>‑</w:t>
      </w:r>
      <w:r>
        <w:rPr>
          <w:rFonts w:ascii="Arial" w:cs="Arial" w:eastAsia="Arial" w:hAnsi="Arial"/>
          <w:sz w:val="18"/>
          <w:szCs w:val="18"/>
          <w:color w:val="auto"/>
        </w:rPr>
        <w:t>driven GIST have great unmet medical need, as no approved medical therapies are effective. Progression can occur within as little as three months, and the median overall survival is 15 months for patients with advanced disease.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and PDGFRA Driver Mutations in GIST</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GIST is a tumor type that depends on continued signaling of a single, aberrantly active kinase. Most GISTs result from primary mutations in KIT or PDGFRA. Approximately 80% of patients have KIT</w:t>
      </w:r>
      <w:r>
        <w:rPr>
          <w:rFonts w:ascii="MS PGothic" w:cs="MS PGothic" w:eastAsia="MS PGothic" w:hAnsi="MS PGothic"/>
          <w:sz w:val="16"/>
          <w:szCs w:val="16"/>
          <w:color w:val="auto"/>
        </w:rPr>
        <w:t>‑</w:t>
      </w:r>
      <w:r>
        <w:rPr>
          <w:rFonts w:ascii="Arial" w:cs="Arial" w:eastAsia="Arial" w:hAnsi="Arial"/>
          <w:sz w:val="16"/>
          <w:szCs w:val="16"/>
          <w:color w:val="auto"/>
        </w:rPr>
        <w:t>driven GIST. Imatinib effectively inhibits most KIT primary mutations; however over time, secondary mutations occur elsewhere in the KIT gene that lead to kinase activation despite the presence of imatinib, thereby leading to disease progression. The most common mutation in the PDGFRA gene is D842V, found in approximately 5</w:t>
      </w:r>
      <w:r>
        <w:rPr>
          <w:rFonts w:ascii="MS PGothic" w:cs="MS PGothic" w:eastAsia="MS PGothic" w:hAnsi="MS PGothic"/>
          <w:sz w:val="16"/>
          <w:szCs w:val="16"/>
          <w:color w:val="auto"/>
        </w:rPr>
        <w:t>‑</w:t>
      </w:r>
      <w:r>
        <w:rPr>
          <w:rFonts w:ascii="Arial" w:cs="Arial" w:eastAsia="Arial" w:hAnsi="Arial"/>
          <w:sz w:val="16"/>
          <w:szCs w:val="16"/>
          <w:color w:val="auto"/>
        </w:rPr>
        <w:t>6% of frontline GIST patients. Currently, there are no therapeutic options for patients with D842V mutant PDGFRA-driven GIST. PDGFRA has a very similar active site structure to KIT, and the PDGFRA D842V mutation is homologous to KIT D816V. As in the case of KIT Exon 17 mutant receptors, the PDGFRA D842V mutation confers ligand</w:t>
      </w:r>
      <w:r>
        <w:rPr>
          <w:rFonts w:ascii="MS PGothic" w:cs="MS PGothic" w:eastAsia="MS PGothic" w:hAnsi="MS PGothic"/>
          <w:sz w:val="16"/>
          <w:szCs w:val="16"/>
          <w:color w:val="auto"/>
        </w:rPr>
        <w:t>‑</w:t>
      </w:r>
      <w:r>
        <w:rPr>
          <w:rFonts w:ascii="Arial" w:cs="Arial" w:eastAsia="Arial" w:hAnsi="Arial"/>
          <w:sz w:val="16"/>
          <w:szCs w:val="16"/>
          <w:color w:val="auto"/>
        </w:rPr>
        <w:t>independent constitutive signaling of the mutant PDGFRA kinase.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 – Clinical Development for Patients with Advanced GIST</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are currently evaluating avapritinib for the treatment of GIST in our ongoing Phase 1 NAVIGATOR trial and our ongoing global, randomized Phase 3 VOYAGER trial comparing avapritinib to regorafenib in third-line GIST. In November 2018, we reported updated data from the NAVIGATOR trial at the Connective Tissue Oncology Society, or CTOS, Annual Meeting, and in January 2019, we reported top-line data from the NAVIGATOR trial. We have completed enrollment of the NAVIGATOR trial, and we plan to present additional data from this trial in the second quarter of 2019. We expect to complete enrollment of the VOYAGER trial in the second half of 2019.We plan to initiate our Phase 3 COMPASS-2L trial in second-line GIST in the second half of 2019. In addition, we plan to submit an NDA for avapritinib for the treatment of PDGFRA Exon 18 mutant GIST and fourth-line GIST in the second quarter of 2019, and we plan to submit a supplemental NDA for the treatment of third-line GIST in 2020.</w:t>
      </w:r>
    </w:p>
    <w:p>
      <w:pPr>
        <w:spacing w:after="0" w:line="162"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The FDA has granted orphan drug designation to avapritinib for the treatment of GIST, and the European Commission has granted orphan medicinal product designation to avapritinib for the treatment of GIST. In addition, the FDA has granted fast track designation to avapritinib for (i) the treatment of patients with unresectable or metastatic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GIST that progressed following treatment with imatinib and a second TKI and (ii) the treatment of patients with unresectable or metastatic GIST with the PDGFRA D842V mutation regardless of prior therapy. The FDA has granted breakthrough therapy designation to avapritinib for the treatment of patients with unresectable or metastatic GIST harboring the PDGFRA D842V mutation.</w:t>
      </w:r>
    </w:p>
    <w:p>
      <w:pPr>
        <w:spacing w:after="0" w:line="163"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In August 2016, we entered into an agreement with a third party to develop and commercialize an assay as a companion diagnostic test to identify GIST patients with the PDGFRA D842V mutation for use with avapritinib. We are also working with patient advocacy groups relevant to GIST in order to raise awareness of our ongoing NAVIGATOR and VOYAGER trials; identify and use existing patient registries to identify patients for rapid enrollment; and incorporate the GIST patient perspective into our ongoing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NAVIGATOR Trial—Top-Line Data Reported in January</w:t>
      </w:r>
    </w:p>
    <w:p>
      <w:pPr>
        <w:spacing w:after="0" w:line="18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As of the data cutoff date of November 16, 2018, in 43 patients with PDGFRA Exon 18 mutant GIST treated with a starting dose of 300 or 400 mg QD, the objective response rate, or ORR, was 86 percent (one response pending confirmation), and the median duration of response, or DOR, was not reached. As of the data cutoff date, in 111 patients with fourth-line GIST treated with a starting dose of 300 or 400 mg QD, the ORR was 22 percent (one response pending confirmation), and the median DOR was 10.2 months. Top-line safety results were consistent with those previously reported at the CTOS Annual Meeting in November 2018. Avapritinib was well-tolerated, and most adverse events, or AEs, reported by investigators were Grade 1 or 2. Across all doses (n=237), only 23 patients (9.7 percent) discontinued treatment with avapritinib due to treatment-related AEs. These data will form the basis of our planned NDA submission for avapritinib for the treatment of patients with PDGFRA Exon 18 mutant GIST and fourth-line GIST in the second quarter of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NAVIGATOR Trial—Data Reported in November 2018 at the CTOS Annual Meeting</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As of the data cutoff date of October 15, 2018, 231 patients were treated with avapritinib in the dose escalation and expansion portions of the NAVIGATOR trial at eight dose levels, ranging from 30 mg QD to 600 mg QD. This population consisted of 167 patients with KIT-driven GIST, 56 patients with PDGFRA D842V-driven GIST and eight patients with other PDGFRA mutations. Patients in the expansion portion of the clinical trial were treated at the recommended Phase 2 dose of 300 mg QD.</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i w:val="1"/>
          <w:iCs w:val="1"/>
          <w:color w:val="auto"/>
        </w:rPr>
        <w:t xml:space="preserve">Safety Data. </w:t>
      </w:r>
      <w:r>
        <w:rPr>
          <w:rFonts w:ascii="Arial" w:cs="Arial" w:eastAsia="Arial" w:hAnsi="Arial"/>
          <w:sz w:val="16"/>
          <w:szCs w:val="16"/>
          <w:color w:val="auto"/>
        </w:rPr>
        <w:t>As of the data cutoff date, avapritinib was well-tolerated, and most AEs reported by investigators were</w:t>
      </w:r>
      <w:r>
        <w:rPr>
          <w:rFonts w:ascii="Arial" w:cs="Arial" w:eastAsia="Arial" w:hAnsi="Arial"/>
          <w:sz w:val="16"/>
          <w:szCs w:val="16"/>
          <w:i w:val="1"/>
          <w:iCs w:val="1"/>
          <w:color w:val="auto"/>
        </w:rPr>
        <w:t xml:space="preserve"> </w:t>
      </w:r>
      <w:r>
        <w:rPr>
          <w:rFonts w:ascii="Arial" w:cs="Arial" w:eastAsia="Arial" w:hAnsi="Arial"/>
          <w:sz w:val="16"/>
          <w:szCs w:val="16"/>
          <w:color w:val="auto"/>
        </w:rPr>
        <w:t>Grade 1 or 2. Across all doses, 20 patients (8.7 percent) discontinued treatment with avapritinib due to treatment-related AEs. Across all grades, the most common treatment-emergent AEs (regardless of relationship to avapritinib) reported by investigators (≥20 percent) included nausea (61 percent), fatigue (55 percent), anemia (46 percent), periorbital edema (40 percent), diarrhea (39 percent), vomiting (38 percent), decreased appetite (35 percent), peripheral edema (33 percent), increased lacrimation (31 percent), memory impairment (26 percent), constipation (23 percent), face edema (23 percent), hair color changes (21 percent) and dizziness (20 percent). Investigator-reported Grade 3 or 4 treatment-related AEs (≥2 percent) included anemia, fatigue, hypophosphatemia, increased bilirubin, decreased white blood count/neutropenia and diarrhea.</w:t>
      </w:r>
    </w:p>
    <w:p>
      <w:pPr>
        <w:spacing w:after="0" w:line="167"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i w:val="1"/>
          <w:iCs w:val="1"/>
          <w:color w:val="auto"/>
        </w:rPr>
        <w:t xml:space="preserve">Clinical Activity Data. </w:t>
      </w:r>
      <w:r>
        <w:rPr>
          <w:rFonts w:ascii="Arial" w:cs="Arial" w:eastAsia="Arial" w:hAnsi="Arial"/>
          <w:sz w:val="16"/>
          <w:szCs w:val="16"/>
          <w:color w:val="auto"/>
        </w:rPr>
        <w:t>As of the data cutoff date, the following patients were evaluable for response assessments: (i)</w:t>
      </w:r>
      <w:r>
        <w:rPr>
          <w:rFonts w:ascii="Arial" w:cs="Arial" w:eastAsia="Arial" w:hAnsi="Arial"/>
          <w:sz w:val="16"/>
          <w:szCs w:val="16"/>
          <w:i w:val="1"/>
          <w:iCs w:val="1"/>
          <w:color w:val="auto"/>
        </w:rPr>
        <w:t xml:space="preserve"> </w:t>
      </w:r>
      <w:r>
        <w:rPr>
          <w:rFonts w:ascii="Arial" w:cs="Arial" w:eastAsia="Arial" w:hAnsi="Arial"/>
          <w:sz w:val="16"/>
          <w:szCs w:val="16"/>
          <w:color w:val="auto"/>
        </w:rPr>
        <w:t>56 patients with PDGFRA D842V-driven GIST; (ii) 109 patients with fourth-line or later GIST, (iii) 23 patients with third- or fourth-line GIST who did not receive prior regorafenib (which is comparable to the VOYAGER trial population) and do not harbor the PDGFRA D842V mutation and (iv) 20 patients with second-line GIST who do not harbor the PDGFRA D842V mutation. Patients were evaluable if they had at least one centrally reviewed radiographic scan, and data are based on modified Response Evaluation Criteria in Solid Tumors version 1.1, or mRECIST 1.1 criteria, for GIST.</w:t>
      </w:r>
    </w:p>
    <w:p>
      <w:pPr>
        <w:spacing w:after="0" w:line="161"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Across multiple lines of therapy, avapritinib demonstrated important clinical activity in patients with PDGFRA- and KIT-driven GIST.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0" w:lineRule="exact"/>
        <w:rPr>
          <w:sz w:val="20"/>
          <w:szCs w:val="20"/>
          <w:color w:val="auto"/>
        </w:rPr>
      </w:pPr>
    </w:p>
    <w:tbl>
      <w:tblPr>
        <w:tblLayout w:type="fixed"/>
        <w:tblInd w:w="150" w:type="dxa"/>
        <w:tblCellMar>
          <w:top w:w="0" w:type="dxa"/>
          <w:left w:w="0" w:type="dxa"/>
          <w:bottom w:w="0" w:type="dxa"/>
          <w:right w:w="0" w:type="dxa"/>
        </w:tblCellMar>
      </w:tblPr>
      <w:tr>
        <w:trPr>
          <w:trHeight w:val="338"/>
        </w:trPr>
        <w:tc>
          <w:tcPr>
            <w:tcW w:w="21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GIST Population</w:t>
            </w:r>
          </w:p>
        </w:tc>
        <w:tc>
          <w:tcPr>
            <w:tcW w:w="9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Evaluable</w:t>
            </w:r>
          </w:p>
        </w:tc>
        <w:tc>
          <w:tcPr>
            <w:tcW w:w="5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ORR</w:t>
            </w:r>
          </w:p>
        </w:tc>
        <w:tc>
          <w:tcPr>
            <w:tcW w:w="1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Clinical Benefit Rate</w:t>
            </w:r>
          </w:p>
        </w:tc>
        <w:tc>
          <w:tcPr>
            <w:tcW w:w="18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Median DOR</w:t>
            </w:r>
          </w:p>
        </w:tc>
        <w:tc>
          <w:tcPr>
            <w:tcW w:w="1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Median PFS</w:t>
            </w: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right w:val="single" w:sz="8" w:color="auto"/>
            </w:tcBorders>
            <w:vMerge w:val="continue"/>
            <w:shd w:val="clear" w:color="auto" w:fill="D9D9D9"/>
          </w:tcPr>
          <w:p>
            <w:pPr>
              <w:spacing w:after="0"/>
              <w:rPr>
                <w:sz w:val="15"/>
                <w:szCs w:val="15"/>
                <w:color w:val="auto"/>
              </w:rPr>
            </w:pPr>
          </w:p>
        </w:tc>
        <w:tc>
          <w:tcPr>
            <w:tcW w:w="900" w:type="dxa"/>
            <w:vAlign w:val="bottom"/>
            <w:tcBorders>
              <w:right w:val="single" w:sz="8" w:color="auto"/>
            </w:tcBorders>
            <w:vMerge w:val="continue"/>
            <w:shd w:val="clear" w:color="auto" w:fill="D9D9D9"/>
          </w:tcPr>
          <w:p>
            <w:pPr>
              <w:spacing w:after="0"/>
              <w:rPr>
                <w:sz w:val="15"/>
                <w:szCs w:val="15"/>
                <w:color w:val="auto"/>
              </w:rPr>
            </w:pPr>
          </w:p>
        </w:tc>
        <w:tc>
          <w:tcPr>
            <w:tcW w:w="520" w:type="dxa"/>
            <w:vAlign w:val="bottom"/>
            <w:tcBorders>
              <w:right w:val="single" w:sz="8" w:color="auto"/>
            </w:tcBorders>
            <w:vMerge w:val="continue"/>
            <w:shd w:val="clear" w:color="auto" w:fill="D9D9D9"/>
          </w:tcPr>
          <w:p>
            <w:pPr>
              <w:spacing w:after="0"/>
              <w:rPr>
                <w:sz w:val="15"/>
                <w:szCs w:val="15"/>
                <w:color w:val="auto"/>
              </w:rPr>
            </w:pPr>
          </w:p>
        </w:tc>
        <w:tc>
          <w:tcPr>
            <w:tcW w:w="1680" w:type="dxa"/>
            <w:vAlign w:val="bottom"/>
            <w:tcBorders>
              <w:right w:val="single" w:sz="8" w:color="auto"/>
            </w:tcBorders>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3"/>
              </w:rPr>
              <w:t>at Four Months</w:t>
            </w:r>
          </w:p>
        </w:tc>
        <w:tc>
          <w:tcPr>
            <w:tcW w:w="1840" w:type="dxa"/>
            <w:vAlign w:val="bottom"/>
            <w:tcBorders>
              <w:right w:val="single" w:sz="8" w:color="auto"/>
            </w:tcBorders>
            <w:vMerge w:val="continue"/>
            <w:shd w:val="clear" w:color="auto" w:fill="D9D9D9"/>
          </w:tcPr>
          <w:p>
            <w:pPr>
              <w:spacing w:after="0"/>
              <w:rPr>
                <w:sz w:val="15"/>
                <w:szCs w:val="15"/>
                <w:color w:val="auto"/>
              </w:rPr>
            </w:pPr>
          </w:p>
        </w:tc>
        <w:tc>
          <w:tcPr>
            <w:tcW w:w="1740" w:type="dxa"/>
            <w:vAlign w:val="bottom"/>
            <w:tcBorders>
              <w:right w:val="single" w:sz="8" w:color="auto"/>
            </w:tcBorders>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2"/>
              </w:rPr>
              <w:t>Central Review</w:t>
            </w: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right w:val="single" w:sz="8" w:color="auto"/>
            </w:tcBorders>
            <w:shd w:val="clear" w:color="auto" w:fill="D9D9D9"/>
          </w:tcPr>
          <w:p>
            <w:pPr>
              <w:spacing w:after="0"/>
              <w:rPr>
                <w:sz w:val="15"/>
                <w:szCs w:val="15"/>
                <w:color w:val="auto"/>
              </w:rPr>
            </w:pPr>
          </w:p>
        </w:tc>
        <w:tc>
          <w:tcPr>
            <w:tcW w:w="900" w:type="dxa"/>
            <w:vAlign w:val="bottom"/>
            <w:tcBorders>
              <w:right w:val="single" w:sz="8" w:color="auto"/>
            </w:tcBorders>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88"/>
              </w:rPr>
              <w:t>Patients</w:t>
            </w:r>
          </w:p>
        </w:tc>
        <w:tc>
          <w:tcPr>
            <w:tcW w:w="520" w:type="dxa"/>
            <w:vAlign w:val="bottom"/>
            <w:tcBorders>
              <w:right w:val="single" w:sz="8" w:color="auto"/>
            </w:tcBorders>
            <w:shd w:val="clear" w:color="auto" w:fill="D9D9D9"/>
          </w:tcPr>
          <w:p>
            <w:pPr>
              <w:spacing w:after="0"/>
              <w:rPr>
                <w:sz w:val="15"/>
                <w:szCs w:val="15"/>
                <w:color w:val="auto"/>
              </w:rPr>
            </w:pP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(≥Two Scans)</w:t>
            </w:r>
          </w:p>
        </w:tc>
        <w:tc>
          <w:tcPr>
            <w:tcW w:w="1840" w:type="dxa"/>
            <w:vAlign w:val="bottom"/>
            <w:tcBorders>
              <w:right w:val="single" w:sz="8" w:color="auto"/>
            </w:tcBorders>
            <w:shd w:val="clear" w:color="auto" w:fill="D9D9D9"/>
          </w:tcPr>
          <w:p>
            <w:pPr>
              <w:spacing w:after="0"/>
              <w:rPr>
                <w:sz w:val="15"/>
                <w:szCs w:val="15"/>
                <w:color w:val="auto"/>
              </w:rPr>
            </w:pPr>
          </w:p>
        </w:tc>
        <w:tc>
          <w:tcPr>
            <w:tcW w:w="1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(Investigator Review)</w:t>
            </w:r>
          </w:p>
        </w:tc>
        <w:tc>
          <w:tcPr>
            <w:tcW w:w="0" w:type="dxa"/>
            <w:vAlign w:val="bottom"/>
          </w:tcPr>
          <w:p>
            <w:pPr>
              <w:spacing w:after="0"/>
              <w:rPr>
                <w:sz w:val="1"/>
                <w:szCs w:val="1"/>
                <w:color w:val="auto"/>
              </w:rPr>
            </w:pPr>
          </w:p>
        </w:tc>
      </w:tr>
      <w:tr>
        <w:trPr>
          <w:trHeight w:val="59"/>
        </w:trPr>
        <w:tc>
          <w:tcPr>
            <w:tcW w:w="2120" w:type="dxa"/>
            <w:vAlign w:val="bottom"/>
            <w:tcBorders>
              <w:left w:val="single" w:sz="8" w:color="auto"/>
              <w:right w:val="single" w:sz="8" w:color="auto"/>
            </w:tcBorders>
            <w:shd w:val="clear" w:color="auto" w:fill="D9D9D9"/>
          </w:tcPr>
          <w:p>
            <w:pPr>
              <w:spacing w:after="0"/>
              <w:rPr>
                <w:sz w:val="5"/>
                <w:szCs w:val="5"/>
                <w:color w:val="auto"/>
              </w:rPr>
            </w:pPr>
          </w:p>
        </w:tc>
        <w:tc>
          <w:tcPr>
            <w:tcW w:w="900" w:type="dxa"/>
            <w:vAlign w:val="bottom"/>
            <w:tcBorders>
              <w:right w:val="single" w:sz="8" w:color="auto"/>
            </w:tcBorders>
            <w:shd w:val="clear" w:color="auto" w:fill="D9D9D9"/>
          </w:tcPr>
          <w:p>
            <w:pPr>
              <w:spacing w:after="0"/>
              <w:rPr>
                <w:sz w:val="5"/>
                <w:szCs w:val="5"/>
                <w:color w:val="auto"/>
              </w:rPr>
            </w:pPr>
          </w:p>
        </w:tc>
        <w:tc>
          <w:tcPr>
            <w:tcW w:w="520" w:type="dxa"/>
            <w:vAlign w:val="bottom"/>
            <w:tcBorders>
              <w:right w:val="single" w:sz="8" w:color="auto"/>
            </w:tcBorders>
            <w:shd w:val="clear" w:color="auto" w:fill="D9D9D9"/>
          </w:tcPr>
          <w:p>
            <w:pPr>
              <w:spacing w:after="0"/>
              <w:rPr>
                <w:sz w:val="5"/>
                <w:szCs w:val="5"/>
                <w:color w:val="auto"/>
              </w:rPr>
            </w:pPr>
          </w:p>
        </w:tc>
        <w:tc>
          <w:tcPr>
            <w:tcW w:w="1680" w:type="dxa"/>
            <w:vAlign w:val="bottom"/>
            <w:tcBorders>
              <w:right w:val="single" w:sz="8" w:color="auto"/>
            </w:tcBorders>
            <w:vMerge w:val="continue"/>
            <w:shd w:val="clear" w:color="auto" w:fill="D9D9D9"/>
          </w:tcPr>
          <w:p>
            <w:pPr>
              <w:spacing w:after="0"/>
              <w:rPr>
                <w:sz w:val="5"/>
                <w:szCs w:val="5"/>
                <w:color w:val="auto"/>
              </w:rPr>
            </w:pPr>
          </w:p>
        </w:tc>
        <w:tc>
          <w:tcPr>
            <w:tcW w:w="1840" w:type="dxa"/>
            <w:vAlign w:val="bottom"/>
            <w:tcBorders>
              <w:right w:val="single" w:sz="8" w:color="auto"/>
            </w:tcBorders>
            <w:shd w:val="clear" w:color="auto" w:fill="D9D9D9"/>
          </w:tcPr>
          <w:p>
            <w:pPr>
              <w:spacing w:after="0"/>
              <w:rPr>
                <w:sz w:val="5"/>
                <w:szCs w:val="5"/>
                <w:color w:val="auto"/>
              </w:rPr>
            </w:pPr>
          </w:p>
        </w:tc>
        <w:tc>
          <w:tcPr>
            <w:tcW w:w="1740" w:type="dxa"/>
            <w:vAlign w:val="bottom"/>
            <w:tcBorders>
              <w:right w:val="single" w:sz="8" w:color="auto"/>
            </w:tcBorders>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12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900" w:type="dxa"/>
            <w:vAlign w:val="bottom"/>
            <w:tcBorders>
              <w:bottom w:val="single" w:sz="8" w:color="auto"/>
              <w:right w:val="single" w:sz="8" w:color="auto"/>
            </w:tcBorders>
            <w:shd w:val="clear" w:color="auto" w:fill="D9D9D9"/>
          </w:tcPr>
          <w:p>
            <w:pPr>
              <w:spacing w:after="0"/>
              <w:rPr>
                <w:sz w:val="13"/>
                <w:szCs w:val="13"/>
                <w:color w:val="auto"/>
              </w:rPr>
            </w:pPr>
          </w:p>
        </w:tc>
        <w:tc>
          <w:tcPr>
            <w:tcW w:w="520" w:type="dxa"/>
            <w:vAlign w:val="bottom"/>
            <w:tcBorders>
              <w:bottom w:val="single" w:sz="8" w:color="auto"/>
              <w:right w:val="single" w:sz="8" w:color="auto"/>
            </w:tcBorders>
            <w:shd w:val="clear" w:color="auto" w:fill="D9D9D9"/>
          </w:tcPr>
          <w:p>
            <w:pPr>
              <w:spacing w:after="0"/>
              <w:rPr>
                <w:sz w:val="13"/>
                <w:szCs w:val="13"/>
                <w:color w:val="auto"/>
              </w:rPr>
            </w:pPr>
          </w:p>
        </w:tc>
        <w:tc>
          <w:tcPr>
            <w:tcW w:w="1680" w:type="dxa"/>
            <w:vAlign w:val="bottom"/>
            <w:tcBorders>
              <w:bottom w:val="single" w:sz="8" w:color="auto"/>
              <w:right w:val="single" w:sz="8" w:color="auto"/>
            </w:tcBorders>
            <w:shd w:val="clear" w:color="auto" w:fill="D9D9D9"/>
          </w:tcPr>
          <w:p>
            <w:pPr>
              <w:spacing w:after="0"/>
              <w:rPr>
                <w:sz w:val="13"/>
                <w:szCs w:val="13"/>
                <w:color w:val="auto"/>
              </w:rPr>
            </w:pPr>
          </w:p>
        </w:tc>
        <w:tc>
          <w:tcPr>
            <w:tcW w:w="1840" w:type="dxa"/>
            <w:vAlign w:val="bottom"/>
            <w:tcBorders>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1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PDGFRA D842V</w:t>
            </w:r>
            <w:r>
              <w:rPr>
                <w:rFonts w:ascii="Arial" w:cs="Arial" w:eastAsia="Arial" w:hAnsi="Arial"/>
                <w:sz w:val="8"/>
                <w:szCs w:val="8"/>
                <w:color w:val="auto"/>
              </w:rPr>
              <w:t>a</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84%</w:t>
            </w:r>
            <w:r>
              <w:rPr>
                <w:rFonts w:ascii="Arial" w:cs="Arial" w:eastAsia="Arial" w:hAnsi="Arial"/>
                <w:sz w:val="8"/>
                <w:szCs w:val="8"/>
                <w:color w:val="auto"/>
                <w:w w:val="94"/>
              </w:rPr>
              <w:t>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96%</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Not estimable;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Not reached</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76% at 12 months</w:t>
            </w:r>
          </w:p>
        </w:tc>
        <w:tc>
          <w:tcPr>
            <w:tcW w:w="1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Fourth-line or later</w:t>
            </w:r>
            <w:r>
              <w:rPr>
                <w:rFonts w:ascii="Arial" w:cs="Arial" w:eastAsia="Arial" w:hAnsi="Arial"/>
                <w:sz w:val="8"/>
                <w:szCs w:val="8"/>
                <w:color w:val="auto"/>
                <w:w w:val="93"/>
              </w:rPr>
              <w:t>b,c</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109</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w:t>
            </w:r>
            <w:r>
              <w:rPr>
                <w:rFonts w:ascii="Arial" w:cs="Arial" w:eastAsia="Arial" w:hAnsi="Arial"/>
                <w:sz w:val="8"/>
                <w:szCs w:val="8"/>
                <w:color w:val="auto"/>
                <w:w w:val="93"/>
              </w:rPr>
              <w:t>g</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7.3 months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 months</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(5.4 months)</w:t>
            </w: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Regorafenib-naïve third-</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23</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26%</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70%</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10.2 months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8.6 months</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or fourth-line</w:t>
            </w:r>
            <w:r>
              <w:rPr>
                <w:rFonts w:ascii="Arial" w:cs="Arial" w:eastAsia="Arial" w:hAnsi="Arial"/>
                <w:sz w:val="8"/>
                <w:szCs w:val="8"/>
                <w:color w:val="auto"/>
                <w:w w:val="96"/>
              </w:rPr>
              <w:t>b,d</w:t>
            </w:r>
          </w:p>
        </w:tc>
        <w:tc>
          <w:tcPr>
            <w:tcW w:w="900" w:type="dxa"/>
            <w:vAlign w:val="bottom"/>
            <w:tcBorders>
              <w:right w:val="single" w:sz="8" w:color="auto"/>
            </w:tcBorders>
            <w:vMerge w:val="continue"/>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1680" w:type="dxa"/>
            <w:vAlign w:val="bottom"/>
            <w:tcBorders>
              <w:right w:val="single" w:sz="8" w:color="auto"/>
            </w:tcBorders>
            <w:vMerge w:val="continue"/>
          </w:tcPr>
          <w:p>
            <w:pPr>
              <w:spacing w:after="0"/>
              <w:rPr>
                <w:sz w:val="20"/>
                <w:szCs w:val="20"/>
                <w:color w:val="auto"/>
              </w:rPr>
            </w:pPr>
          </w:p>
        </w:tc>
        <w:tc>
          <w:tcPr>
            <w:tcW w:w="1840" w:type="dxa"/>
            <w:vAlign w:val="bottom"/>
            <w:tcBorders>
              <w:right w:val="single" w:sz="8" w:color="auto"/>
            </w:tcBorders>
            <w:vMerge w:val="continue"/>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(10.2 months)</w:t>
            </w:r>
          </w:p>
        </w:tc>
        <w:tc>
          <w:tcPr>
            <w:tcW w:w="0" w:type="dxa"/>
            <w:vAlign w:val="bottom"/>
          </w:tcPr>
          <w:p>
            <w:pPr>
              <w:spacing w:after="0"/>
              <w:rPr>
                <w:sz w:val="1"/>
                <w:szCs w:val="1"/>
                <w:color w:val="auto"/>
              </w:rPr>
            </w:pPr>
          </w:p>
        </w:tc>
      </w:tr>
      <w:tr>
        <w:trPr>
          <w:trHeight w:val="80"/>
        </w:trPr>
        <w:tc>
          <w:tcPr>
            <w:tcW w:w="212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Second-line</w:t>
            </w:r>
            <w:r>
              <w:rPr>
                <w:rFonts w:ascii="Arial" w:cs="Arial" w:eastAsia="Arial" w:hAnsi="Arial"/>
                <w:sz w:val="8"/>
                <w:szCs w:val="8"/>
                <w:color w:val="auto"/>
                <w:w w:val="90"/>
              </w:rPr>
              <w:t>d,e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w:t>
            </w:r>
            <w:r>
              <w:rPr>
                <w:rFonts w:ascii="Arial" w:cs="Arial" w:eastAsia="Arial" w:hAnsi="Arial"/>
                <w:sz w:val="8"/>
                <w:szCs w:val="8"/>
                <w:color w:val="auto"/>
                <w:w w:val="93"/>
              </w:rPr>
              <w:t>h</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NR</w:t>
            </w:r>
            <w:r>
              <w:rPr>
                <w:rFonts w:ascii="Arial" w:cs="Arial" w:eastAsia="Arial" w:hAnsi="Arial"/>
                <w:sz w:val="8"/>
                <w:szCs w:val="8"/>
                <w:color w:val="auto"/>
              </w:rPr>
              <w:t>i</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NR</w:t>
            </w:r>
            <w:r>
              <w:rPr>
                <w:rFonts w:ascii="Arial" w:cs="Arial" w:eastAsia="Arial" w:hAnsi="Arial"/>
                <w:sz w:val="8"/>
                <w:szCs w:val="8"/>
                <w:color w:val="auto"/>
              </w:rPr>
              <w:t>i</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NR</w:t>
            </w:r>
            <w:r>
              <w:rPr>
                <w:rFonts w:ascii="Arial" w:cs="Arial" w:eastAsia="Arial" w:hAnsi="Arial"/>
                <w:sz w:val="8"/>
                <w:szCs w:val="8"/>
                <w:color w:val="auto"/>
              </w:rPr>
              <w:t>i</w:t>
            </w:r>
          </w:p>
        </w:tc>
        <w:tc>
          <w:tcPr>
            <w:tcW w:w="0" w:type="dxa"/>
            <w:vAlign w:val="bottom"/>
          </w:tcPr>
          <w:p>
            <w:pPr>
              <w:spacing w:after="0"/>
              <w:rPr>
                <w:sz w:val="1"/>
                <w:szCs w:val="1"/>
                <w:color w:val="auto"/>
              </w:rPr>
            </w:pPr>
          </w:p>
        </w:tc>
      </w:tr>
      <w:tr>
        <w:trPr>
          <w:trHeight w:val="81"/>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3"/>
          <w:szCs w:val="13"/>
          <w:i w:val="1"/>
          <w:iCs w:val="1"/>
          <w:color w:val="auto"/>
        </w:rPr>
        <w:t>Notes: (a) Treated at all doses; (b) Treated at doses of 300 or 400 mg QD; (c) Included patients with the PDGFRA D842V mutation, whose proportion was consistent with the known mutational prevalence in this GIST population; (d) Did not include patients with the PDGFRA D842V mutation, whose proportion was greater than the known mutational prevalence in this GIST population; (e) Treated at doses up to and including 300 or 400 mg QD; (f) Four PR pending confirmation; (g) One PR pending confirmation; (h) Three PR pending confirmation; (i) NR, not reported, as data are too early to estimate.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 and Fourth-Line GIST</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Preliminary data showed robust clinical activity in regorafenib-naïve third- and fourth-line GIST patients lacking the PDGFRA D842V mutation. As of the data cutoff date, the ORR was 26 percent, tumor reductions were demonstrated in 78 percent of patients, and the median PFS was 8.6 months per central radiographic review and 10.2 months per investigator review.</w:t>
      </w:r>
    </w:p>
    <w:p>
      <w:pPr>
        <w:spacing w:after="0" w:line="163" w:lineRule="exact"/>
        <w:rPr>
          <w:sz w:val="20"/>
          <w:szCs w:val="20"/>
          <w:color w:val="auto"/>
        </w:rPr>
      </w:pPr>
    </w:p>
    <w:p>
      <w:pPr>
        <w:ind w:right="360" w:firstLine="648"/>
        <w:spacing w:after="0" w:line="219" w:lineRule="auto"/>
        <w:rPr>
          <w:sz w:val="20"/>
          <w:szCs w:val="20"/>
          <w:color w:val="auto"/>
        </w:rPr>
      </w:pPr>
      <w:r>
        <w:rPr>
          <w:rFonts w:ascii="Arial" w:cs="Arial" w:eastAsia="Arial" w:hAnsi="Arial"/>
          <w:sz w:val="18"/>
          <w:szCs w:val="18"/>
          <w:color w:val="auto"/>
        </w:rPr>
        <w:t>In regorafenib-naive patients with PDGFRA D842V-driven third- or fourth-line GIST, the ORR was 80 percent (eight out of 10 evaluable patients, with one response pending confirmation). Our ongoing Phase 3 VOYAGER trial of avapritinib versus regorafenib in third- or fourth-line GIST permits enrollment of patients with both KIT- and PDGFRA-driven GIST, including patients with the PDGFRA D842V mutation.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Second-Line GIST</w:t>
      </w:r>
    </w:p>
    <w:p>
      <w:pPr>
        <w:spacing w:after="0" w:line="185"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Preliminary data showed a 25 percent ORR in second-line GIST, excluding patients with the PDGFRA D842V mutation. In patients with second-line PDGFRA D842V-driven GIST, the ORR was 94 percent (15 out of 16 evaluable patients, with two responses pending confirmation).</w:t>
      </w:r>
    </w:p>
    <w:p>
      <w:pPr>
        <w:spacing w:after="0" w:line="163"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In addition, analyses of circulating tumor DNA, or ctDNA, from the NAVIGATOR trial across all lines showed increased activity for avapritinib in patients without the secondary KIT V654A or T670I mutations, which are estimated to occur in approximately 20 to 25 percent of GIST patients following treatment with imatinib (second-line or later). Independently published data for sunitinib, the current standard of care therapy for second-line GIST, have shown activity against these mutations.</w:t>
      </w:r>
    </w:p>
    <w:p>
      <w:pPr>
        <w:spacing w:after="0" w:line="162"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We believe a precision medicine approach has the potential to optimize patient outcomes in second-line GIST and plan to initiate the registration-enabling Phase 3 COMPASS-2L clinical trial in the second half of 2019 using a ctDNA-guided patient selection strategy.</w:t>
      </w:r>
    </w:p>
    <w:p>
      <w:pPr>
        <w:spacing w:after="0" w:line="163"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i w:val="1"/>
          <w:iCs w:val="1"/>
          <w:color w:val="auto"/>
        </w:rPr>
        <w:t xml:space="preserve">NAVIGATOR Trial Design. </w:t>
      </w:r>
      <w:r>
        <w:rPr>
          <w:rFonts w:ascii="Arial" w:cs="Arial" w:eastAsia="Arial" w:hAnsi="Arial"/>
          <w:sz w:val="16"/>
          <w:szCs w:val="16"/>
          <w:color w:val="auto"/>
        </w:rPr>
        <w:t>The NAVIGATOR trial is designed to evaluate the safety and tolerability of avapritinib</w:t>
      </w:r>
      <w:r>
        <w:rPr>
          <w:rFonts w:ascii="Arial" w:cs="Arial" w:eastAsia="Arial" w:hAnsi="Arial"/>
          <w:sz w:val="16"/>
          <w:szCs w:val="16"/>
          <w:i w:val="1"/>
          <w:iCs w:val="1"/>
          <w:color w:val="auto"/>
        </w:rPr>
        <w:t xml:space="preserve"> </w:t>
      </w:r>
      <w:r>
        <w:rPr>
          <w:rFonts w:ascii="Arial" w:cs="Arial" w:eastAsia="Arial" w:hAnsi="Arial"/>
          <w:sz w:val="16"/>
          <w:szCs w:val="16"/>
          <w:color w:val="auto"/>
        </w:rPr>
        <w:t>in patients with advanced GIST. The trial consists of two parts, a dose escalation portion and an expansion portion. The dose escalation portion is complete, and trial objectives include assessing response and measures of pharmacokinetics, or PK, and pharmacodynamics, or PD. Response assessments use blinded, central radiology review. We have completed enrollment of patients in the expansion cohorts of the NAVIGATOR trial and evaluation is ongoing.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VOYAGER Trial Design</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VOYAGER trial is a global, open-label, randomized, Phase 3 trial designed to evaluate the safety and efficacy of avapritinib versus regorafenib in patients with third- or fourth-line advanced GIST. The trial is designed to enroll approximately 460 patients randomized 1:1 to receive either avapritinib or regorafenib at multiple sites in North America, the European Union, Australia and Asia.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COMPASS-2L Trial Design</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Our planned Phase 3 COMPASS-2L precision medicine trial will evaluate the safety and efficacy of avapritinib versus sunitinib in patients with second-line advanced GIST and pre-specified disease genotypes. The planned trial will select patients with PDGFRA- and KIT-driven second-line GIST who do not test positive for the KIT V654A or T670I mutations and randomize them to receive avapritinib or sunitinib with an anticipated primary endpoint of PFS.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Mastocytosis (SM)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 Disease Background</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120015</wp:posOffset>
            </wp:positionV>
            <wp:extent cx="1414780" cy="172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40"/>
        <w:spacing w:after="0" w:line="224" w:lineRule="auto"/>
        <w:rPr>
          <w:sz w:val="20"/>
          <w:szCs w:val="20"/>
          <w:color w:val="auto"/>
        </w:rPr>
      </w:pPr>
      <w:r>
        <w:rPr>
          <w:rFonts w:ascii="Arial" w:cs="Arial" w:eastAsia="Arial" w:hAnsi="Arial"/>
          <w:sz w:val="14"/>
          <w:szCs w:val="14"/>
          <w:color w:val="auto"/>
        </w:rPr>
        <w:t xml:space="preserve">Approximate kinome tree location of KIT. Each branch of the dendogram represents an individual human kinase. </w:t>
      </w:r>
      <w:r>
        <w:rPr>
          <w:rFonts w:ascii="Arial" w:cs="Arial" w:eastAsia="Arial" w:hAnsi="Arial"/>
          <w:sz w:val="14"/>
          <w:szCs w:val="14"/>
          <w:i w:val="1"/>
          <w:iCs w:val="1"/>
          <w:color w:val="auto"/>
        </w:rPr>
        <w:t>Kinome illustration reproduced</w:t>
      </w:r>
      <w:r>
        <w:rPr>
          <w:rFonts w:ascii="Arial" w:cs="Arial" w:eastAsia="Arial" w:hAnsi="Arial"/>
          <w:sz w:val="14"/>
          <w:szCs w:val="14"/>
          <w:color w:val="auto"/>
        </w:rPr>
        <w:t xml:space="preserve"> </w:t>
      </w:r>
      <w:r>
        <w:rPr>
          <w:rFonts w:ascii="Arial" w:cs="Arial" w:eastAsia="Arial" w:hAnsi="Arial"/>
          <w:sz w:val="14"/>
          <w:szCs w:val="14"/>
          <w:i w:val="1"/>
          <w:iCs w:val="1"/>
          <w:color w:val="auto"/>
        </w:rPr>
        <w:t>courtesy of Cell Signaling Technology, Inc., or CSTI (www.cellsignal.com). The foregoing website is maintained by CSTI, and Blueprint Medicines is not responsible for its content.</w:t>
      </w:r>
    </w:p>
    <w:p>
      <w:pPr>
        <w:spacing w:after="0" w:line="175" w:lineRule="exact"/>
        <w:rPr>
          <w:sz w:val="20"/>
          <w:szCs w:val="20"/>
          <w:color w:val="auto"/>
        </w:rPr>
      </w:pPr>
    </w:p>
    <w:p>
      <w:pPr>
        <w:ind w:right="160" w:firstLine="648"/>
        <w:spacing w:after="0" w:line="221" w:lineRule="auto"/>
        <w:rPr>
          <w:sz w:val="20"/>
          <w:szCs w:val="20"/>
          <w:color w:val="auto"/>
        </w:rPr>
      </w:pPr>
      <w:r>
        <w:rPr>
          <w:rFonts w:ascii="Arial" w:cs="Arial" w:eastAsia="Arial" w:hAnsi="Arial"/>
          <w:sz w:val="17"/>
          <w:szCs w:val="17"/>
          <w:color w:val="auto"/>
        </w:rPr>
        <w:t>SM comprises a spectrum of disease, with approximately 95% of patients having a KIT D816V mutation, the underlying driver of disease for most SM patients. The diagnosis, which is usually made in adulthood, involves a complex diagnostic algorithm that begins with confirmation of SM and subsequently categorizes patients into indolent or advanced subtypes of disease, a classification that has prognostic significance as shown below. Patients with ISM have a normal life expectancy. The primary burden of disease for ISM patients is the range of often unpredictable and debilitating allergic symptoms due to mast cell activation. Advanced SM includes three subsets with increasingly severe impact on life expectancy: aggressive SM, or ASM, advanced SM with an associated hematologic neoplasm, SM-AHN, and mast cell leukemia, or MCL. These advanced forms of SM have a median overall survival of three to five years and are characterized by prominent organopathy and dysfunction, as well as symptoms of mast cell activation. Smoldering SM, or SSM, is increasingly considered as a variant of advanced SM. While SSM is not known to affect life expectancy, it has a greater degree of bone marrow infiltration, myeloproliferation and/or presents with an enlarged liver and bears a greater risk of progression to ASM, SM-AHN or MCL.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135255</wp:posOffset>
            </wp:positionV>
            <wp:extent cx="2787015" cy="1989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20"/>
        <w:spacing w:after="0" w:line="151" w:lineRule="exact"/>
        <w:rPr>
          <w:sz w:val="20"/>
          <w:szCs w:val="20"/>
          <w:color w:val="auto"/>
        </w:rPr>
      </w:pPr>
      <w:r>
        <w:rPr>
          <w:rFonts w:ascii="Arial" w:cs="Arial" w:eastAsia="Arial" w:hAnsi="Arial"/>
          <w:sz w:val="14"/>
          <w:szCs w:val="14"/>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4"/>
          <w:szCs w:val="14"/>
          <w:i w:val="1"/>
          <w:iCs w:val="1"/>
          <w:color w:val="auto"/>
        </w:rPr>
        <w:t>Blood</w:t>
      </w:r>
      <w:r>
        <w:rPr>
          <w:rFonts w:ascii="Arial" w:cs="Arial" w:eastAsia="Arial" w:hAnsi="Arial"/>
          <w:sz w:val="14"/>
          <w:szCs w:val="14"/>
          <w:color w:val="auto"/>
        </w:rPr>
        <w:t xml:space="preserve">, 121(16):3085 </w:t>
      </w:r>
      <w:r>
        <w:rPr>
          <w:rFonts w:ascii="MS PGothic" w:cs="MS PGothic" w:eastAsia="MS PGothic" w:hAnsi="MS PGothic"/>
          <w:sz w:val="14"/>
          <w:szCs w:val="14"/>
          <w:color w:val="auto"/>
        </w:rPr>
        <w:t>‑</w:t>
      </w:r>
      <w:r>
        <w:rPr>
          <w:rFonts w:ascii="Arial" w:cs="Arial" w:eastAsia="Arial" w:hAnsi="Arial"/>
          <w:sz w:val="14"/>
          <w:szCs w:val="14"/>
          <w:color w:val="auto"/>
        </w:rPr>
        <w:t xml:space="preserve"> 3094 (2013); permission conveyed through Copyright Clearance Center, Inc. In the figure above, AHD refers to SM-AHN.</w:t>
      </w:r>
    </w:p>
    <w:p>
      <w:pPr>
        <w:spacing w:after="0" w:line="17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6"/>
          <w:szCs w:val="16"/>
          <w:color w:val="auto"/>
        </w:rPr>
        <w:t>Population studies, including a population</w:t>
      </w:r>
      <w:r>
        <w:rPr>
          <w:rFonts w:ascii="MS PGothic" w:cs="MS PGothic" w:eastAsia="MS PGothic" w:hAnsi="MS PGothic"/>
          <w:sz w:val="16"/>
          <w:szCs w:val="16"/>
          <w:color w:val="auto"/>
        </w:rPr>
        <w:t>‑</w:t>
      </w:r>
      <w:r>
        <w:rPr>
          <w:rFonts w:ascii="Arial" w:cs="Arial" w:eastAsia="Arial" w:hAnsi="Arial"/>
          <w:sz w:val="16"/>
          <w:szCs w:val="16"/>
          <w:color w:val="auto"/>
        </w:rPr>
        <w:t>based epidemiology study that we sponsored, based on the Danish National Health Registry, estimate the prevalence of all subtypes of SM from 0.5 to 1/100,000 new patients per year. Of all SM patients, ISM accounts for 50</w:t>
      </w:r>
      <w:r>
        <w:rPr>
          <w:rFonts w:ascii="MS PGothic" w:cs="MS PGothic" w:eastAsia="MS PGothic" w:hAnsi="MS PGothic"/>
          <w:sz w:val="16"/>
          <w:szCs w:val="16"/>
          <w:color w:val="auto"/>
        </w:rPr>
        <w:t>‑</w:t>
      </w:r>
      <w:r>
        <w:rPr>
          <w:rFonts w:ascii="Arial" w:cs="Arial" w:eastAsia="Arial" w:hAnsi="Arial"/>
          <w:sz w:val="16"/>
          <w:szCs w:val="16"/>
          <w:color w:val="auto"/>
        </w:rPr>
        <w:t>80% of patients, and advanced SM accounts for the remaining 20</w:t>
      </w:r>
      <w:r>
        <w:rPr>
          <w:rFonts w:ascii="MS PGothic" w:cs="MS PGothic" w:eastAsia="MS PGothic" w:hAnsi="MS PGothic"/>
          <w:sz w:val="16"/>
          <w:szCs w:val="16"/>
          <w:color w:val="auto"/>
        </w:rPr>
        <w:t>‑</w:t>
      </w:r>
      <w:r>
        <w:rPr>
          <w:rFonts w:ascii="Arial" w:cs="Arial" w:eastAsia="Arial" w:hAnsi="Arial"/>
          <w:sz w:val="16"/>
          <w:szCs w:val="16"/>
          <w:color w:val="auto"/>
        </w:rPr>
        <w:t>50% of patients.</w:t>
      </w:r>
    </w:p>
    <w:p>
      <w:pPr>
        <w:spacing w:after="0" w:line="163"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The current treatment paradigm for SM varies by disease subtype. Currently, there are no approved targeted therapies that address SM patients with the KIT D816V mutation. Midostaurin, which was approved in April 2017 by the FDA for the treatment of advanced SM, is a multi-kinase inhibitor with KIT D816V inhibitory activity and imatinib does not address patients with the KIT D816V mutation. For patients with advanced and smoldering forms of SM, treatments include interferon</w:t>
      </w:r>
      <w:r>
        <w:rPr>
          <w:rFonts w:ascii="MS PGothic" w:cs="MS PGothic" w:eastAsia="MS PGothic" w:hAnsi="MS PGothic"/>
          <w:sz w:val="17"/>
          <w:szCs w:val="17"/>
          <w:color w:val="auto"/>
        </w:rPr>
        <w:t>‑</w:t>
      </w:r>
      <w:r>
        <w:rPr>
          <w:rFonts w:ascii="Arial" w:cs="Arial" w:eastAsia="Arial" w:hAnsi="Arial"/>
          <w:sz w:val="17"/>
          <w:szCs w:val="17"/>
          <w:color w:val="auto"/>
        </w:rPr>
        <w:t>alpha or cytoreductive agents to reduce mast cell burden or treatments aimed at addressing the associated blood disorder. Patients with advanced SM typically have a three to five</w:t>
      </w:r>
      <w:r>
        <w:rPr>
          <w:rFonts w:ascii="MS PGothic" w:cs="MS PGothic" w:eastAsia="MS PGothic" w:hAnsi="MS PGothic"/>
          <w:sz w:val="17"/>
          <w:szCs w:val="17"/>
          <w:color w:val="auto"/>
        </w:rPr>
        <w:t>‑</w:t>
      </w:r>
      <w:r>
        <w:rPr>
          <w:rFonts w:ascii="Arial" w:cs="Arial" w:eastAsia="Arial" w:hAnsi="Arial"/>
          <w:sz w:val="17"/>
          <w:szCs w:val="17"/>
          <w:color w:val="auto"/>
        </w:rPr>
        <w:t>year overall survival prognosis.</w:t>
      </w:r>
    </w:p>
    <w:p>
      <w:pPr>
        <w:spacing w:after="0" w:line="16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For ISM, management is symptom</w:t>
      </w:r>
      <w:r>
        <w:rPr>
          <w:rFonts w:ascii="MS PGothic" w:cs="MS PGothic" w:eastAsia="MS PGothic" w:hAnsi="MS PGothic"/>
          <w:sz w:val="18"/>
          <w:szCs w:val="18"/>
          <w:color w:val="auto"/>
        </w:rPr>
        <w:t>‑</w:t>
      </w:r>
      <w:r>
        <w:rPr>
          <w:rFonts w:ascii="Arial" w:cs="Arial" w:eastAsia="Arial" w:hAnsi="Arial"/>
          <w:sz w:val="18"/>
          <w:szCs w:val="18"/>
          <w:color w:val="auto"/>
        </w:rPr>
        <w:t>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D816V Driver Mutation in SM</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In all subtypes of SM, the mast cells of approximately 95% of patients display an activating mutation at the D816V position in KIT. KIT D816V status is routinely assessed as part of the workup in SM diagnosis.</w:t>
      </w:r>
    </w:p>
    <w:p>
      <w:pPr>
        <w:spacing w:after="0" w:line="162"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 – Clinical Development for Patients with SM</w:t>
      </w:r>
    </w:p>
    <w:p>
      <w:pPr>
        <w:spacing w:after="0" w:line="185"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8"/>
          <w:szCs w:val="18"/>
          <w:color w:val="auto"/>
        </w:rPr>
        <w:t>We are currently evaluating avapritinib for the treatment of SM in our ongoing Phase 1 EXPLORER trial in advanced SM, our ongoing registration</w:t>
      </w:r>
      <w:r>
        <w:rPr>
          <w:rFonts w:ascii="MS PGothic" w:cs="MS PGothic" w:eastAsia="MS PGothic" w:hAnsi="MS PGothic"/>
          <w:sz w:val="18"/>
          <w:szCs w:val="18"/>
          <w:color w:val="auto"/>
        </w:rPr>
        <w:t>‑</w:t>
      </w:r>
      <w:r>
        <w:rPr>
          <w:rFonts w:ascii="Arial" w:cs="Arial" w:eastAsia="Arial" w:hAnsi="Arial"/>
          <w:sz w:val="18"/>
          <w:szCs w:val="18"/>
          <w:color w:val="auto"/>
        </w:rPr>
        <w:t>enabling Phase 2 PATHFINDER trial in advanced SM and our ongoing registration</w:t>
      </w:r>
      <w:r>
        <w:rPr>
          <w:rFonts w:ascii="MS PGothic" w:cs="MS PGothic" w:eastAsia="MS PGothic" w:hAnsi="MS PGothic"/>
          <w:sz w:val="18"/>
          <w:szCs w:val="18"/>
          <w:color w:val="auto"/>
        </w:rPr>
        <w:t>‑</w:t>
      </w:r>
      <w:r>
        <w:rPr>
          <w:rFonts w:ascii="Arial" w:cs="Arial" w:eastAsia="Arial" w:hAnsi="Arial"/>
          <w:sz w:val="18"/>
          <w:szCs w:val="18"/>
          <w:color w:val="auto"/>
        </w:rPr>
        <w:t>enabling Phase 2 PIONEER trial in indolent and smoldering SM. In December 2018, we reported updated data from the EXPLORER trial at the 60</w:t>
      </w:r>
      <w:r>
        <w:rPr>
          <w:rFonts w:ascii="Arial" w:cs="Arial" w:eastAsia="Arial" w:hAnsi="Arial"/>
          <w:sz w:val="8"/>
          <w:szCs w:val="8"/>
          <w:color w:val="auto"/>
        </w:rPr>
        <w:t>th</w:t>
      </w:r>
      <w:r>
        <w:rPr>
          <w:rFonts w:ascii="Arial" w:cs="Arial" w:eastAsia="Arial" w:hAnsi="Arial"/>
          <w:sz w:val="18"/>
          <w:szCs w:val="18"/>
          <w:color w:val="auto"/>
        </w:rPr>
        <w:t xml:space="preserve"> American Society of Hematology Annual Meeting and Exposition, or ASH Annual Meeting. We plan to present updated data from the EXPLORER trial in advanced SM in the second quarter of 2019, and we plan to present initial data from the PIONEER trial in indolent and smoldering SM in the second half of 2019. We expect to complete enrollment of the PATHFINDER trial in the second half of 2019. We plan to submit an NDA for advanced SM in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FDA has granted orphan drug designation to avapritinib for the treatment of mastocytosis, and the European Commission has granted orphan medicinal product designation to avapritinib for the treatment of mastocystosis. In addition, the FDA has granted breakthrough therapy designation to avapritinib for the treatment of advanced SM, including the subtypes of aggressive SM, SM with an associated hematologic neoplasm and mast cell leukemia.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EXPLORER Trial—Data Reported in December 2018 at the ASH Annual Meeting</w:t>
      </w:r>
    </w:p>
    <w:p>
      <w:pPr>
        <w:spacing w:after="0" w:line="185"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As of the data cutoff date of September 30, 2018, 67 patients were treated with avapritinib in the dose escalation and expansion portions of the Phase 1 EXPLORER clinical trial, including 23 patients with aggressive SM, or ASM, 30 patients with advanced SM with an associated hematological neoplasm, or SM-AHN, seven patients with mast cell leukemia, or MCL, and seven patients with indolent or smoldering SM. Forty patients (60 percent) had a prior treatment, including 14 patients (23 percent) who had previously received Rydapt® (midostaurin).</w:t>
      </w:r>
    </w:p>
    <w:p>
      <w:pPr>
        <w:spacing w:after="0" w:line="161"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Safety Data. </w:t>
      </w:r>
      <w:r>
        <w:rPr>
          <w:rFonts w:ascii="Arial" w:cs="Arial" w:eastAsia="Arial" w:hAnsi="Arial"/>
          <w:sz w:val="16"/>
          <w:szCs w:val="16"/>
          <w:color w:val="auto"/>
        </w:rPr>
        <w:t>As of the data cutoff date, avapritinib was well-tolerated. Most AEs were reported by investigators as</w:t>
      </w:r>
      <w:r>
        <w:rPr>
          <w:rFonts w:ascii="Arial" w:cs="Arial" w:eastAsia="Arial" w:hAnsi="Arial"/>
          <w:sz w:val="16"/>
          <w:szCs w:val="16"/>
          <w:i w:val="1"/>
          <w:iCs w:val="1"/>
          <w:color w:val="auto"/>
        </w:rPr>
        <w:t xml:space="preserve"> </w:t>
      </w:r>
      <w:r>
        <w:rPr>
          <w:rFonts w:ascii="Arial" w:cs="Arial" w:eastAsia="Arial" w:hAnsi="Arial"/>
          <w:sz w:val="16"/>
          <w:szCs w:val="16"/>
          <w:color w:val="auto"/>
        </w:rPr>
        <w:t>Grade 1 or 2. Across all enrolled patients, 52 patients (78 percent) remained on treatment as of the data cutoff date. Three patients (4 percent) discontinued treatment with avapritinib due to treatment-related AEs (refractory ascites, encephalopathy and intracranial bleed). Across all grades, the most common non-hematological treatment-emergent AEs (regardless of relationship to avapritinib) reported by investigators (&gt;15 percent) were periorbital edema, fatigue, nausea, diarrhea, peripheral edema, vomiting, cognitive effects, hair color changes, arthralgia, dizziness and abdominal pain. The most common hematological treatment-emergent AEs reported by investigators (&gt;10 percent) were anemia, thrombocytopenia and neutropenia. Grade 3 and 4 treatment-related AEs occurred in 44 patients (66 percent), and these events were most commonly hematological AEs, typically in patients with low blood counts (cytopenias) at study entry.</w:t>
      </w:r>
    </w:p>
    <w:p>
      <w:pPr>
        <w:spacing w:after="0" w:line="168" w:lineRule="exact"/>
        <w:rPr>
          <w:sz w:val="20"/>
          <w:szCs w:val="20"/>
          <w:color w:val="auto"/>
        </w:rPr>
      </w:pPr>
    </w:p>
    <w:p>
      <w:pPr>
        <w:jc w:val="both"/>
        <w:ind w:right="100" w:firstLine="648"/>
        <w:spacing w:after="0" w:line="219" w:lineRule="auto"/>
        <w:rPr>
          <w:sz w:val="20"/>
          <w:szCs w:val="20"/>
          <w:color w:val="auto"/>
        </w:rPr>
      </w:pPr>
      <w:r>
        <w:rPr>
          <w:rFonts w:ascii="Arial" w:cs="Arial" w:eastAsia="Arial" w:hAnsi="Arial"/>
          <w:sz w:val="18"/>
          <w:szCs w:val="18"/>
          <w:i w:val="1"/>
          <w:iCs w:val="1"/>
          <w:color w:val="auto"/>
        </w:rPr>
        <w:t xml:space="preserve">IWG-MRT-ECNM Assessments and Objective Measures of Mast Cell Burden. </w:t>
      </w:r>
      <w:r>
        <w:rPr>
          <w:rFonts w:ascii="Arial" w:cs="Arial" w:eastAsia="Arial" w:hAnsi="Arial"/>
          <w:sz w:val="18"/>
          <w:szCs w:val="18"/>
          <w:color w:val="auto"/>
        </w:rPr>
        <w:t>As of the data cutoff date, 29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were evaluable for response by the modified IWG-MRT-ECNM criteria, a rigorous method for assessing clinical response in advanced SM patients with regulatory precedent in the U.S. and Europe. Responses were centrally reviewed by a committee of SM experts.</w:t>
      </w:r>
    </w:p>
    <w:p>
      <w:pPr>
        <w:spacing w:after="0" w:line="163"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Avapritinib demonstrated durable clinical responses across all doses studied and in each subtype of advanced SM – ASM, SM-AHN and MCL. The duration of treatment was up to 31 months as of the data cutoff date, with a median follow-up time of 14 months in evaluable patients.</w:t>
      </w:r>
    </w:p>
    <w:p>
      <w:pPr>
        <w:spacing w:after="0" w:line="163"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Across all evaluable patients at all doses, the ORR was 83 percent. Seven patients had a CR/CRh (24 percent, two pending confirmation), 14 patients had a partial response, or PR (48 percent, three pending confirmation), and three patients had clinical improvement, or CI (10 percent, one pending confirmation). Three of the pending responses were previously confirmed responses, or CR (two PRs, one clinical CI), that were transitioning to a deeper response. No patients had documented disease progression per modified IWG-MRT-ECNM criteria.</w:t>
      </w:r>
    </w:p>
    <w:p>
      <w:pPr>
        <w:spacing w:after="0" w:line="16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addition, strong clinical activity was demonstrated in evaluable patients treated with a starting dose of less than or equal to 200 mg QD, the dose under evaluation in the ongoing registration-enabling Phase 2 PATHFINDER clinical trial in patients with advanced SM. These 10 patients had an ORR of 90 percent and a CR/CRh rate of 50 percent (one CR pending confirmation).</w:t>
      </w:r>
    </w:p>
    <w:p>
      <w:pPr>
        <w:spacing w:after="0" w:line="163"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All patients evaluable on objective measures of mast cell burden showed reductions from baseline. These results were shown regardless of disease subtype, prior therapy (including midostaurin or the investigational agent DCC-2618) or co-mutation status. These measures consisted of declines in bone marrow mast cells, serum tryptase, spleen volume and KIT D816V mutant allele burden.</w:t>
      </w:r>
    </w:p>
    <w:p>
      <w:pPr>
        <w:spacing w:after="0" w:line="16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baseline, 22 SM patients received steroids for mastocytosis symptoms. As of the data cutoff date, 18 patients (80 percent) decreased their steroid dose, including nine patients (41 percent) who were able to entirely discontinue their steroids.</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i w:val="1"/>
          <w:iCs w:val="1"/>
          <w:color w:val="auto"/>
        </w:rPr>
        <w:t xml:space="preserve">Patient-Reported Outcomes. </w:t>
      </w:r>
      <w:r>
        <w:rPr>
          <w:rFonts w:ascii="Arial" w:cs="Arial" w:eastAsia="Arial" w:hAnsi="Arial"/>
          <w:sz w:val="16"/>
          <w:szCs w:val="16"/>
          <w:color w:val="auto"/>
        </w:rPr>
        <w:t>As of the data cutoff date, 32 patients in the dose expansion portion of the Phase 1</w:t>
      </w:r>
      <w:r>
        <w:rPr>
          <w:rFonts w:ascii="Arial" w:cs="Arial" w:eastAsia="Arial" w:hAnsi="Arial"/>
          <w:sz w:val="16"/>
          <w:szCs w:val="16"/>
          <w:i w:val="1"/>
          <w:iCs w:val="1"/>
          <w:color w:val="auto"/>
        </w:rPr>
        <w:t xml:space="preserve"> </w:t>
      </w:r>
      <w:r>
        <w:rPr>
          <w:rFonts w:ascii="Arial" w:cs="Arial" w:eastAsia="Arial" w:hAnsi="Arial"/>
          <w:sz w:val="16"/>
          <w:szCs w:val="16"/>
          <w:color w:val="auto"/>
        </w:rPr>
        <w:t>EXPLORER trial were evaluated using the AdvSM-SAF, the first patient-reported outcomes tool developed specifically for advanced SM patients. It was designed to evaluate symptoms across the gastrointestinal domain (abdominal pain,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diarrhea, nausea and vomiting) and skin domain (spots, itching and flushing), as well as fatigue. Patients reported their symptoms daily using an electronic diary.</w:t>
      </w:r>
    </w:p>
    <w:p>
      <w:pPr>
        <w:spacing w:after="0" w:line="1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In advanced SM patients, benefits were shown across each individual symptom studied. There was a 41 percent improvement from baseline in the AdvSM-SAF Total Symptom Score (p=0.043). The most symptomatic patients (n=16, top 50</w:t>
      </w:r>
      <w:r>
        <w:rPr>
          <w:rFonts w:ascii="Arial" w:cs="Arial" w:eastAsia="Arial" w:hAnsi="Arial"/>
          <w:sz w:val="7"/>
          <w:szCs w:val="7"/>
          <w:color w:val="auto"/>
        </w:rPr>
        <w:t>th</w:t>
      </w:r>
      <w:r>
        <w:rPr>
          <w:rFonts w:ascii="Arial" w:cs="Arial" w:eastAsia="Arial" w:hAnsi="Arial"/>
          <w:sz w:val="16"/>
          <w:szCs w:val="16"/>
          <w:color w:val="auto"/>
        </w:rPr>
        <w:t xml:space="preserve"> percentile) had the largest mean improvement in the AdvSM-SAF Total Symptom Score (46 percent, p=0.038).</w:t>
      </w:r>
    </w:p>
    <w:p>
      <w:pPr>
        <w:spacing w:after="0" w:line="147"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In addition, an improvement in patient-reported quality of life was observed. As of the data cutoff date, 30 patients were evaluated using the European Organization for Research and Treatment of Cancer Quality of Life Questionnaire, a validated and commonly used patient-reported outcomes tool in oncology clinical trials. Results showed a statistically significant improvement in quality of life score, approaching levels observed in healthy aged-matched controls, with a pronounced improvement observed in the most symptomatic patients.</w:t>
      </w:r>
    </w:p>
    <w:p>
      <w:pPr>
        <w:spacing w:after="0" w:line="162"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i w:val="1"/>
          <w:iCs w:val="1"/>
          <w:color w:val="auto"/>
        </w:rPr>
        <w:t xml:space="preserve">Proof-of-Concept in Indolent and Smoldering SM. </w:t>
      </w:r>
      <w:r>
        <w:rPr>
          <w:rFonts w:ascii="Arial" w:cs="Arial" w:eastAsia="Arial" w:hAnsi="Arial"/>
          <w:sz w:val="17"/>
          <w:szCs w:val="17"/>
          <w:color w:val="auto"/>
        </w:rPr>
        <w:t>All evaluable patients with indolent and smoldering SM showed</w:t>
      </w:r>
      <w:r>
        <w:rPr>
          <w:rFonts w:ascii="Arial" w:cs="Arial" w:eastAsia="Arial" w:hAnsi="Arial"/>
          <w:sz w:val="17"/>
          <w:szCs w:val="17"/>
          <w:i w:val="1"/>
          <w:iCs w:val="1"/>
          <w:color w:val="auto"/>
        </w:rPr>
        <w:t xml:space="preserve"> </w:t>
      </w:r>
      <w:r>
        <w:rPr>
          <w:rFonts w:ascii="Arial" w:cs="Arial" w:eastAsia="Arial" w:hAnsi="Arial"/>
          <w:sz w:val="17"/>
          <w:szCs w:val="17"/>
          <w:color w:val="auto"/>
        </w:rPr>
        <w:t>profound reductions in bone marrow mast cells, serum tryptase, spleen volume and KIT D816V mutant allele burden. The data also showed avapritinib led to improvements in patient-reported symptoms. These encouraging data support ongoing Phase 2 PIONEER clinical trial in patients with indolent and smoldering SM.</w:t>
      </w:r>
    </w:p>
    <w:p>
      <w:pPr>
        <w:spacing w:after="0" w:line="163"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i w:val="1"/>
          <w:iCs w:val="1"/>
          <w:color w:val="auto"/>
        </w:rPr>
        <w:t xml:space="preserve">EXPLORER Trial Design. </w:t>
      </w:r>
      <w:r>
        <w:rPr>
          <w:rFonts w:ascii="Arial" w:cs="Arial" w:eastAsia="Arial" w:hAnsi="Arial"/>
          <w:sz w:val="18"/>
          <w:szCs w:val="18"/>
          <w:color w:val="auto"/>
        </w:rPr>
        <w:t>The EXPLORER trial is designed to identify the recommended Phase 2 dose for</w:t>
      </w:r>
      <w:r>
        <w:rPr>
          <w:rFonts w:ascii="Arial" w:cs="Arial" w:eastAsia="Arial" w:hAnsi="Arial"/>
          <w:sz w:val="18"/>
          <w:szCs w:val="18"/>
          <w:i w:val="1"/>
          <w:iCs w:val="1"/>
          <w:color w:val="auto"/>
        </w:rPr>
        <w:t xml:space="preserve"> </w:t>
      </w:r>
      <w:r>
        <w:rPr>
          <w:rFonts w:ascii="Arial" w:cs="Arial" w:eastAsia="Arial" w:hAnsi="Arial"/>
          <w:sz w:val="18"/>
          <w:szCs w:val="18"/>
          <w:color w:val="auto"/>
        </w:rPr>
        <w:t>avapritinib for further study and demonstrate proof-of-concept in advanced SM. The dose escalation portion is complete, and the expansion portion of the trial is enrolling patients with ASM, SM-AHN and MCL. Trial objectives include assessing safety and tolerability, response per modified IWG-MRT-ECNM criteria and patient-reported outcomes. The expansion cohorts of the EXPLORER trial are designed to enroll approximately 55 patients at multiple sites in the United States and European Union.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PATHFINDER Trial Design</w:t>
      </w:r>
    </w:p>
    <w:p>
      <w:pPr>
        <w:spacing w:after="0" w:line="185"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The ongoing Phase 2 PATHFINDER clinical trial is an open-label, single-arm, registration-enabling clinical trial in patients with advanced SM, which is designed to enroll approximately 60 patients at multiple sites in the United States, Canada and European Union. In the PATHFINDER trial, patients will be treated with avapritinib at a dose of 200 mg QD. The primary efficacy endpoints are ORR and DOR based on modified IWG-MRT-ECNM criteria.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PIONEER Trial Design</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Phase 2 PIONEER clinical trial is a randomized, placebo-controlled, registration-enabling trial in patients with indolent and smoldering SM. The primary endpoint will be symptom reductions for avapritinib versus placebo based on the Indolent and Smoldering SM Assessment Form Total Symptom Score. The PIONEER trial will be conducted in three parts: a dose-finding portion (part 1); a placebo-controlled efficacy portion (part 2); and an open-label extension portion (part 3). Three doses will be evaluated during part 1: 25 mg QD, 50 mg QD and 100 mg QD. All patients who complete part 2 will have the opportunity to participate in part 3 and receive avapritinib. The PIONEER trial is designed to enroll approximately 224 patients across all three parts at multiple sites in the United States, Canada and European Union.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BLU-667 is an orally available, potent selective inhibitor of the kinase RET, including activating RET fusions and mutations and predicted RET resistance mutations. 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MTC (approximately 60% of patients), and RET fusions are implicated in several cancers, including papillary thyroid carcinoma (approximately 10% of patients) and NSCLC (1</w:t>
      </w:r>
      <w:r>
        <w:rPr>
          <w:rFonts w:ascii="MS PGothic" w:cs="MS PGothic" w:eastAsia="MS PGothic" w:hAnsi="MS PGothic"/>
          <w:sz w:val="17"/>
          <w:szCs w:val="17"/>
          <w:color w:val="auto"/>
        </w:rPr>
        <w:t>‑</w:t>
      </w:r>
      <w:r>
        <w:rPr>
          <w:rFonts w:ascii="Arial" w:cs="Arial" w:eastAsia="Arial" w:hAnsi="Arial"/>
          <w:sz w:val="17"/>
          <w:szCs w:val="17"/>
          <w:color w:val="auto"/>
        </w:rPr>
        <w:t xml:space="preserve">2% of patients). Our genomics analyses on the landscape of kinase fusions,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 identified RET fusions in breast and colon cancer patient samples (both &lt;1% of patients), providing a therapeutic rationale for the use of RET inhibitors in multiple patient subpopulations.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135255</wp:posOffset>
            </wp:positionV>
            <wp:extent cx="1466215" cy="179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right="20"/>
        <w:spacing w:after="0" w:line="224" w:lineRule="auto"/>
        <w:rPr>
          <w:sz w:val="20"/>
          <w:szCs w:val="20"/>
          <w:color w:val="auto"/>
        </w:rPr>
      </w:pPr>
      <w:r>
        <w:rPr>
          <w:rFonts w:ascii="Arial" w:cs="Arial" w:eastAsia="Arial" w:hAnsi="Arial"/>
          <w:sz w:val="14"/>
          <w:szCs w:val="14"/>
          <w:color w:val="auto"/>
        </w:rPr>
        <w:t xml:space="preserve">Approximate kinome tree location of RET. Each branch of the dendogram represents an individual human kinase. </w:t>
      </w:r>
      <w:r>
        <w:rPr>
          <w:rFonts w:ascii="Arial" w:cs="Arial" w:eastAsia="Arial" w:hAnsi="Arial"/>
          <w:sz w:val="14"/>
          <w:szCs w:val="14"/>
          <w:i w:val="1"/>
          <w:iCs w:val="1"/>
          <w:color w:val="auto"/>
        </w:rPr>
        <w:t>Kinome illustration reproduced</w:t>
      </w:r>
      <w:r>
        <w:rPr>
          <w:rFonts w:ascii="Arial" w:cs="Arial" w:eastAsia="Arial" w:hAnsi="Arial"/>
          <w:sz w:val="14"/>
          <w:szCs w:val="14"/>
          <w:color w:val="auto"/>
        </w:rPr>
        <w:t xml:space="preserve"> </w:t>
      </w:r>
      <w:r>
        <w:rPr>
          <w:rFonts w:ascii="Arial" w:cs="Arial" w:eastAsia="Arial" w:hAnsi="Arial"/>
          <w:sz w:val="14"/>
          <w:szCs w:val="14"/>
          <w:i w:val="1"/>
          <w:iCs w:val="1"/>
          <w:color w:val="auto"/>
        </w:rPr>
        <w:t>courtesy of Cell Signaling Technology, Inc., or CSTI (www.cellsignal.com). The foregoing website is maintained by CSTI, and Blueprint Medicines is not responsible for its content.</w:t>
      </w:r>
    </w:p>
    <w:p>
      <w:pPr>
        <w:spacing w:after="0" w:line="175"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The identification of RET fusions as drivers in some cancers prompted the use of approved multi</w:t>
      </w:r>
      <w:r>
        <w:rPr>
          <w:rFonts w:ascii="MS PGothic" w:cs="MS PGothic" w:eastAsia="MS PGothic" w:hAnsi="MS PGothic"/>
          <w:sz w:val="18"/>
          <w:szCs w:val="18"/>
          <w:color w:val="auto"/>
        </w:rPr>
        <w:t>‑</w:t>
      </w:r>
      <w:r>
        <w:rPr>
          <w:rFonts w:ascii="Arial" w:cs="Arial" w:eastAsia="Arial" w:hAnsi="Arial"/>
          <w:sz w:val="18"/>
          <w:szCs w:val="18"/>
          <w:color w:val="auto"/>
        </w:rPr>
        <w:t>kinase inhibitors with RET inhibitory activity to treat patients whose tumors express a RET fusion protein. However, we believe these drugs cannot be dosed at levels required to sufficiently inhibit RET due to toxicities that result from inhibition of the primary targets. For example, currently approved therapies such as vandetanib and cabozantinib demonstrate lower objective response rates and duration of response in patients with RET-altered NSCLC compared to selective kinase inhibitors targeting other kinase drivers such as EGFR, ALK and ROS1.</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One of the greatest challenges in treating cancer is the ability of tumor cells to become resistant to therapy. Kinase reactivation via mutation to evade small molecule inhibition is a common mechanism of resistance. We have predicted future resistance mutations of drugs with RET inhibitory activity. Thus, there is a clear need for a selective RET inhibitor that targets both oncogenic RET fusions and activating mutations and their predicted RET resistance mutations.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BLU-667 Pre-Clinical Development in RET</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BLU-667 was specifically designed to target oncogenic RET fusions and activating mutations and predicted RET resistance mutations, while sparing anti-targets such as VEGFR-2. We have conducted pre-clinical experiments in biochemical and cellular assays to characterize the potency of BLU-667 against these targets. In a panel comparing BLU-677 with the commonly used multi-kinase inhibitors cabozantinib and vandetanib and the development candidate RXDX-105, BLU-667 was the only compound to demonstrate sub-nanomolar selectivity for wild-type RET and predicted resistance mutations at the gatekeeper (V804) residue. In addition, BLU-667 selectivity was assessed in a biochemical screen of a broad panel of over 350 kinases and demonstrated approximately 90-fold selectivity for wild-type RET over VEGFR-2.</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324"/>
        </w:trPr>
        <w:tc>
          <w:tcPr>
            <w:tcW w:w="1180" w:type="dxa"/>
            <w:vAlign w:val="bottom"/>
          </w:tcPr>
          <w:p>
            <w:pPr>
              <w:spacing w:after="0"/>
              <w:rPr>
                <w:sz w:val="24"/>
                <w:szCs w:val="24"/>
                <w:color w:val="auto"/>
              </w:rPr>
            </w:pPr>
          </w:p>
        </w:tc>
        <w:tc>
          <w:tcPr>
            <w:tcW w:w="880" w:type="dxa"/>
            <w:vAlign w:val="bottom"/>
            <w:tcBorders>
              <w:top w:val="single" w:sz="8" w:color="auto"/>
              <w:bottom w:val="single" w:sz="8" w:color="auto"/>
            </w:tcBorders>
            <w:shd w:val="clear" w:color="auto" w:fill="D9D9D9"/>
          </w:tcPr>
          <w:p>
            <w:pPr>
              <w:spacing w:after="0"/>
              <w:rPr>
                <w:sz w:val="24"/>
                <w:szCs w:val="24"/>
                <w:color w:val="auto"/>
              </w:rPr>
            </w:pPr>
          </w:p>
        </w:tc>
        <w:tc>
          <w:tcPr>
            <w:tcW w:w="840" w:type="dxa"/>
            <w:vAlign w:val="bottom"/>
            <w:tcBorders>
              <w:top w:val="single" w:sz="8" w:color="auto"/>
              <w:bottom w:val="single" w:sz="8" w:color="auto"/>
            </w:tcBorders>
            <w:shd w:val="clear" w:color="auto" w:fill="D9D9D9"/>
          </w:tcPr>
          <w:p>
            <w:pPr>
              <w:spacing w:after="0"/>
              <w:rPr>
                <w:sz w:val="24"/>
                <w:szCs w:val="24"/>
                <w:color w:val="auto"/>
              </w:rPr>
            </w:pPr>
          </w:p>
        </w:tc>
        <w:tc>
          <w:tcPr>
            <w:tcW w:w="1600" w:type="dxa"/>
            <w:vAlign w:val="bottom"/>
            <w:tcBorders>
              <w:top w:val="single" w:sz="8" w:color="auto"/>
              <w:bottom w:val="single" w:sz="8" w:color="auto"/>
            </w:tcBorders>
            <w:gridSpan w:val="2"/>
            <w:shd w:val="clear" w:color="auto" w:fill="D9D9D9"/>
          </w:tcPr>
          <w:p>
            <w:pPr>
              <w:ind w:left="240"/>
              <w:spacing w:after="0" w:line="324" w:lineRule="exact"/>
              <w:rPr>
                <w:sz w:val="20"/>
                <w:szCs w:val="20"/>
                <w:color w:val="auto"/>
              </w:rPr>
            </w:pPr>
            <w:r>
              <w:rPr>
                <w:rFonts w:ascii="Arial" w:cs="Arial" w:eastAsia="Arial" w:hAnsi="Arial"/>
                <w:sz w:val="18"/>
                <w:szCs w:val="18"/>
                <w:b w:val="1"/>
                <w:bCs w:val="1"/>
                <w:color w:val="auto"/>
                <w:w w:val="88"/>
              </w:rPr>
              <w:t>Biochemical IC</w:t>
            </w:r>
            <w:r>
              <w:rPr>
                <w:rFonts w:ascii="Arial" w:cs="Arial" w:eastAsia="Arial" w:hAnsi="Arial"/>
                <w:sz w:val="30"/>
                <w:szCs w:val="30"/>
                <w:b w:val="1"/>
                <w:bCs w:val="1"/>
                <w:color w:val="auto"/>
                <w:w w:val="88"/>
                <w:vertAlign w:val="subscript"/>
              </w:rPr>
              <w:t>50</w:t>
            </w:r>
          </w:p>
        </w:tc>
        <w:tc>
          <w:tcPr>
            <w:tcW w:w="1360" w:type="dxa"/>
            <w:vAlign w:val="bottom"/>
            <w:tcBorders>
              <w:top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(nM)</w:t>
            </w:r>
          </w:p>
        </w:tc>
        <w:tc>
          <w:tcPr>
            <w:tcW w:w="1020" w:type="dxa"/>
            <w:vAlign w:val="bottom"/>
            <w:tcBorders>
              <w:top w:val="single" w:sz="8" w:color="auto"/>
              <w:bottom w:val="single" w:sz="8" w:color="auto"/>
            </w:tcBorders>
            <w:shd w:val="clear" w:color="auto" w:fill="D9D9D9"/>
          </w:tcPr>
          <w:p>
            <w:pPr>
              <w:spacing w:after="0"/>
              <w:rPr>
                <w:sz w:val="24"/>
                <w:szCs w:val="24"/>
                <w:color w:val="auto"/>
              </w:rPr>
            </w:pPr>
          </w:p>
        </w:tc>
        <w:tc>
          <w:tcPr>
            <w:tcW w:w="1480" w:type="dxa"/>
            <w:vAlign w:val="bottom"/>
            <w:tcBorders>
              <w:top w:val="single" w:sz="8" w:color="auto"/>
              <w:bottom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IC</w:t>
            </w:r>
            <w:r>
              <w:rPr>
                <w:rFonts w:ascii="Arial" w:cs="Arial" w:eastAsia="Arial" w:hAnsi="Arial"/>
                <w:sz w:val="30"/>
                <w:szCs w:val="30"/>
                <w:b w:val="1"/>
                <w:bCs w:val="1"/>
                <w:color w:val="auto"/>
                <w:w w:val="88"/>
                <w:vertAlign w:val="subscript"/>
              </w:rPr>
              <w:t>50</w:t>
            </w:r>
            <w:r>
              <w:rPr>
                <w:rFonts w:ascii="Arial" w:cs="Arial" w:eastAsia="Arial" w:hAnsi="Arial"/>
                <w:sz w:val="18"/>
                <w:szCs w:val="18"/>
                <w:b w:val="1"/>
                <w:bCs w:val="1"/>
                <w:color w:val="auto"/>
                <w:w w:val="88"/>
              </w:rPr>
              <w:t xml:space="preserve"> Ratio</w:t>
            </w: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880" w:type="dxa"/>
            <w:vAlign w:val="bottom"/>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Wild-</w:t>
            </w:r>
          </w:p>
        </w:tc>
        <w:tc>
          <w:tcPr>
            <w:tcW w:w="840" w:type="dxa"/>
            <w:vAlign w:val="bottom"/>
            <w:shd w:val="clear" w:color="auto" w:fill="D9D9D9"/>
          </w:tcPr>
          <w:p>
            <w:pPr>
              <w:spacing w:after="0"/>
              <w:rPr>
                <w:sz w:val="3"/>
                <w:szCs w:val="3"/>
                <w:color w:val="auto"/>
              </w:rPr>
            </w:pPr>
          </w:p>
        </w:tc>
        <w:tc>
          <w:tcPr>
            <w:tcW w:w="860" w:type="dxa"/>
            <w:vAlign w:val="bottom"/>
            <w:shd w:val="clear" w:color="auto" w:fill="D9D9D9"/>
          </w:tcPr>
          <w:p>
            <w:pPr>
              <w:spacing w:after="0"/>
              <w:rPr>
                <w:sz w:val="3"/>
                <w:szCs w:val="3"/>
                <w:color w:val="auto"/>
              </w:rPr>
            </w:pPr>
          </w:p>
        </w:tc>
        <w:tc>
          <w:tcPr>
            <w:tcW w:w="74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1020" w:type="dxa"/>
            <w:vAlign w:val="bottom"/>
            <w:shd w:val="clear" w:color="auto" w:fill="D9D9D9"/>
          </w:tcPr>
          <w:p>
            <w:pPr>
              <w:spacing w:after="0"/>
              <w:rPr>
                <w:sz w:val="3"/>
                <w:szCs w:val="3"/>
                <w:color w:val="auto"/>
              </w:rPr>
            </w:pPr>
          </w:p>
        </w:tc>
        <w:tc>
          <w:tcPr>
            <w:tcW w:w="1480" w:type="dxa"/>
            <w:vAlign w:val="bottom"/>
            <w:vMerge w:val="continue"/>
            <w:shd w:val="clear" w:color="auto" w:fill="D9D9D9"/>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80" w:type="dxa"/>
            <w:vAlign w:val="bottom"/>
            <w:vMerge w:val="continue"/>
            <w:shd w:val="clear" w:color="auto" w:fill="D9D9D9"/>
          </w:tcPr>
          <w:p>
            <w:pPr>
              <w:spacing w:after="0"/>
              <w:rPr>
                <w:sz w:val="20"/>
                <w:szCs w:val="20"/>
                <w:color w:val="auto"/>
              </w:rPr>
            </w:pPr>
          </w:p>
        </w:tc>
        <w:tc>
          <w:tcPr>
            <w:tcW w:w="840" w:type="dxa"/>
            <w:vAlign w:val="bottom"/>
            <w:shd w:val="clear" w:color="auto" w:fill="D9D9D9"/>
          </w:tcPr>
          <w:p>
            <w:pPr>
              <w:ind w:left="260"/>
              <w:spacing w:after="0"/>
              <w:rPr>
                <w:sz w:val="20"/>
                <w:szCs w:val="20"/>
                <w:color w:val="auto"/>
              </w:rPr>
            </w:pPr>
            <w:r>
              <w:rPr>
                <w:rFonts w:ascii="Arial" w:cs="Arial" w:eastAsia="Arial" w:hAnsi="Arial"/>
                <w:sz w:val="18"/>
                <w:szCs w:val="18"/>
                <w:b w:val="1"/>
                <w:bCs w:val="1"/>
                <w:color w:val="auto"/>
              </w:rPr>
              <w:t>RET</w:t>
            </w:r>
          </w:p>
        </w:tc>
        <w:tc>
          <w:tcPr>
            <w:tcW w:w="860" w:type="dxa"/>
            <w:vAlign w:val="bottom"/>
            <w:shd w:val="clear" w:color="auto" w:fill="D9D9D9"/>
          </w:tcPr>
          <w:p>
            <w:pPr>
              <w:ind w:left="240"/>
              <w:spacing w:after="0"/>
              <w:rPr>
                <w:sz w:val="20"/>
                <w:szCs w:val="20"/>
                <w:color w:val="auto"/>
              </w:rPr>
            </w:pPr>
            <w:r>
              <w:rPr>
                <w:rFonts w:ascii="Arial" w:cs="Arial" w:eastAsia="Arial" w:hAnsi="Arial"/>
                <w:sz w:val="18"/>
                <w:szCs w:val="18"/>
                <w:b w:val="1"/>
                <w:bCs w:val="1"/>
                <w:color w:val="auto"/>
              </w:rPr>
              <w:t>RET</w:t>
            </w:r>
          </w:p>
        </w:tc>
        <w:tc>
          <w:tcPr>
            <w:tcW w:w="740" w:type="dxa"/>
            <w:vAlign w:val="bottom"/>
            <w:shd w:val="clear" w:color="auto" w:fill="D9D9D9"/>
          </w:tcPr>
          <w:p>
            <w:pPr>
              <w:ind w:left="220"/>
              <w:spacing w:after="0"/>
              <w:rPr>
                <w:sz w:val="20"/>
                <w:szCs w:val="20"/>
                <w:color w:val="auto"/>
              </w:rPr>
            </w:pPr>
            <w:r>
              <w:rPr>
                <w:rFonts w:ascii="Arial" w:cs="Arial" w:eastAsia="Arial" w:hAnsi="Arial"/>
                <w:sz w:val="18"/>
                <w:szCs w:val="18"/>
                <w:b w:val="1"/>
                <w:bCs w:val="1"/>
                <w:color w:val="auto"/>
              </w:rPr>
              <w:t>RET</w:t>
            </w:r>
          </w:p>
        </w:tc>
        <w:tc>
          <w:tcPr>
            <w:tcW w:w="1360" w:type="dxa"/>
            <w:vAlign w:val="bottom"/>
            <w:shd w:val="clear" w:color="auto" w:fill="D9D9D9"/>
          </w:tcPr>
          <w:p>
            <w:pPr>
              <w:jc w:val="center"/>
              <w:ind w:left="70"/>
              <w:spacing w:after="0"/>
              <w:rPr>
                <w:sz w:val="20"/>
                <w:szCs w:val="20"/>
                <w:color w:val="auto"/>
              </w:rPr>
            </w:pPr>
            <w:r>
              <w:rPr>
                <w:rFonts w:ascii="Arial" w:cs="Arial" w:eastAsia="Arial" w:hAnsi="Arial"/>
                <w:sz w:val="18"/>
                <w:szCs w:val="18"/>
                <w:b w:val="1"/>
                <w:bCs w:val="1"/>
                <w:color w:val="auto"/>
                <w:w w:val="98"/>
              </w:rPr>
              <w:t>CCCDC6-</w:t>
            </w:r>
          </w:p>
        </w:tc>
        <w:tc>
          <w:tcPr>
            <w:tcW w:w="1020" w:type="dxa"/>
            <w:vAlign w:val="bottom"/>
            <w:shd w:val="clear" w:color="auto" w:fill="D9D9D9"/>
          </w:tcPr>
          <w:p>
            <w:pPr>
              <w:ind w:left="200"/>
              <w:spacing w:after="0"/>
              <w:rPr>
                <w:sz w:val="20"/>
                <w:szCs w:val="20"/>
                <w:color w:val="auto"/>
              </w:rPr>
            </w:pPr>
            <w:r>
              <w:rPr>
                <w:rFonts w:ascii="Arial" w:cs="Arial" w:eastAsia="Arial" w:hAnsi="Arial"/>
                <w:sz w:val="18"/>
                <w:szCs w:val="18"/>
                <w:b w:val="1"/>
                <w:bCs w:val="1"/>
                <w:color w:val="auto"/>
              </w:rPr>
              <w:t>VEGFR-</w:t>
            </w:r>
          </w:p>
        </w:tc>
        <w:tc>
          <w:tcPr>
            <w:tcW w:w="14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(VEGFR-2 /</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880" w:type="dxa"/>
            <w:vAlign w:val="bottom"/>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91"/>
              </w:rPr>
              <w:t>type</w:t>
            </w:r>
          </w:p>
        </w:tc>
        <w:tc>
          <w:tcPr>
            <w:tcW w:w="840" w:type="dxa"/>
            <w:vAlign w:val="bottom"/>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97"/>
              </w:rPr>
              <w:t>V804L</w:t>
            </w:r>
          </w:p>
        </w:tc>
        <w:tc>
          <w:tcPr>
            <w:tcW w:w="860" w:type="dxa"/>
            <w:vAlign w:val="bottom"/>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rPr>
              <w:t>V804M</w:t>
            </w:r>
          </w:p>
        </w:tc>
        <w:tc>
          <w:tcPr>
            <w:tcW w:w="740" w:type="dxa"/>
            <w:vAlign w:val="bottom"/>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99"/>
              </w:rPr>
              <w:t>M918T</w:t>
            </w:r>
          </w:p>
        </w:tc>
        <w:tc>
          <w:tcPr>
            <w:tcW w:w="1360" w:type="dxa"/>
            <w:vAlign w:val="bottom"/>
            <w:shd w:val="clear" w:color="auto" w:fill="D9D9D9"/>
          </w:tcPr>
          <w:p>
            <w:pPr>
              <w:ind w:left="560"/>
              <w:spacing w:after="0" w:line="189" w:lineRule="exact"/>
              <w:rPr>
                <w:sz w:val="20"/>
                <w:szCs w:val="20"/>
                <w:color w:val="auto"/>
              </w:rPr>
            </w:pPr>
            <w:r>
              <w:rPr>
                <w:rFonts w:ascii="Arial" w:cs="Arial" w:eastAsia="Arial" w:hAnsi="Arial"/>
                <w:sz w:val="18"/>
                <w:szCs w:val="18"/>
                <w:b w:val="1"/>
                <w:bCs w:val="1"/>
                <w:color w:val="auto"/>
              </w:rPr>
              <w:t>RET</w:t>
            </w:r>
          </w:p>
        </w:tc>
        <w:tc>
          <w:tcPr>
            <w:tcW w:w="1020" w:type="dxa"/>
            <w:vAlign w:val="bottom"/>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79"/>
              </w:rPr>
              <w:t>2</w:t>
            </w:r>
          </w:p>
        </w:tc>
        <w:tc>
          <w:tcPr>
            <w:tcW w:w="1480" w:type="dxa"/>
            <w:vAlign w:val="bottom"/>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rPr>
              <w:t>RET)</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rPr>
              <w:t>RET</w:t>
            </w:r>
          </w:p>
        </w:tc>
        <w:tc>
          <w:tcPr>
            <w:tcW w:w="840" w:type="dxa"/>
            <w:vAlign w:val="bottom"/>
            <w:tcBorders>
              <w:bottom w:val="single" w:sz="8" w:color="auto"/>
            </w:tcBorders>
            <w:shd w:val="clear" w:color="auto" w:fill="D9D9D9"/>
          </w:tcPr>
          <w:p>
            <w:pPr>
              <w:spacing w:after="0"/>
              <w:rPr>
                <w:sz w:val="15"/>
                <w:szCs w:val="15"/>
                <w:color w:val="auto"/>
              </w:rPr>
            </w:pPr>
          </w:p>
        </w:tc>
        <w:tc>
          <w:tcPr>
            <w:tcW w:w="860" w:type="dxa"/>
            <w:vAlign w:val="bottom"/>
            <w:tcBorders>
              <w:bottom w:val="single" w:sz="8" w:color="auto"/>
            </w:tcBorders>
            <w:shd w:val="clear" w:color="auto" w:fill="D9D9D9"/>
          </w:tcPr>
          <w:p>
            <w:pPr>
              <w:spacing w:after="0"/>
              <w:rPr>
                <w:sz w:val="15"/>
                <w:szCs w:val="15"/>
                <w:color w:val="auto"/>
              </w:rPr>
            </w:pPr>
          </w:p>
        </w:tc>
        <w:tc>
          <w:tcPr>
            <w:tcW w:w="740" w:type="dxa"/>
            <w:vAlign w:val="bottom"/>
            <w:tcBorders>
              <w:bottom w:val="single" w:sz="8" w:color="auto"/>
            </w:tcBorders>
            <w:shd w:val="clear" w:color="auto" w:fill="D9D9D9"/>
          </w:tcPr>
          <w:p>
            <w:pPr>
              <w:spacing w:after="0"/>
              <w:rPr>
                <w:sz w:val="15"/>
                <w:szCs w:val="15"/>
                <w:color w:val="auto"/>
              </w:rPr>
            </w:pPr>
          </w:p>
        </w:tc>
        <w:tc>
          <w:tcPr>
            <w:tcW w:w="1360" w:type="dxa"/>
            <w:vAlign w:val="bottom"/>
            <w:tcBorders>
              <w:bottom w:val="single" w:sz="8" w:color="auto"/>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spacing w:after="0"/>
              <w:rPr>
                <w:sz w:val="15"/>
                <w:szCs w:val="15"/>
                <w:color w:val="auto"/>
              </w:rPr>
            </w:pPr>
          </w:p>
        </w:tc>
        <w:tc>
          <w:tcPr>
            <w:tcW w:w="1480" w:type="dxa"/>
            <w:vAlign w:val="bottom"/>
            <w:tcBorders>
              <w:bottom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80" w:type="dxa"/>
            <w:vAlign w:val="bottom"/>
          </w:tcPr>
          <w:p>
            <w:pPr>
              <w:ind w:left="120"/>
              <w:spacing w:after="0"/>
              <w:rPr>
                <w:sz w:val="20"/>
                <w:szCs w:val="20"/>
                <w:color w:val="auto"/>
              </w:rPr>
            </w:pPr>
            <w:r>
              <w:rPr>
                <w:rFonts w:ascii="Arial" w:cs="Arial" w:eastAsia="Arial" w:hAnsi="Arial"/>
                <w:sz w:val="18"/>
                <w:szCs w:val="18"/>
                <w:color w:val="auto"/>
              </w:rPr>
              <w:t>BLU-667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87"/>
              </w:rPr>
              <w:t>0.4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88x</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ind w:left="120"/>
              <w:spacing w:after="0"/>
              <w:rPr>
                <w:sz w:val="20"/>
                <w:szCs w:val="20"/>
                <w:color w:val="auto"/>
              </w:rPr>
            </w:pPr>
            <w:r>
              <w:rPr>
                <w:rFonts w:ascii="Arial" w:cs="Arial" w:eastAsia="Arial" w:hAnsi="Arial"/>
                <w:sz w:val="18"/>
                <w:szCs w:val="18"/>
                <w:color w:val="auto"/>
              </w:rPr>
              <w:t>cabozantinib</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162</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89"/>
              </w:rPr>
              <w:t>34</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0.2x</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ind w:left="120"/>
              <w:spacing w:after="0"/>
              <w:rPr>
                <w:sz w:val="20"/>
                <w:szCs w:val="20"/>
                <w:color w:val="auto"/>
              </w:rPr>
            </w:pPr>
            <w:r>
              <w:rPr>
                <w:rFonts w:ascii="Arial" w:cs="Arial" w:eastAsia="Arial" w:hAnsi="Arial"/>
                <w:sz w:val="18"/>
                <w:szCs w:val="18"/>
                <w:color w:val="auto"/>
              </w:rPr>
              <w:t>vandetanib</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3597</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726</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89"/>
              </w:rPr>
              <w:t>20</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1x</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ind w:left="120"/>
              <w:spacing w:after="0"/>
              <w:rPr>
                <w:sz w:val="20"/>
                <w:szCs w:val="20"/>
                <w:color w:val="auto"/>
              </w:rPr>
            </w:pPr>
            <w:r>
              <w:rPr>
                <w:rFonts w:ascii="Arial" w:cs="Arial" w:eastAsia="Arial" w:hAnsi="Arial"/>
                <w:sz w:val="18"/>
                <w:szCs w:val="18"/>
                <w:color w:val="auto"/>
              </w:rPr>
              <w:t>RXDX-105</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188</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99"/>
              </w:rPr>
              <w:t>7</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6x</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right="140"/>
        <w:spacing w:after="0" w:line="159" w:lineRule="exact"/>
        <w:rPr>
          <w:sz w:val="20"/>
          <w:szCs w:val="20"/>
          <w:color w:val="auto"/>
        </w:rPr>
      </w:pPr>
      <w:r>
        <w:rPr>
          <w:rFonts w:ascii="Arial" w:cs="Arial" w:eastAsia="Arial" w:hAnsi="Arial"/>
          <w:sz w:val="13"/>
          <w:szCs w:val="13"/>
          <w:color w:val="auto"/>
        </w:rPr>
        <w:t>Potency of BLU-667 against wild</w:t>
      </w:r>
      <w:r>
        <w:rPr>
          <w:rFonts w:ascii="MS PGothic" w:cs="MS PGothic" w:eastAsia="MS PGothic" w:hAnsi="MS PGothic"/>
          <w:sz w:val="13"/>
          <w:szCs w:val="13"/>
          <w:color w:val="auto"/>
        </w:rPr>
        <w:t>‑</w:t>
      </w:r>
      <w:r>
        <w:rPr>
          <w:rFonts w:ascii="Arial" w:cs="Arial" w:eastAsia="Arial" w:hAnsi="Arial"/>
          <w:sz w:val="13"/>
          <w:szCs w:val="13"/>
          <w:color w:val="auto"/>
        </w:rPr>
        <w:t>type RET, predicted RET resistant mutants and the anti-target VEGFR-2 compared to a panel of multi</w:t>
      </w:r>
      <w:r>
        <w:rPr>
          <w:rFonts w:ascii="MS PGothic" w:cs="MS PGothic" w:eastAsia="MS PGothic" w:hAnsi="MS PGothic"/>
          <w:sz w:val="13"/>
          <w:szCs w:val="13"/>
          <w:color w:val="auto"/>
        </w:rPr>
        <w:t>‑</w:t>
      </w:r>
      <w:r>
        <w:rPr>
          <w:rFonts w:ascii="Arial" w:cs="Arial" w:eastAsia="Arial" w:hAnsi="Arial"/>
          <w:sz w:val="13"/>
          <w:szCs w:val="13"/>
          <w:color w:val="auto"/>
        </w:rPr>
        <w:t>kinase inhibitors with RET inhibitory activity. The inhibitory potencies of BLU-667 and the multi</w:t>
      </w:r>
      <w:r>
        <w:rPr>
          <w:rFonts w:ascii="MS PGothic" w:cs="MS PGothic" w:eastAsia="MS PGothic" w:hAnsi="MS PGothic"/>
          <w:sz w:val="13"/>
          <w:szCs w:val="13"/>
          <w:color w:val="auto"/>
        </w:rPr>
        <w:t>‑</w:t>
      </w:r>
      <w:r>
        <w:rPr>
          <w:rFonts w:ascii="Arial" w:cs="Arial" w:eastAsia="Arial" w:hAnsi="Arial"/>
          <w:sz w:val="13"/>
          <w:szCs w:val="13"/>
          <w:color w:val="auto"/>
        </w:rPr>
        <w:t>kinase inhibitors against wild</w:t>
      </w:r>
      <w:r>
        <w:rPr>
          <w:rFonts w:ascii="MS PGothic" w:cs="MS PGothic" w:eastAsia="MS PGothic" w:hAnsi="MS PGothic"/>
          <w:sz w:val="13"/>
          <w:szCs w:val="13"/>
          <w:color w:val="auto"/>
        </w:rPr>
        <w:t>‑</w:t>
      </w:r>
      <w:r>
        <w:rPr>
          <w:rFonts w:ascii="Arial" w:cs="Arial" w:eastAsia="Arial" w:hAnsi="Arial"/>
          <w:sz w:val="13"/>
          <w:szCs w:val="13"/>
          <w:color w:val="auto"/>
        </w:rPr>
        <w:t>type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0" w:lineRule="exact"/>
        <w:rPr>
          <w:sz w:val="20"/>
          <w:szCs w:val="20"/>
          <w:color w:val="auto"/>
        </w:rPr>
      </w:pPr>
    </w:p>
    <w:p>
      <w:pPr>
        <w:ind w:left="660" w:right="119"/>
        <w:spacing w:after="0" w:line="159" w:lineRule="exact"/>
        <w:rPr>
          <w:sz w:val="20"/>
          <w:szCs w:val="20"/>
          <w:color w:val="auto"/>
        </w:rPr>
      </w:pPr>
      <w:r>
        <w:rPr>
          <w:rFonts w:ascii="Arial" w:cs="Arial" w:eastAsia="Arial" w:hAnsi="Arial"/>
          <w:sz w:val="14"/>
          <w:szCs w:val="14"/>
          <w:color w:val="auto"/>
        </w:rPr>
        <w:t xml:space="preserve">RET, RET resistant mutants and VEGFR2 were evaluated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assays. The inhibitory potencies of these compounds were also evaluated in cell lines driven by either a wild</w:t>
      </w:r>
      <w:r>
        <w:rPr>
          <w:rFonts w:ascii="MS PGothic" w:cs="MS PGothic" w:eastAsia="MS PGothic" w:hAnsi="MS PGothic"/>
          <w:sz w:val="14"/>
          <w:szCs w:val="14"/>
          <w:color w:val="auto"/>
        </w:rPr>
        <w:t>‑</w:t>
      </w:r>
      <w:r>
        <w:rPr>
          <w:rFonts w:ascii="Arial" w:cs="Arial" w:eastAsia="Arial" w:hAnsi="Arial"/>
          <w:sz w:val="14"/>
          <w:szCs w:val="14"/>
          <w:color w:val="auto"/>
        </w:rPr>
        <w:t>type RET fusion or a mutant RET fusion.</w:t>
      </w:r>
    </w:p>
    <w:p>
      <w:pPr>
        <w:spacing w:after="0" w:line="174" w:lineRule="exact"/>
        <w:rPr>
          <w:sz w:val="20"/>
          <w:szCs w:val="20"/>
          <w:color w:val="auto"/>
        </w:rPr>
      </w:pPr>
    </w:p>
    <w:p>
      <w:pPr>
        <w:ind w:right="19" w:firstLine="648"/>
        <w:spacing w:after="0" w:line="182" w:lineRule="exact"/>
        <w:rPr>
          <w:sz w:val="20"/>
          <w:szCs w:val="20"/>
          <w:color w:val="auto"/>
        </w:rPr>
      </w:pPr>
      <w:r>
        <w:rPr>
          <w:rFonts w:ascii="Arial" w:cs="Arial" w:eastAsia="Arial" w:hAnsi="Arial"/>
          <w:sz w:val="17"/>
          <w:szCs w:val="17"/>
          <w:color w:val="auto"/>
        </w:rPr>
        <w:t>We have demonstrated significant anti</w:t>
      </w:r>
      <w:r>
        <w:rPr>
          <w:rFonts w:ascii="MS PGothic" w:cs="MS PGothic" w:eastAsia="MS PGothic" w:hAnsi="MS PGothic"/>
          <w:sz w:val="17"/>
          <w:szCs w:val="17"/>
          <w:color w:val="auto"/>
        </w:rPr>
        <w:t>‑</w:t>
      </w:r>
      <w:r>
        <w:rPr>
          <w:rFonts w:ascii="Arial" w:cs="Arial" w:eastAsia="Arial" w:hAnsi="Arial"/>
          <w:sz w:val="17"/>
          <w:szCs w:val="17"/>
          <w:color w:val="auto"/>
        </w:rPr>
        <w:t>tumor efficacy with BLU-667 in both a KIF5b-RET fusion allograft and a KIF5b-RET (V804L) resistant mutant allograft. Administration of BLU-667 orally twice daily for 14 days in a wild</w:t>
      </w:r>
      <w:r>
        <w:rPr>
          <w:rFonts w:ascii="MS PGothic" w:cs="MS PGothic" w:eastAsia="MS PGothic" w:hAnsi="MS PGothic"/>
          <w:sz w:val="17"/>
          <w:szCs w:val="17"/>
          <w:color w:val="auto"/>
        </w:rPr>
        <w:t>‑</w:t>
      </w:r>
      <w:r>
        <w:rPr>
          <w:rFonts w:ascii="Arial" w:cs="Arial" w:eastAsia="Arial" w:hAnsi="Arial"/>
          <w:sz w:val="17"/>
          <w:szCs w:val="17"/>
          <w:color w:val="auto"/>
        </w:rPr>
        <w:t>type RET fusion allograft and for 14 days in a predicted RET resistant mutant allograft resulted in robust and dose</w:t>
      </w:r>
      <w:r>
        <w:rPr>
          <w:rFonts w:ascii="MS PGothic" w:cs="MS PGothic" w:eastAsia="MS PGothic" w:hAnsi="MS PGothic"/>
          <w:sz w:val="17"/>
          <w:szCs w:val="17"/>
          <w:color w:val="auto"/>
        </w:rPr>
        <w:t>‑</w:t>
      </w:r>
      <w:r>
        <w:rPr>
          <w:rFonts w:ascii="Arial" w:cs="Arial" w:eastAsia="Arial" w:hAnsi="Arial"/>
          <w:sz w:val="17"/>
          <w:szCs w:val="17"/>
          <w:color w:val="auto"/>
        </w:rPr>
        <w:t>dependent tumor growth inhibition. At a dose of 30 mg/kg twice daily, a well</w:t>
      </w:r>
      <w:r>
        <w:rPr>
          <w:rFonts w:ascii="MS PGothic" w:cs="MS PGothic" w:eastAsia="MS PGothic" w:hAnsi="MS PGothic"/>
          <w:sz w:val="17"/>
          <w:szCs w:val="17"/>
          <w:color w:val="auto"/>
        </w:rPr>
        <w:t>‑</w:t>
      </w:r>
      <w:r>
        <w:rPr>
          <w:rFonts w:ascii="Arial" w:cs="Arial" w:eastAsia="Arial" w:hAnsi="Arial"/>
          <w:sz w:val="17"/>
          <w:szCs w:val="17"/>
          <w:color w:val="auto"/>
        </w:rPr>
        <w:t>tolerated dose, the compound induced tumor regression in both models. The anti</w:t>
      </w:r>
      <w:r>
        <w:rPr>
          <w:rFonts w:ascii="MS PGothic" w:cs="MS PGothic" w:eastAsia="MS PGothic" w:hAnsi="MS PGothic"/>
          <w:sz w:val="17"/>
          <w:szCs w:val="17"/>
          <w:color w:val="auto"/>
        </w:rPr>
        <w:t>‑</w:t>
      </w:r>
      <w:r>
        <w:rPr>
          <w:rFonts w:ascii="Arial" w:cs="Arial" w:eastAsia="Arial" w:hAnsi="Arial"/>
          <w:sz w:val="17"/>
          <w:szCs w:val="17"/>
          <w:color w:val="auto"/>
        </w:rPr>
        <w:t>tumor efficacy of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RET inhibitory activity that is being evaluated in the clinic for treatment of patients with RET fusion positive lung cancer (reference compound) was also evaluated in these models. This reference compound, dosed orally once daily at 60 mg/kg, a well</w:t>
      </w:r>
      <w:r>
        <w:rPr>
          <w:rFonts w:ascii="MS PGothic" w:cs="MS PGothic" w:eastAsia="MS PGothic" w:hAnsi="MS PGothic"/>
          <w:sz w:val="17"/>
          <w:szCs w:val="17"/>
          <w:color w:val="auto"/>
        </w:rPr>
        <w:t>‑</w:t>
      </w:r>
      <w:r>
        <w:rPr>
          <w:rFonts w:ascii="Arial" w:cs="Arial" w:eastAsia="Arial" w:hAnsi="Arial"/>
          <w:sz w:val="17"/>
          <w:szCs w:val="17"/>
          <w:color w:val="auto"/>
        </w:rPr>
        <w:t>tolerated dose, inhibited tumor growth in the wild</w:t>
      </w:r>
      <w:r>
        <w:rPr>
          <w:rFonts w:ascii="MS PGothic" w:cs="MS PGothic" w:eastAsia="MS PGothic" w:hAnsi="MS PGothic"/>
          <w:sz w:val="17"/>
          <w:szCs w:val="17"/>
          <w:color w:val="auto"/>
        </w:rPr>
        <w:t>‑</w:t>
      </w:r>
      <w:r>
        <w:rPr>
          <w:rFonts w:ascii="Arial" w:cs="Arial" w:eastAsia="Arial" w:hAnsi="Arial"/>
          <w:sz w:val="17"/>
          <w:szCs w:val="17"/>
          <w:color w:val="auto"/>
        </w:rPr>
        <w:t>type RET fusion allograft. At the same dose level in the RET resistant mutant allograft, this reference compound showed diminished inhibition of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120015</wp:posOffset>
            </wp:positionV>
            <wp:extent cx="4939665" cy="1629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966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79"/>
        <w:spacing w:after="0" w:line="269" w:lineRule="auto"/>
        <w:rPr>
          <w:sz w:val="20"/>
          <w:szCs w:val="20"/>
          <w:color w:val="auto"/>
        </w:rPr>
      </w:pPr>
      <w:r>
        <w:rPr>
          <w:rFonts w:ascii="Arial" w:cs="Arial" w:eastAsia="Arial" w:hAnsi="Arial"/>
          <w:sz w:val="13"/>
          <w:szCs w:val="13"/>
          <w:color w:val="auto"/>
        </w:rPr>
        <w:t>BLU-667, a RET inhibitor, elicits dose dependent tumor growth inhibition in both a KIF5b-RET fusion allograft (left figure)) and a KIF5b-RET (V804L) resistant mutant allograft model (right figure). In the figure above, BID means twice a day, and QD means once a day.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BLU-667 – Clinical Development for Patients with RET-Altered NSCLC, MTC and Other Advanced Solid Tumors</w:t>
      </w:r>
    </w:p>
    <w:p>
      <w:pPr>
        <w:spacing w:after="0" w:line="196" w:lineRule="exact"/>
        <w:rPr>
          <w:sz w:val="20"/>
          <w:szCs w:val="20"/>
          <w:color w:val="auto"/>
        </w:rPr>
      </w:pPr>
    </w:p>
    <w:p>
      <w:pPr>
        <w:ind w:right="19" w:firstLine="648"/>
        <w:spacing w:after="0" w:line="221" w:lineRule="auto"/>
        <w:rPr>
          <w:sz w:val="20"/>
          <w:szCs w:val="20"/>
          <w:color w:val="auto"/>
        </w:rPr>
      </w:pPr>
      <w:r>
        <w:rPr>
          <w:rFonts w:ascii="Arial" w:cs="Arial" w:eastAsia="Arial" w:hAnsi="Arial"/>
          <w:sz w:val="17"/>
          <w:szCs w:val="17"/>
          <w:color w:val="auto"/>
        </w:rPr>
        <w:t>BLU-667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NSCLC and cancers of the thyroid, including MTC and PTC. Our research suggests that RET may also drive disease in subsets of patients with colon cancer, breast cancer and other cancers. We are currently evaluating BLU-667 in our ongoing Phase 1 ARROW trial in patients with RET-altered NSCLC, MTC and other advanced solid tumors. In April 2018, we presented initial data from the ongoing ARROW trial at the American Association for Cancer Research, or AACR Annual Meeting, and in October 2018, we presented updated data from the ongoing ARROW trial in RET-altered MTC and PTC at the 88</w:t>
      </w:r>
      <w:r>
        <w:rPr>
          <w:rFonts w:ascii="Arial" w:cs="Arial" w:eastAsia="Arial" w:hAnsi="Arial"/>
          <w:sz w:val="8"/>
          <w:szCs w:val="8"/>
          <w:color w:val="auto"/>
        </w:rPr>
        <w:t>th</w:t>
      </w:r>
      <w:r>
        <w:rPr>
          <w:rFonts w:ascii="Arial" w:cs="Arial" w:eastAsia="Arial" w:hAnsi="Arial"/>
          <w:sz w:val="17"/>
          <w:szCs w:val="17"/>
          <w:color w:val="auto"/>
        </w:rPr>
        <w:t xml:space="preserve"> Annual Meeting of the American Thyroid Association, or ATA Annual Meeting. In addition, in September 2018, we presented two clinical cases demonstrating proof-of-concept for BLU-667 in combination with osimertinib (Tagrisso®) in treatment-resistant, EGFR-mutant NSCLC at the International Association for the Study of Lung Cancer 19</w:t>
      </w:r>
      <w:r>
        <w:rPr>
          <w:rFonts w:ascii="Arial" w:cs="Arial" w:eastAsia="Arial" w:hAnsi="Arial"/>
          <w:sz w:val="8"/>
          <w:szCs w:val="8"/>
          <w:color w:val="auto"/>
        </w:rPr>
        <w:t>th</w:t>
      </w:r>
      <w:r>
        <w:rPr>
          <w:rFonts w:ascii="Arial" w:cs="Arial" w:eastAsia="Arial" w:hAnsi="Arial"/>
          <w:sz w:val="17"/>
          <w:szCs w:val="17"/>
          <w:color w:val="auto"/>
        </w:rPr>
        <w:t xml:space="preserve"> World Conference on Lung Cancer, or World Lung Conference, and published online in </w:t>
      </w:r>
      <w:r>
        <w:rPr>
          <w:rFonts w:ascii="Arial" w:cs="Arial" w:eastAsia="Arial" w:hAnsi="Arial"/>
          <w:sz w:val="17"/>
          <w:szCs w:val="17"/>
          <w:i w:val="1"/>
          <w:iCs w:val="1"/>
          <w:color w:val="auto"/>
        </w:rPr>
        <w:t>Cancer Discovery</w:t>
      </w:r>
      <w:r>
        <w:rPr>
          <w:rFonts w:ascii="Arial" w:cs="Arial" w:eastAsia="Arial" w:hAnsi="Arial"/>
          <w:sz w:val="17"/>
          <w:szCs w:val="17"/>
          <w:color w:val="auto"/>
        </w:rPr>
        <w:t>.</w:t>
      </w:r>
    </w:p>
    <w:p>
      <w:pPr>
        <w:spacing w:after="0" w:line="163" w:lineRule="exact"/>
        <w:rPr>
          <w:sz w:val="20"/>
          <w:szCs w:val="20"/>
          <w:color w:val="auto"/>
        </w:rPr>
      </w:pPr>
    </w:p>
    <w:p>
      <w:pPr>
        <w:ind w:right="59" w:firstLine="648"/>
        <w:spacing w:after="0" w:line="210" w:lineRule="auto"/>
        <w:rPr>
          <w:sz w:val="20"/>
          <w:szCs w:val="20"/>
          <w:color w:val="auto"/>
        </w:rPr>
      </w:pPr>
      <w:r>
        <w:rPr>
          <w:rFonts w:ascii="Arial" w:cs="Arial" w:eastAsia="Arial" w:hAnsi="Arial"/>
          <w:sz w:val="18"/>
          <w:szCs w:val="18"/>
          <w:color w:val="auto"/>
        </w:rPr>
        <w:t>We expect to complete enrollment of the previously treated NSCLC and MTC cohorts in the ARROW trial in the second quarter of 2019. In addition, we plan to present updated data from the ongoing ARROW trial in the second quarter of 2019. We plan to submit an NDA for BLU-667 in the first half of 2020 based on additional data from the ongoing ARROW trial and currently expect the NDA submission will be for separate potential indications: (1) patients with RET-fusion positive NSCLC who have progressed following prior systemic therapy and (2) patients with RET-mutant MTC who have progressed following treatment with a tyrosine kinase inhibitor, or TKI. In addition, in the second half of 2019, we plan to initiate a Phase 3 clinical trial evaluating BLU-667 in first-line RET-altered NSCLC and plan to initiate a Phase 2 clinical trial evaluating BLU-667 in combination with osimertinib in treatment-resistant, EGFR-mutant NSCLC harboring an acquired RET alteration.</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FDA has granted orphan drug designation to BLU-667 for the treatment of RET-rearranged NSCLC, JAK1/2-positive NSCLC or TRKC-positive NSCLC, and the FDA has granted breakthrough therapy designation to BLU-667 for the treatment of patients with RET mutation-positive MTC that requires systemic treatment and for which there are no acceptable alternative treatments.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ARROW Trial—Data Reported in April 2018 at the AACR Annual Meeting</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of the data cutoff date of April 6, 2018, 53 patients had been treated with BLU-667 in the dose escalation portion of the Phase 1 ARROW trial across multiple dose levels ranging from 30 mg to 600 mg QD, including 19 patients with NSCLC, 29 patients with MTC and five patients with other solid tumors. Of these 53 patients, 27 patients (51 percent) had been previously treated with a multi-kinase inhibitor and 18 patients (34 percent) had been previously treated with an immunotherapy. PK data across all QD dose levels demonstrated rapid absorption of BLU-667 and a mean half-life greater than 12 hours, supporting a QD dosing regimen.</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i w:val="1"/>
          <w:iCs w:val="1"/>
          <w:color w:val="auto"/>
        </w:rPr>
        <w:t xml:space="preserve">Safety Data. </w:t>
      </w:r>
      <w:r>
        <w:rPr>
          <w:rFonts w:ascii="Arial" w:cs="Arial" w:eastAsia="Arial" w:hAnsi="Arial"/>
          <w:sz w:val="17"/>
          <w:szCs w:val="17"/>
          <w:color w:val="auto"/>
        </w:rPr>
        <w:t>As of the data cutoff date, QD dosing of BLU-667 was observed to be well-tolerated. The MTD for</w:t>
      </w:r>
      <w:r>
        <w:rPr>
          <w:rFonts w:ascii="Arial" w:cs="Arial" w:eastAsia="Arial" w:hAnsi="Arial"/>
          <w:sz w:val="17"/>
          <w:szCs w:val="17"/>
          <w:i w:val="1"/>
          <w:iCs w:val="1"/>
          <w:color w:val="auto"/>
        </w:rPr>
        <w:t xml:space="preserve"> </w:t>
      </w:r>
      <w:r>
        <w:rPr>
          <w:rFonts w:ascii="Arial" w:cs="Arial" w:eastAsia="Arial" w:hAnsi="Arial"/>
          <w:sz w:val="17"/>
          <w:szCs w:val="17"/>
          <w:color w:val="auto"/>
        </w:rPr>
        <w:t>BLU-667 was determined to be 400 mg QD using a Bayesian optimal interval design. At QD dose levels up to and including the MTD, the majority of AEs reported by investigators were Grade 1 or 2. AEs reported by investigators (≥20 percent) most commonly included constipation (24 percent), increased alanine aminotransferase (ALT) (22 percent) and increased aspartate aminotransferase (20 percent). Investigators reported treatment-related Grade 3 AEs in eight patients (16 percent). Treatment-related Grade 3 AEs occurring in two or more patients included hypertension and neutropenia. There were no treatment-related Grade 4 or 5 AEs.</w:t>
      </w:r>
    </w:p>
    <w:p>
      <w:pPr>
        <w:spacing w:after="0" w:line="162"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Across all QD dose levels up to 600 mg QD, seven patients experienced dose-limiting toxicities. Only one patient discontinued treatment with BLU -667 due to a dose-limiting toxicity (Grade 3 ALT increase). An additional 11 patients discontinued treatment, including eight patients due to progressive disease, one patient due to an AE unrelated to BLU-667 and one patient due to non-compliance. One patient passed away, and the death was deemed unrelated to BLU-667. Among all 53 enrolled patients, 41 patients (77 percent) remained on BLU-667 as of the data cutoff date. Duration of treatment ranged from 0.3 to 11.5 months.</w:t>
      </w:r>
    </w:p>
    <w:p>
      <w:pPr>
        <w:spacing w:after="0" w:line="162"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i w:val="1"/>
          <w:iCs w:val="1"/>
          <w:color w:val="auto"/>
        </w:rPr>
        <w:t xml:space="preserve">Clinical Activity Data. </w:t>
      </w:r>
      <w:r>
        <w:rPr>
          <w:rFonts w:ascii="Arial" w:cs="Arial" w:eastAsia="Arial" w:hAnsi="Arial"/>
          <w:sz w:val="17"/>
          <w:szCs w:val="17"/>
          <w:color w:val="auto"/>
        </w:rPr>
        <w:t>As of the data cutoff date, 40 patients with RET-altered tumors were evaluable for 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including 14 patients with NSCLC, 25 patients with MTC and one patient with PTC. CT and MRI imaging was used to measure clinical activity by RECIST version 1.1. Of the remaining 13 enrolled patients who were not evaluable for response assessment, two patients did not have RET-altered tumors, one patient died due to an AE unrelated to BLU-667 prior to any response assessment and 10 recently enrolled patients had not been evaluated for response by the data cutoff date. Across all evaluable patients, the preliminary ORR was 45 percent. Responses were observed in patients previously treated with multi-kinase therapy, immunotherapy and chemotherapy.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RET-altered NSCLC</w:t>
      </w:r>
    </w:p>
    <w:p>
      <w:pPr>
        <w:spacing w:after="0" w:line="185" w:lineRule="exact"/>
        <w:rPr>
          <w:sz w:val="20"/>
          <w:szCs w:val="20"/>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85% of NSCLC patients with measurable target lesions had radiographic tumor reductions.</w:t>
      </w:r>
    </w:p>
    <w:p>
      <w:pPr>
        <w:spacing w:after="0" w:line="184" w:lineRule="exact"/>
        <w:rPr>
          <w:rFonts w:ascii="Arial" w:cs="Arial" w:eastAsia="Arial" w:hAnsi="Arial"/>
          <w:sz w:val="18"/>
          <w:szCs w:val="18"/>
          <w:color w:val="auto"/>
        </w:rPr>
      </w:pPr>
    </w:p>
    <w:p>
      <w:pPr>
        <w:ind w:left="1300" w:right="4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patients achieved a PR (five confirmed, two pending confirmation), representing a preliminary ORR of 50 percent.</w:t>
      </w:r>
    </w:p>
    <w:p>
      <w:pPr>
        <w:spacing w:after="0" w:line="161"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Responses were observed in patients with the most common RET alterations in NSCLC, including RET-KIF5B and RET-CCDC6 fusions.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evidence of anti-tumor activity in the brain was observed in metastatic NSCLC.</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RET-altered MTC</w:t>
      </w:r>
    </w:p>
    <w:p>
      <w:pPr>
        <w:spacing w:after="0" w:line="185"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83% of MTC patients with measurable target lesions had radiographic tumor reductions.</w:t>
      </w:r>
    </w:p>
    <w:p>
      <w:pPr>
        <w:spacing w:after="0" w:line="184" w:lineRule="exact"/>
        <w:rPr>
          <w:rFonts w:ascii="Arial" w:cs="Arial" w:eastAsia="Arial" w:hAnsi="Arial"/>
          <w:sz w:val="18"/>
          <w:szCs w:val="18"/>
          <w:color w:val="auto"/>
        </w:rPr>
      </w:pPr>
    </w:p>
    <w:p>
      <w:pPr>
        <w:ind w:left="1300" w:right="32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patient achieved a confirmed complete response, nine patients achieved a PR (five confirmed, four pending confirmation), representing a preliminary ORR of 40 percent.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4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Responses were observed in patients with the most common activating RET mutations in MTC, including the RET-M918T mutation.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RET-altered solid tumors</w:t>
      </w:r>
    </w:p>
    <w:p>
      <w:pPr>
        <w:spacing w:after="0" w:line="185"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patient with RET-altered PTC achieved a PR (pending confirmation).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ARROW Trial—Thyroid Cancer Data Reported in September 2018 at the ATA Annual Meeting</w:t>
      </w:r>
    </w:p>
    <w:p>
      <w:pPr>
        <w:spacing w:after="0" w:line="18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data presented included all patients enrolled in the Phase 1 ARROW clinical trial as of May 9, 2018, and included follow-up on these patients through the data cutoff date of September 14, 2018. Of the 69 patients who had been treated with BLU-667 in the dose escalation and expansion portions of the trial, 42 had RET-altered thyroid cancer, including 37 with MTC and five with PTC. In the dose escalation portion, patients were treated at dose levels ranging from 30 mg to 600 mg QD or up to 300 mg twice daily. In the expansion portion, patients were treated at the recommended phase 2 dose of 400 mg QD.</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i w:val="1"/>
          <w:iCs w:val="1"/>
          <w:color w:val="auto"/>
        </w:rPr>
        <w:t xml:space="preserve">Safety Data. </w:t>
      </w:r>
      <w:r>
        <w:rPr>
          <w:rFonts w:ascii="Arial" w:cs="Arial" w:eastAsia="Arial" w:hAnsi="Arial"/>
          <w:sz w:val="16"/>
          <w:szCs w:val="16"/>
          <w:color w:val="auto"/>
        </w:rPr>
        <w:t>The reported data showed that across 69 patients, BLU-667 was well-tolerated as of the data cutoff</w:t>
      </w:r>
      <w:r>
        <w:rPr>
          <w:rFonts w:ascii="Arial" w:cs="Arial" w:eastAsia="Arial" w:hAnsi="Arial"/>
          <w:sz w:val="16"/>
          <w:szCs w:val="16"/>
          <w:i w:val="1"/>
          <w:iCs w:val="1"/>
          <w:color w:val="auto"/>
        </w:rPr>
        <w:t xml:space="preserve"> </w:t>
      </w:r>
      <w:r>
        <w:rPr>
          <w:rFonts w:ascii="Arial" w:cs="Arial" w:eastAsia="Arial" w:hAnsi="Arial"/>
          <w:sz w:val="16"/>
          <w:szCs w:val="16"/>
          <w:color w:val="auto"/>
        </w:rPr>
        <w:t>date. Most AEs were Grade 1, and only two patients discontinued therapy due to a treatment-related AE (Grade 3 increased alanine aminotransferase in a patient with liver metastases and Grade 2 pneumonitis). Treatment-emergent AEs (regardless of relationship to BLU-667) reported by investigators (≥15 percent) most commonly were constipation (35 percent), increased aspartate aminotransferase (33 percent), anemia (30 percent), hypertension (30 percent), decreased white blood cell count (29 percent), diarrhea (28 percent), neutropenia (28 percent), increased alanine aminotransferase (25 percent), increased blood creatinine (23 percent), fatigue (19 percent) and headache (17 percent). Grade 3 or higher treatment-related AEs occurring in two or more patients included anemia, hypertension, decreased white blood cell count, diarrhea and neutropenia.</w:t>
      </w:r>
    </w:p>
    <w:p>
      <w:pPr>
        <w:spacing w:after="0" w:line="167"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i w:val="1"/>
          <w:iCs w:val="1"/>
          <w:color w:val="auto"/>
        </w:rPr>
        <w:t xml:space="preserve">Clinical Activity Data. </w:t>
      </w:r>
      <w:r>
        <w:rPr>
          <w:rFonts w:ascii="Arial" w:cs="Arial" w:eastAsia="Arial" w:hAnsi="Arial"/>
          <w:sz w:val="18"/>
          <w:szCs w:val="18"/>
          <w:color w:val="auto"/>
        </w:rPr>
        <w:t>As of the data cutoff date, 35 patients with MTC and four patients with PTC were evaluable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response assessment by RECIST version 1.1. Overall, 90 percent of MTC and PTC patients with measurable target lesions had radiographic tumor reductions.</w:t>
      </w:r>
    </w:p>
    <w:p>
      <w:pPr>
        <w:spacing w:after="0" w:line="163"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In patients with MTC, response assessments showed increased clinical activity with higher dose levels and longer treatment durations. Across all evaluable MTC patients, the overall response rate (ORR) was 49 percent, including one patient with a confirmed CR and 16 patients with a PR (two pending confirmation). In patients with MTC treated with 300 to 400 mg QD for at least 24 weeks, the response rate was 62 percent, including one patient with a confirmed CR and seven patients with a confirmed PR.</w:t>
      </w:r>
    </w:p>
    <w:p>
      <w:pPr>
        <w:spacing w:after="0" w:line="162"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In patients with PTC, two of four evaluable patients had a confirmed PR, and all evaluable patients with PTC had radiographic tumor shrinkage.</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data also showed encouraging evidence of durable activity. All patients with MTC and PTC who responded to BLU-667 remain on treatment as of the data cutoff date. In addition, all patients treated at 400 mg QD were continuing on therapy as of the data cutoff date. Patients with the longest treatment durations remained on therapy for more than 15 months.</w:t>
      </w:r>
    </w:p>
    <w:p>
      <w:pPr>
        <w:spacing w:after="0" w:line="14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Anti-tumor activity was observed regardless of prior MKI therapy or RET alteration. Similar response rates were observed in MTC patients who were MKI-experienced (47 percent; 8/17 patients) and MKI-naïve (50 percent; 9/18 patients). In addition, clinical responses were observed in patients with common activating mutations in MTC (e.g., M918T) and fusion partners in PTC (e.g., NCO4A and CCDC6). A clinical response was also observed in the one evaluable MTC patient with a germline V804M gatekeeper mutation.</w:t>
      </w:r>
    </w:p>
    <w:p>
      <w:pPr>
        <w:spacing w:after="0" w:line="162"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i w:val="1"/>
          <w:iCs w:val="1"/>
          <w:color w:val="auto"/>
        </w:rPr>
        <w:t xml:space="preserve">ARROW Trial Design. </w:t>
      </w:r>
      <w:r>
        <w:rPr>
          <w:rFonts w:ascii="Arial" w:cs="Arial" w:eastAsia="Arial" w:hAnsi="Arial"/>
          <w:sz w:val="17"/>
          <w:szCs w:val="17"/>
          <w:color w:val="auto"/>
        </w:rPr>
        <w:t>ARROW is a Phase 1 clinical trial designed to evaluate the safety, tolerability and efficacy of</w:t>
      </w:r>
      <w:r>
        <w:rPr>
          <w:rFonts w:ascii="Arial" w:cs="Arial" w:eastAsia="Arial" w:hAnsi="Arial"/>
          <w:sz w:val="17"/>
          <w:szCs w:val="17"/>
          <w:i w:val="1"/>
          <w:iCs w:val="1"/>
          <w:color w:val="auto"/>
        </w:rPr>
        <w:t xml:space="preserve"> </w:t>
      </w:r>
      <w:r>
        <w:rPr>
          <w:rFonts w:ascii="Arial" w:cs="Arial" w:eastAsia="Arial" w:hAnsi="Arial"/>
          <w:sz w:val="17"/>
          <w:szCs w:val="17"/>
          <w:color w:val="auto"/>
        </w:rPr>
        <w:t>BLU-667 in multiple ascending doses in adults with RET-altered NSCLC, MTC and other advanced solid tumors. The trial consists of two parts: a dose escalation portion and an expansion portion. Enrollment in the dose escalation portion is complete, and the expansion portion has been initiated and is actively enrolling patients in seven defined cohorts at the recommended phase 2 dose of 400 mg QD: (1) RET-fusion NSCLC patients previously treated with platinum-based chemotherapy, (2) RET-fusion NSCLC patients who have not previously received any platinum-based chemotherapy, (3) MTC patients previously treated with an MKI, (4) MTC patients who have not previously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received any MKI treatment, (5) patients with RET-fusion solid tumors previously treated with the prior standard of care for their tumor type, (6) patients with RET-altered solid tumors previously treated with a selective RET tyrosine kinase inhibitor and (7) patients with RET-mutated solid tumors previously treated with the stand of care for their tumor type. Trial objectives include assessing response, pharmacokinetics, pharmacodynamics and safety. The trial is designed to enroll approximately 360 patients across all six expansion cohorts at multiple sites in the United States, European Union and Asia.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Reported in September 2018 at the World Lung Conference</w:t>
      </w:r>
    </w:p>
    <w:p>
      <w:pPr>
        <w:spacing w:after="0" w:line="18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 xml:space="preserve">The data presented at the World Lung Conference and in </w:t>
      </w:r>
      <w:r>
        <w:rPr>
          <w:rFonts w:ascii="Arial" w:cs="Arial" w:eastAsia="Arial" w:hAnsi="Arial"/>
          <w:sz w:val="17"/>
          <w:szCs w:val="17"/>
          <w:i w:val="1"/>
          <w:iCs w:val="1"/>
          <w:color w:val="auto"/>
        </w:rPr>
        <w:t>Cancer Discovery</w:t>
      </w:r>
      <w:r>
        <w:rPr>
          <w:rFonts w:ascii="Arial" w:cs="Arial" w:eastAsia="Arial" w:hAnsi="Arial"/>
          <w:sz w:val="17"/>
          <w:szCs w:val="17"/>
          <w:color w:val="auto"/>
        </w:rPr>
        <w:t xml:space="preserve"> included pre-clinical data and two clinical cases highlighting the potential of combining BLU-667 and osimertinib to overcome treatment resistance in EGFR-mutant NSCLC. The clinical cases included two patients treated with BLU-667 and osimertinib under investigator-sponsored protocols. The patients had advanced EGFR-mutant NSCLC that progressed on standard targeted therapy, with an acquired RET fusion identified via lung biopsy. Radiographic scans after eight weeks showed both patients experienced a partial response (both pending confirmation), with each achieving a 78 percent reduction in target tumors per RECIST version 1.1. The combination was well tolerated, and all reported adverse events were Grade 1 or 2. Both patients continued to receive treatment as of September 26,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FGFR4 Inhibitor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554 is an orally available, potent, selective and irreversible inhibitor of the kinase FGFR4. FGFR4 functions as a receptor whose aberrant activation is a driver of HCC. FGFR4 belongs to a family of highly homologous receptors, which include FGFR1</w:t>
      </w:r>
      <w:r>
        <w:rPr>
          <w:rFonts w:ascii="MS PGothic" w:cs="MS PGothic" w:eastAsia="MS PGothic" w:hAnsi="MS PGothic"/>
          <w:sz w:val="16"/>
          <w:szCs w:val="16"/>
          <w:color w:val="auto"/>
        </w:rPr>
        <w:t>‑</w:t>
      </w:r>
      <w:r>
        <w:rPr>
          <w:rFonts w:ascii="Arial" w:cs="Arial" w:eastAsia="Arial" w:hAnsi="Arial"/>
          <w:sz w:val="16"/>
          <w:szCs w:val="16"/>
          <w:color w:val="auto"/>
        </w:rPr>
        <w:t>4. BLU</w:t>
      </w:r>
      <w:r>
        <w:rPr>
          <w:rFonts w:ascii="MS PGothic" w:cs="MS PGothic" w:eastAsia="MS PGothic" w:hAnsi="MS PGothic"/>
          <w:sz w:val="16"/>
          <w:szCs w:val="16"/>
          <w:color w:val="auto"/>
        </w:rPr>
        <w:t>‑</w:t>
      </w:r>
      <w:r>
        <w:rPr>
          <w:rFonts w:ascii="Arial" w:cs="Arial" w:eastAsia="Arial" w:hAnsi="Arial"/>
          <w:sz w:val="16"/>
          <w:szCs w:val="16"/>
          <w:color w:val="auto"/>
        </w:rPr>
        <w:t>554 targets FGFR4, while sparing the other three FGFR paralogs, and demonstrates exquisite kinome selectivity. Pre</w:t>
      </w:r>
      <w:r>
        <w:rPr>
          <w:rFonts w:ascii="MS PGothic" w:cs="MS PGothic" w:eastAsia="MS PGothic" w:hAnsi="MS PGothic"/>
          <w:sz w:val="16"/>
          <w:szCs w:val="16"/>
          <w:color w:val="auto"/>
        </w:rPr>
        <w:t>‑</w:t>
      </w:r>
      <w:r>
        <w:rPr>
          <w:rFonts w:ascii="Arial" w:cs="Arial" w:eastAsia="Arial" w:hAnsi="Arial"/>
          <w:sz w:val="16"/>
          <w:szCs w:val="16"/>
          <w:color w:val="auto"/>
        </w:rPr>
        <w:t xml:space="preserv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data provides a strong rationale for the development of BLU</w:t>
      </w:r>
      <w:r>
        <w:rPr>
          <w:rFonts w:ascii="MS PGothic" w:cs="MS PGothic" w:eastAsia="MS PGothic" w:hAnsi="MS PGothic"/>
          <w:sz w:val="16"/>
          <w:szCs w:val="16"/>
          <w:color w:val="auto"/>
        </w:rPr>
        <w:t>‑</w:t>
      </w:r>
      <w:r>
        <w:rPr>
          <w:rFonts w:ascii="Arial" w:cs="Arial" w:eastAsia="Arial" w:hAnsi="Arial"/>
          <w:sz w:val="16"/>
          <w:szCs w:val="16"/>
          <w:color w:val="auto"/>
        </w:rPr>
        <w:t>554 for the subset of HCC patients whose tumors are driven by aberrant FGFR4 signaling. We estimate that approximately 30% of patients with HCC have tumors with aberrantly activated FGFR4 signaling, which we refer to as FGFR4-activated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122555</wp:posOffset>
            </wp:positionV>
            <wp:extent cx="1689735" cy="2049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973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right="480"/>
        <w:spacing w:after="0" w:line="224" w:lineRule="auto"/>
        <w:rPr>
          <w:sz w:val="20"/>
          <w:szCs w:val="20"/>
          <w:color w:val="auto"/>
        </w:rPr>
      </w:pPr>
      <w:r>
        <w:rPr>
          <w:rFonts w:ascii="Arial" w:cs="Arial" w:eastAsia="Arial" w:hAnsi="Arial"/>
          <w:sz w:val="14"/>
          <w:szCs w:val="14"/>
          <w:color w:val="auto"/>
        </w:rPr>
        <w:t xml:space="preserve">Approximate kinome tree location of FGFR4. Each branch of the dendogram represents an individual human kinase. </w:t>
      </w:r>
      <w:r>
        <w:rPr>
          <w:rFonts w:ascii="Arial" w:cs="Arial" w:eastAsia="Arial" w:hAnsi="Arial"/>
          <w:sz w:val="14"/>
          <w:szCs w:val="14"/>
          <w:i w:val="1"/>
          <w:iCs w:val="1"/>
          <w:color w:val="auto"/>
        </w:rPr>
        <w:t>Kinome illustration</w:t>
      </w:r>
      <w:r>
        <w:rPr>
          <w:rFonts w:ascii="Arial" w:cs="Arial" w:eastAsia="Arial" w:hAnsi="Arial"/>
          <w:sz w:val="14"/>
          <w:szCs w:val="14"/>
          <w:color w:val="auto"/>
        </w:rPr>
        <w:t xml:space="preserve"> </w:t>
      </w:r>
      <w:r>
        <w:rPr>
          <w:rFonts w:ascii="Arial" w:cs="Arial" w:eastAsia="Arial" w:hAnsi="Arial"/>
          <w:sz w:val="14"/>
          <w:szCs w:val="14"/>
          <w:i w:val="1"/>
          <w:iCs w:val="1"/>
          <w:color w:val="auto"/>
        </w:rPr>
        <w:t>reproduced courtesy of Cell Signaling Technology, Inc., or CSTI (www.cellsignal.com). The foregoing website is maintained by CSTI, and Blueprint Medicines is not responsible for its content.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HCC Disease Background</w:t>
      </w:r>
    </w:p>
    <w:p>
      <w:pPr>
        <w:spacing w:after="0" w:line="185"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Liver cancer is the second leading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deaths worldwide, and HCC accounts for most liver cancers. The highest incidence of HCC occurs in regions with endemic hepatitis B virus, or HBV, including Southeast Asia and sub</w:t>
      </w:r>
      <w:r>
        <w:rPr>
          <w:rFonts w:ascii="MS PGothic" w:cs="MS PGothic" w:eastAsia="MS PGothic" w:hAnsi="MS PGothic"/>
          <w:sz w:val="16"/>
          <w:szCs w:val="16"/>
          <w:color w:val="auto"/>
        </w:rPr>
        <w:t>‑</w:t>
      </w:r>
      <w:r>
        <w:rPr>
          <w:rFonts w:ascii="Arial" w:cs="Arial" w:eastAsia="Arial" w:hAnsi="Arial"/>
          <w:sz w:val="16"/>
          <w:szCs w:val="16"/>
          <w:color w:val="auto"/>
        </w:rPr>
        <w:t>Saharan Africa. In the United States, HCC is the fastest rising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 Over the past two decades, the incidence of HCC has tripled while the five</w:t>
      </w:r>
      <w:r>
        <w:rPr>
          <w:rFonts w:ascii="MS PGothic" w:cs="MS PGothic" w:eastAsia="MS PGothic" w:hAnsi="MS PGothic"/>
          <w:sz w:val="16"/>
          <w:szCs w:val="16"/>
          <w:color w:val="auto"/>
        </w:rPr>
        <w:t>‑</w:t>
      </w:r>
      <w:r>
        <w:rPr>
          <w:rFonts w:ascii="Arial" w:cs="Arial" w:eastAsia="Arial" w:hAnsi="Arial"/>
          <w:sz w:val="16"/>
          <w:szCs w:val="16"/>
          <w:color w:val="auto"/>
        </w:rPr>
        <w:t>year survival rate has remained below 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Cirrhosis is a key risk factor for HCC —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the European Union, the main risk factors for cirrhosis are HCV, HBV and alcohol consumption. In Asia and sub</w:t>
      </w:r>
      <w:r>
        <w:rPr>
          <w:rFonts w:ascii="MS PGothic" w:cs="MS PGothic" w:eastAsia="MS PGothic" w:hAnsi="MS PGothic"/>
          <w:sz w:val="18"/>
          <w:szCs w:val="18"/>
          <w:color w:val="auto"/>
        </w:rPr>
        <w:t>‑</w:t>
      </w:r>
      <w:r>
        <w:rPr>
          <w:rFonts w:ascii="Arial" w:cs="Arial" w:eastAsia="Arial" w:hAnsi="Arial"/>
          <w:sz w:val="18"/>
          <w:szCs w:val="18"/>
          <w:color w:val="auto"/>
        </w:rPr>
        <w:t>Saharan Africa, the major risk factor is chronic HBV infection.</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diagnosis of HCC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Countries with active national screening programs, such as Taiwan and Japan, tend to diagnose many more patients in the early stages of disease. There are currently no treatments for molecularly defined patient subgroups in HCC.</w:t>
      </w:r>
    </w:p>
    <w:p>
      <w:pPr>
        <w:spacing w:after="0" w:line="162" w:lineRule="exact"/>
        <w:rPr>
          <w:sz w:val="20"/>
          <w:szCs w:val="20"/>
          <w:color w:val="auto"/>
        </w:rPr>
      </w:pPr>
    </w:p>
    <w:p>
      <w:pPr>
        <w:ind w:right="120" w:firstLine="648"/>
        <w:spacing w:after="0" w:line="180" w:lineRule="exact"/>
        <w:rPr>
          <w:sz w:val="20"/>
          <w:szCs w:val="20"/>
          <w:color w:val="auto"/>
        </w:rPr>
      </w:pPr>
      <w:r>
        <w:rPr>
          <w:rFonts w:ascii="Arial" w:cs="Arial" w:eastAsia="Arial" w:hAnsi="Arial"/>
          <w:sz w:val="17"/>
          <w:szCs w:val="17"/>
          <w:color w:val="auto"/>
        </w:rPr>
        <w:t>Despite advances in the treatment of HCC, including the recent approvals of nivolumab, pembrolizumab and levantinib, the prognosis for patients with advanced HCC remains poor, and there is a significant unmet need for new treatments for HCC, including FGFR4-driven HCC. Patients diagnosed at an early stage receive potentially curative transplant, resection or ablative therapies. Treatments for intermediate to advanced stage patients include high</w:t>
      </w:r>
      <w:r>
        <w:rPr>
          <w:rFonts w:ascii="MS PGothic" w:cs="MS PGothic" w:eastAsia="MS PGothic" w:hAnsi="MS PGothic"/>
          <w:sz w:val="17"/>
          <w:szCs w:val="17"/>
          <w:color w:val="auto"/>
        </w:rPr>
        <w:t>‑</w:t>
      </w:r>
      <w:r>
        <w:rPr>
          <w:rFonts w:ascii="Arial" w:cs="Arial" w:eastAsia="Arial" w:hAnsi="Arial"/>
          <w:sz w:val="17"/>
          <w:szCs w:val="17"/>
          <w:color w:val="auto"/>
        </w:rPr>
        <w:t>dose chemotherapy delivered directly to the liver (transarterial chemoembolization), the multi-kinase inhibitors sorafenib, regorafenib, cabozantinib and levantinib, and the immunotherapies nivolumab and pembrolizumab. There are no approved treatments that selectively target FGFR4. Sorafenib and levantinib have overall response rates of 2% and 19%, respectively, in treatment-naïve patients. Nivolumab, pembrolizumab, regorafenib and cabozantinib have overall response rates ranging from 4 to 17% in patients previously treated with or intolerant to sorafenib. In clinical practice, patients often require dose modifications or discontinue therapy with multi-kinase inhibitors due to tolerability issues. There is a clear need for medical therapies with a favorable risk</w:t>
      </w:r>
      <w:r>
        <w:rPr>
          <w:rFonts w:ascii="MS PGothic" w:cs="MS PGothic" w:eastAsia="MS PGothic" w:hAnsi="MS PGothic"/>
          <w:sz w:val="17"/>
          <w:szCs w:val="17"/>
          <w:color w:val="auto"/>
        </w:rPr>
        <w:t>‑</w:t>
      </w:r>
      <w:r>
        <w:rPr>
          <w:rFonts w:ascii="Arial" w:cs="Arial" w:eastAsia="Arial" w:hAnsi="Arial"/>
          <w:sz w:val="17"/>
          <w:szCs w:val="17"/>
          <w:color w:val="auto"/>
        </w:rPr>
        <w:t>benefit profile and the potential be used alone or in combination with other approved or emerging therapies for advanced HCC.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FGFR4 as a Driver in HCC</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The FGFR4 signaling pathway is a promising new driver for the development of molecularly targeted therapy in HCC. The link between aberrant FGFR4 signaling and HCC was first established when an amplicon, a region of replicated DNA, that includes FGF19, the ligand that activates FGFR4, was identified in HCC patients. We estimate that more than 5% of tumors of HCC patients have this amplicon. The physiologic role of the receptor, FGFR4, and its ligand, FGF19, is to regulate bile acid metabolism in hepatocytes and liver regeneration following injury. FGF19 is normally produced in the small intestine and signals to hepatocytes through an endocrine mechanism. FGF19 forms an active signaling complex together with FGFR4 and its co</w:t>
      </w:r>
      <w:r>
        <w:rPr>
          <w:rFonts w:ascii="MS PGothic" w:cs="MS PGothic" w:eastAsia="MS PGothic" w:hAnsi="MS PGothic"/>
          <w:sz w:val="16"/>
          <w:szCs w:val="16"/>
          <w:color w:val="auto"/>
        </w:rPr>
        <w:t>‑</w:t>
      </w:r>
      <w:r>
        <w:rPr>
          <w:rFonts w:ascii="Arial" w:cs="Arial" w:eastAsia="Arial" w:hAnsi="Arial"/>
          <w:sz w:val="16"/>
          <w:szCs w:val="16"/>
          <w:color w:val="auto"/>
        </w:rPr>
        <w:t>receptor Klotho</w:t>
      </w:r>
      <w:r>
        <w:rPr>
          <w:rFonts w:ascii="MS PGothic" w:cs="MS PGothic" w:eastAsia="MS PGothic" w:hAnsi="MS PGothic"/>
          <w:sz w:val="16"/>
          <w:szCs w:val="16"/>
          <w:color w:val="auto"/>
        </w:rPr>
        <w:t>‑</w:t>
      </w:r>
      <w:r>
        <w:rPr>
          <w:rFonts w:ascii="Arial" w:cs="Arial" w:eastAsia="Arial" w:hAnsi="Arial"/>
          <w:sz w:val="16"/>
          <w:szCs w:val="16"/>
          <w:color w:val="auto"/>
        </w:rPr>
        <w:t>β. Signaling of the active complex leads to decreased CYP7A1 transcription with a resultant decrease in bile acid synthesis, as well as increased growth, proliferation and survival signals.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68580</wp:posOffset>
            </wp:positionV>
            <wp:extent cx="4965700" cy="2066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657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80"/>
        <w:spacing w:after="0" w:line="159" w:lineRule="exact"/>
        <w:rPr>
          <w:sz w:val="20"/>
          <w:szCs w:val="20"/>
          <w:color w:val="auto"/>
        </w:rPr>
      </w:pPr>
      <w:r>
        <w:rPr>
          <w:rFonts w:ascii="Arial" w:cs="Arial" w:eastAsia="Arial" w:hAnsi="Arial"/>
          <w:sz w:val="14"/>
          <w:szCs w:val="14"/>
          <w:color w:val="auto"/>
        </w:rPr>
        <w:t>In the figure above, HBV means hepatitis B virus, HCV means hepatitis C virus, NASH means non-alcoholic steatohepatitis and KLB means Klotho</w:t>
      </w:r>
      <w:r>
        <w:rPr>
          <w:rFonts w:ascii="MS PGothic" w:cs="MS PGothic" w:eastAsia="MS PGothic" w:hAnsi="MS PGothic"/>
          <w:sz w:val="14"/>
          <w:szCs w:val="14"/>
          <w:color w:val="auto"/>
        </w:rPr>
        <w:t>‑</w:t>
      </w:r>
      <w:r>
        <w:rPr>
          <w:rFonts w:ascii="Arial" w:cs="Arial" w:eastAsia="Arial" w:hAnsi="Arial"/>
          <w:sz w:val="14"/>
          <w:szCs w:val="14"/>
          <w:color w:val="auto"/>
        </w:rPr>
        <w:t>β.</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w:t>
      </w:r>
      <w:r>
        <w:rPr>
          <w:rFonts w:ascii="MS PGothic" w:cs="MS PGothic" w:eastAsia="MS PGothic" w:hAnsi="MS PGothic"/>
          <w:sz w:val="16"/>
          <w:szCs w:val="16"/>
          <w:color w:val="auto"/>
        </w:rPr>
        <w:t>‑</w:t>
      </w:r>
      <w:r>
        <w:rPr>
          <w:rFonts w:ascii="Arial" w:cs="Arial" w:eastAsia="Arial" w:hAnsi="Arial"/>
          <w:sz w:val="16"/>
          <w:szCs w:val="16"/>
          <w:color w:val="auto"/>
        </w:rPr>
        <w:t>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w:t>
      </w:r>
      <w:r>
        <w:rPr>
          <w:rFonts w:ascii="MS PGothic" w:cs="MS PGothic" w:eastAsia="MS PGothic" w:hAnsi="MS PGothic"/>
          <w:sz w:val="16"/>
          <w:szCs w:val="16"/>
          <w:color w:val="auto"/>
        </w:rPr>
        <w:t>‑</w:t>
      </w:r>
      <w:r>
        <w:rPr>
          <w:rFonts w:ascii="Arial" w:cs="Arial" w:eastAsia="Arial" w:hAnsi="Arial"/>
          <w:sz w:val="16"/>
          <w:szCs w:val="16"/>
          <w:color w:val="auto"/>
        </w:rPr>
        <w:t>β, are expressed together uniquely in HCC, although it is possible that they may also occur in rare cases of other solid tumors.</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used our novel drug discovery platform to identify a potentially broader target responder population in addition to the FGF19</w:t>
      </w:r>
      <w:r>
        <w:rPr>
          <w:rFonts w:ascii="MS PGothic" w:cs="MS PGothic" w:eastAsia="MS PGothic" w:hAnsi="MS PGothic"/>
          <w:sz w:val="17"/>
          <w:szCs w:val="17"/>
          <w:color w:val="auto"/>
        </w:rPr>
        <w:t>‑</w:t>
      </w:r>
      <w:r>
        <w:rPr>
          <w:rFonts w:ascii="Arial" w:cs="Arial" w:eastAsia="Arial" w:hAnsi="Arial"/>
          <w:sz w:val="17"/>
          <w:szCs w:val="17"/>
          <w:color w:val="auto"/>
        </w:rPr>
        <w:t>amplified patient population. We estimate that approximately 25% of HCC tumors overexpress FGF19 without amplification. We have also demonstrated a significant anti</w:t>
      </w:r>
      <w:r>
        <w:rPr>
          <w:rFonts w:ascii="MS PGothic" w:cs="MS PGothic" w:eastAsia="MS PGothic" w:hAnsi="MS PGothic"/>
          <w:sz w:val="17"/>
          <w:szCs w:val="17"/>
          <w:color w:val="auto"/>
        </w:rPr>
        <w:t>‑</w:t>
      </w:r>
      <w:r>
        <w:rPr>
          <w:rFonts w:ascii="Arial" w:cs="Arial" w:eastAsia="Arial" w:hAnsi="Arial"/>
          <w:sz w:val="17"/>
          <w:szCs w:val="17"/>
          <w:color w:val="auto"/>
        </w:rPr>
        <w:t>tumor response with an FGFR4 inhibitor in an HCC patient</w:t>
      </w:r>
      <w:r>
        <w:rPr>
          <w:rFonts w:ascii="MS PGothic" w:cs="MS PGothic" w:eastAsia="MS PGothic" w:hAnsi="MS PGothic"/>
          <w:sz w:val="17"/>
          <w:szCs w:val="17"/>
          <w:color w:val="auto"/>
        </w:rPr>
        <w:t>‑</w:t>
      </w:r>
      <w:r>
        <w:rPr>
          <w:rFonts w:ascii="Arial" w:cs="Arial" w:eastAsia="Arial" w:hAnsi="Arial"/>
          <w:sz w:val="17"/>
          <w:szCs w:val="17"/>
          <w:color w:val="auto"/>
        </w:rPr>
        <w:t xml:space="preserve">derived xenograft model that overexpresses FGF19 in the absence of amplification. Some of these results were published in </w:t>
      </w:r>
      <w:r>
        <w:rPr>
          <w:rFonts w:ascii="Arial" w:cs="Arial" w:eastAsia="Arial" w:hAnsi="Arial"/>
          <w:sz w:val="17"/>
          <w:szCs w:val="17"/>
          <w:i w:val="1"/>
          <w:iCs w:val="1"/>
          <w:color w:val="auto"/>
        </w:rPr>
        <w:t>Cancer Discovery</w:t>
      </w:r>
      <w:r>
        <w:rPr>
          <w:rFonts w:ascii="Arial" w:cs="Arial" w:eastAsia="Arial" w:hAnsi="Arial"/>
          <w:sz w:val="17"/>
          <w:szCs w:val="17"/>
          <w:color w:val="auto"/>
        </w:rPr>
        <w:t xml:space="preserve"> in 2015. We estimate that approximately 30% of patients have FGFR4-activated HCC, and data suggest patients with HCC patients with FGFR4 pathway activation resulting in activation of the FGFR4 pathway generally have poor outcomes relative to other HCC patients.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BLU-554 – Clinical Development for Patients with Advanced HCC</w:t>
      </w:r>
    </w:p>
    <w:p>
      <w:pPr>
        <w:spacing w:after="0" w:line="185"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We are currently evaluating BLU-554 in an ongoing Phase 1 clinical trial in patients with advanced HCC. In October 2017, we presented updated data from this ongoing clinical trial at European Society of Medical Oncology 2017 Congress, or ESMO Meeting.</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Under our collaboration with CStone, the China National Medicinal Products Administration has approved an IND application for our ongoing Phase 1 trial of BLU-554 in advanced hepatocellular carcinoma, and we and CStone plan to expand this trial to include clinical sites in Mainland China by the middle of 2019. In addition, we and CStone plan to initiate a proof-of-concept clinical trial in the second half of 2019 in the CStone territory evaluating BLU-554 in combination with CS1001, a clinical stage anti-programmed death ligand-1 immunotherapy being developed by CStone, as a first-line therapy for the treatment of patients with HCC. See “—Collaborations” below for more information.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has granted orphan drug designation to BLU-554 for the treatment of HCC.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Trial—Data Reported in October 2017 at the ESMO Annual Meeting</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As of the data cutoff of August 18, 2017, 77 patients had been treated with BLU</w:t>
      </w:r>
      <w:r>
        <w:rPr>
          <w:rFonts w:ascii="MS PGothic" w:cs="MS PGothic" w:eastAsia="MS PGothic" w:hAnsi="MS PGothic"/>
          <w:sz w:val="17"/>
          <w:szCs w:val="17"/>
          <w:color w:val="auto"/>
        </w:rPr>
        <w:t>‑</w:t>
      </w:r>
      <w:r>
        <w:rPr>
          <w:rFonts w:ascii="Arial" w:cs="Arial" w:eastAsia="Arial" w:hAnsi="Arial"/>
          <w:sz w:val="17"/>
          <w:szCs w:val="17"/>
          <w:color w:val="auto"/>
        </w:rPr>
        <w:t>554 in the dose escalation and expansion portions of the Phase 1 clinical trial at five dose levels (ranging from 140 mg QD to 900 mg QD), including 44 patients with FGFR4-activated HCC. FGFR4-activated HCC was defined as at least one percent tumor expression of FGF19, the FGFR4 ligand, as measured by an immunohistochemistry, or IHC, assay. In general, the enrolled population was heavily pretreated: 82% received prior TKI treatment, 23% received prior immunotherapy and 91% received prior systemic therapy. PK analysis demonstrated rapid oral absorption across all dose levels, with a mean half</w:t>
      </w:r>
      <w:r>
        <w:rPr>
          <w:rFonts w:ascii="MS PGothic" w:cs="MS PGothic" w:eastAsia="MS PGothic" w:hAnsi="MS PGothic"/>
          <w:sz w:val="17"/>
          <w:szCs w:val="17"/>
          <w:color w:val="auto"/>
        </w:rPr>
        <w:t>‑</w:t>
      </w:r>
      <w:r>
        <w:rPr>
          <w:rFonts w:ascii="Arial" w:cs="Arial" w:eastAsia="Arial" w:hAnsi="Arial"/>
          <w:sz w:val="17"/>
          <w:szCs w:val="17"/>
          <w:color w:val="auto"/>
        </w:rPr>
        <w:t>life of approximately 17 hours and exposure in the expected therapeutic range based on HCC xenograft models. Collectively, we believe that these data support a once</w:t>
      </w:r>
      <w:r>
        <w:rPr>
          <w:rFonts w:ascii="MS PGothic" w:cs="MS PGothic" w:eastAsia="MS PGothic" w:hAnsi="MS PGothic"/>
          <w:sz w:val="17"/>
          <w:szCs w:val="17"/>
          <w:color w:val="auto"/>
        </w:rPr>
        <w:t>‑</w:t>
      </w:r>
      <w:r>
        <w:rPr>
          <w:rFonts w:ascii="Arial" w:cs="Arial" w:eastAsia="Arial" w:hAnsi="Arial"/>
          <w:sz w:val="17"/>
          <w:szCs w:val="17"/>
          <w:color w:val="auto"/>
        </w:rPr>
        <w:t>daily dosing regimen.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Safety Data. </w:t>
      </w:r>
      <w:r>
        <w:rPr>
          <w:rFonts w:ascii="Arial" w:cs="Arial" w:eastAsia="Arial" w:hAnsi="Arial"/>
          <w:sz w:val="16"/>
          <w:szCs w:val="16"/>
          <w:color w:val="auto"/>
        </w:rPr>
        <w:t>As of the data cutoff of August 18, 2017, the majority of AEs reported by investigators were Grade 1 or</w:t>
      </w:r>
    </w:p>
    <w:p>
      <w:pPr>
        <w:spacing w:after="0" w:line="8" w:lineRule="exact"/>
        <w:rPr>
          <w:sz w:val="20"/>
          <w:szCs w:val="20"/>
          <w:color w:val="auto"/>
        </w:rPr>
      </w:pPr>
    </w:p>
    <w:p>
      <w:pPr>
        <w:ind w:firstLine="3"/>
        <w:spacing w:after="0" w:line="182" w:lineRule="exact"/>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Across all grades, the most common AEs reported by investigators related to BLU</w:t>
      </w:r>
      <w:r>
        <w:rPr>
          <w:rFonts w:ascii="MS PGothic" w:cs="MS PGothic" w:eastAsia="MS PGothic" w:hAnsi="MS PGothic"/>
          <w:sz w:val="18"/>
          <w:szCs w:val="18"/>
          <w:color w:val="auto"/>
        </w:rPr>
        <w:t>‑</w:t>
      </w:r>
      <w:r>
        <w:rPr>
          <w:rFonts w:ascii="Arial" w:cs="Arial" w:eastAsia="Arial" w:hAnsi="Arial"/>
          <w:sz w:val="18"/>
          <w:szCs w:val="18"/>
          <w:color w:val="auto"/>
        </w:rPr>
        <w:t>554 included diarrhea (71%), nausea (42%), vomiting (36%), transaminase elevation (AST 34% and ALT 32%) and fatigue (29%). Grade 3 or higher AEs related to BLU</w:t>
      </w:r>
      <w:r>
        <w:rPr>
          <w:rFonts w:ascii="MS PGothic" w:cs="MS PGothic" w:eastAsia="MS PGothic" w:hAnsi="MS PGothic"/>
          <w:sz w:val="18"/>
          <w:szCs w:val="18"/>
          <w:color w:val="auto"/>
        </w:rPr>
        <w:t>‑</w:t>
      </w:r>
      <w:r>
        <w:rPr>
          <w:rFonts w:ascii="Arial" w:cs="Arial" w:eastAsia="Arial" w:hAnsi="Arial"/>
          <w:sz w:val="18"/>
          <w:szCs w:val="18"/>
          <w:color w:val="auto"/>
        </w:rPr>
        <w:t>554 occurring in five or more patients included anemia, diarrhea and transaminase elevation (AST and ALT). Among all 77 patients treated with BLU</w:t>
      </w:r>
      <w:r>
        <w:rPr>
          <w:rFonts w:ascii="MS PGothic" w:cs="MS PGothic" w:eastAsia="MS PGothic" w:hAnsi="MS PGothic"/>
          <w:sz w:val="18"/>
          <w:szCs w:val="18"/>
          <w:color w:val="auto"/>
        </w:rPr>
        <w:t>‑</w:t>
      </w:r>
      <w:r>
        <w:rPr>
          <w:rFonts w:ascii="Arial" w:cs="Arial" w:eastAsia="Arial" w:hAnsi="Arial"/>
          <w:sz w:val="18"/>
          <w:szCs w:val="18"/>
          <w:color w:val="auto"/>
        </w:rPr>
        <w:t>554, 58 patients discontinued treatment with BLU</w:t>
      </w:r>
      <w:r>
        <w:rPr>
          <w:rFonts w:ascii="MS PGothic" w:cs="MS PGothic" w:eastAsia="MS PGothic" w:hAnsi="MS PGothic"/>
          <w:sz w:val="18"/>
          <w:szCs w:val="18"/>
          <w:color w:val="auto"/>
        </w:rPr>
        <w:t>‑</w:t>
      </w:r>
      <w:r>
        <w:rPr>
          <w:rFonts w:ascii="Arial" w:cs="Arial" w:eastAsia="Arial" w:hAnsi="Arial"/>
          <w:sz w:val="18"/>
          <w:szCs w:val="18"/>
          <w:color w:val="auto"/>
        </w:rPr>
        <w:t>554, including 42 patients due to disease progression, 11 patients due to treatment</w:t>
      </w:r>
      <w:r>
        <w:rPr>
          <w:rFonts w:ascii="MS PGothic" w:cs="MS PGothic" w:eastAsia="MS PGothic" w:hAnsi="MS PGothic"/>
          <w:sz w:val="18"/>
          <w:szCs w:val="18"/>
          <w:color w:val="auto"/>
        </w:rPr>
        <w:t>‑</w:t>
      </w:r>
      <w:r>
        <w:rPr>
          <w:rFonts w:ascii="Arial" w:cs="Arial" w:eastAsia="Arial" w:hAnsi="Arial"/>
          <w:sz w:val="18"/>
          <w:szCs w:val="18"/>
          <w:color w:val="auto"/>
        </w:rPr>
        <w:t>related AEs, three patients who withdrew consent and two patients due to the investigator’s decision.</w:t>
      </w:r>
    </w:p>
    <w:p>
      <w:pPr>
        <w:spacing w:after="0" w:line="162"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i w:val="1"/>
          <w:iCs w:val="1"/>
          <w:color w:val="auto"/>
        </w:rPr>
        <w:t xml:space="preserve">Clinical Activity Data. </w:t>
      </w:r>
      <w:r>
        <w:rPr>
          <w:rFonts w:ascii="Arial" w:cs="Arial" w:eastAsia="Arial" w:hAnsi="Arial"/>
          <w:sz w:val="18"/>
          <w:szCs w:val="18"/>
          <w:color w:val="auto"/>
        </w:rPr>
        <w:t>As of the data cutoff of August 18, 2017, 67 patients were evaluable for response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10 patients were treated with BLU</w:t>
      </w:r>
      <w:r>
        <w:rPr>
          <w:rFonts w:ascii="MS PGothic" w:cs="MS PGothic" w:eastAsia="MS PGothic" w:hAnsi="MS PGothic"/>
          <w:sz w:val="18"/>
          <w:szCs w:val="18"/>
          <w:color w:val="auto"/>
        </w:rPr>
        <w:t>‑</w:t>
      </w:r>
      <w:r>
        <w:rPr>
          <w:rFonts w:ascii="Arial" w:cs="Arial" w:eastAsia="Arial" w:hAnsi="Arial"/>
          <w:sz w:val="18"/>
          <w:szCs w:val="18"/>
          <w:color w:val="auto"/>
        </w:rPr>
        <w:t>554 as of the data cutoff date but were not evaluable for response assessment. Response was assessed using RECIST version 1.1.</w:t>
      </w:r>
    </w:p>
    <w:p>
      <w:pPr>
        <w:spacing w:after="0" w:line="163"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In patients with FGFR4-activated HCC (n=38), the data showed an ORR of 16% (95% confidence interval 6</w:t>
      </w:r>
      <w:r>
        <w:rPr>
          <w:rFonts w:ascii="MS PGothic" w:cs="MS PGothic" w:eastAsia="MS PGothic" w:hAnsi="MS PGothic"/>
          <w:sz w:val="18"/>
          <w:szCs w:val="18"/>
          <w:color w:val="auto"/>
        </w:rPr>
        <w:t>‑</w:t>
      </w:r>
      <w:r>
        <w:rPr>
          <w:rFonts w:ascii="Arial" w:cs="Arial" w:eastAsia="Arial" w:hAnsi="Arial"/>
          <w:sz w:val="18"/>
          <w:szCs w:val="18"/>
          <w:color w:val="auto"/>
        </w:rPr>
        <w:t>31%). In addition, 49% of patients had radiographic tumor reduction, and clinical activity was observed regardless of disease etiology or geography. As of the data cutoff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patient had an unconfirmed complete response.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Five patients had a partial response, with four confirmed and one unconfirmed.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20 patients had stable disease, representing a disease control rate of 68%.</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responses were observed in patients without FGFR4 pathway activation (n=29).</w:t>
      </w:r>
    </w:p>
    <w:p>
      <w:pPr>
        <w:spacing w:after="0" w:line="185" w:lineRule="exact"/>
        <w:rPr>
          <w:sz w:val="20"/>
          <w:szCs w:val="20"/>
          <w:color w:val="auto"/>
        </w:rPr>
      </w:pPr>
    </w:p>
    <w:p>
      <w:pPr>
        <w:ind w:right="440" w:firstLine="648"/>
        <w:spacing w:after="0" w:line="194" w:lineRule="exact"/>
        <w:rPr>
          <w:sz w:val="20"/>
          <w:szCs w:val="20"/>
          <w:color w:val="auto"/>
        </w:rPr>
      </w:pPr>
      <w:r>
        <w:rPr>
          <w:rFonts w:ascii="Arial" w:cs="Arial" w:eastAsia="Arial" w:hAnsi="Arial"/>
          <w:sz w:val="18"/>
          <w:szCs w:val="18"/>
          <w:color w:val="auto"/>
        </w:rPr>
        <w:t>Among all 77 patients treated with BLU</w:t>
      </w:r>
      <w:r>
        <w:rPr>
          <w:rFonts w:ascii="MS PGothic" w:cs="MS PGothic" w:eastAsia="MS PGothic" w:hAnsi="MS PGothic"/>
          <w:sz w:val="18"/>
          <w:szCs w:val="18"/>
          <w:color w:val="auto"/>
        </w:rPr>
        <w:t>‑</w:t>
      </w:r>
      <w:r>
        <w:rPr>
          <w:rFonts w:ascii="Arial" w:cs="Arial" w:eastAsia="Arial" w:hAnsi="Arial"/>
          <w:sz w:val="18"/>
          <w:szCs w:val="18"/>
          <w:color w:val="auto"/>
        </w:rPr>
        <w:t>554, 19 remained on treatment as of the data cutoff date, including 15 patients with FGFR4-activated HCC. Median progression-free survival was 3.7 months among patients with FGFR4-activated HCC.</w:t>
      </w:r>
    </w:p>
    <w:p>
      <w:pPr>
        <w:spacing w:after="0" w:line="163" w:lineRule="exact"/>
        <w:rPr>
          <w:sz w:val="20"/>
          <w:szCs w:val="20"/>
          <w:color w:val="auto"/>
        </w:rPr>
      </w:pPr>
    </w:p>
    <w:p>
      <w:pPr>
        <w:ind w:right="60" w:firstLine="648"/>
        <w:spacing w:after="0" w:line="194" w:lineRule="exact"/>
        <w:rPr>
          <w:sz w:val="20"/>
          <w:szCs w:val="20"/>
          <w:color w:val="auto"/>
        </w:rPr>
      </w:pPr>
      <w:r>
        <w:rPr>
          <w:rFonts w:ascii="Arial" w:cs="Arial" w:eastAsia="Arial" w:hAnsi="Arial"/>
          <w:sz w:val="16"/>
          <w:szCs w:val="16"/>
          <w:color w:val="auto"/>
        </w:rPr>
        <w:t>In addition, five TKI</w:t>
      </w:r>
      <w:r>
        <w:rPr>
          <w:rFonts w:ascii="MS PGothic" w:cs="MS PGothic" w:eastAsia="MS PGothic" w:hAnsi="MS PGothic"/>
          <w:sz w:val="16"/>
          <w:szCs w:val="16"/>
          <w:color w:val="auto"/>
        </w:rPr>
        <w:t>‑</w:t>
      </w:r>
      <w:r>
        <w:rPr>
          <w:rFonts w:ascii="Arial" w:cs="Arial" w:eastAsia="Arial" w:hAnsi="Arial"/>
          <w:sz w:val="16"/>
          <w:szCs w:val="16"/>
          <w:color w:val="auto"/>
        </w:rPr>
        <w:t>naïve patients with FGFR4-activated HCC were evaluable for response assessment as of the data cutoff date. Within this group, preliminary evidence of prolonged disease control was observed. Two TKI</w:t>
      </w:r>
      <w:r>
        <w:rPr>
          <w:rFonts w:ascii="MS PGothic" w:cs="MS PGothic" w:eastAsia="MS PGothic" w:hAnsi="MS PGothic"/>
          <w:sz w:val="16"/>
          <w:szCs w:val="16"/>
          <w:color w:val="auto"/>
        </w:rPr>
        <w:t>‑</w:t>
      </w:r>
      <w:r>
        <w:rPr>
          <w:rFonts w:ascii="Arial" w:cs="Arial" w:eastAsia="Arial" w:hAnsi="Arial"/>
          <w:sz w:val="16"/>
          <w:szCs w:val="16"/>
          <w:color w:val="auto"/>
        </w:rPr>
        <w:t>naïve patients remain on treatment as of the data cutoff date with a duration of treatment of 11.4 months and 12.3 months, respectively.</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i w:val="1"/>
          <w:iCs w:val="1"/>
          <w:color w:val="auto"/>
        </w:rPr>
        <w:t xml:space="preserve">Phase 1 Clinical Trial Design. </w:t>
      </w:r>
      <w:r>
        <w:rPr>
          <w:rFonts w:ascii="Arial" w:cs="Arial" w:eastAsia="Arial" w:hAnsi="Arial"/>
          <w:sz w:val="17"/>
          <w:szCs w:val="17"/>
          <w:color w:val="auto"/>
        </w:rPr>
        <w:t>This Phase 1 clinical trial is designed to evaluate the safety and tolerability of BLU-554 in adults with advanced HCC. The trial consists of two parts: a dose escalation portion and an expansion portion. We have completed the dose escalation portion, and patient enrollment in the dose expansion portion is currently ongoing at the MTD of 600 mg QD. The expansion portion of the trial is designed to enroll patients in the following cohorts: (1) three subsets of patients with HCC, regardless of prior therapy, and (2) patients with FGFR4-activated HCC who have not been previously treated with a TKI, which we refer to as the TKI-naïve cohort. We are currently only enrolling patients in the TKI-naïve cohort of the expansion portion of this clinical trial. The primary objective of the expansion portion of the Phase 1 clinical trial is to continue to evaluate the safety and tolerability of BLU-554. Secondary objectives include assessing clinical activity by RECIST version 1.1, as well as evaluating the PK of BLU-554 and pharmacodynamic markers of BLU-554 activity. The Phase 1 clinical trial is designed to enroll approximately 150 patients, including approximately 40 patients during dose escalation and approximately 110 patients across both expansion cohorts, at multiple sites in the United States, European Union and Asia.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Fibrodysplasia Ossificans Progressiva (FOP)</w:t>
      </w:r>
    </w:p>
    <w:p>
      <w:pPr>
        <w:spacing w:after="0" w:line="18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BLU-782 is an orally available, potent and highly selective inhibitor that targets mutant ALK2. We are developing BLU-782 for the treatment of FOP, a rare, severely disabling genetic disease caused by mutations in the ALK2 gene, ACVR1. FOP is characterized by progressive heterotopic ossification, which is the abnormal transformation of muscle, ligaments and tendons into bone. Heterotopic ossification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Currently, there are no approved therapies for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120650</wp:posOffset>
            </wp:positionV>
            <wp:extent cx="1603375" cy="196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033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0" w:lineRule="exact"/>
        <w:rPr>
          <w:sz w:val="20"/>
          <w:szCs w:val="20"/>
          <w:color w:val="auto"/>
        </w:rPr>
      </w:pPr>
    </w:p>
    <w:p>
      <w:pPr>
        <w:ind w:left="660" w:right="480"/>
        <w:spacing w:after="0" w:line="224" w:lineRule="auto"/>
        <w:rPr>
          <w:sz w:val="20"/>
          <w:szCs w:val="20"/>
          <w:color w:val="auto"/>
        </w:rPr>
      </w:pPr>
      <w:r>
        <w:rPr>
          <w:rFonts w:ascii="Arial" w:cs="Arial" w:eastAsia="Arial" w:hAnsi="Arial"/>
          <w:sz w:val="14"/>
          <w:szCs w:val="14"/>
          <w:color w:val="auto"/>
        </w:rPr>
        <w:t xml:space="preserve">Approximate kinome tree location of ALK2. Each branch of the dendogram represents an individual human kinase. </w:t>
      </w:r>
      <w:r>
        <w:rPr>
          <w:rFonts w:ascii="Arial" w:cs="Arial" w:eastAsia="Arial" w:hAnsi="Arial"/>
          <w:sz w:val="14"/>
          <w:szCs w:val="14"/>
          <w:i w:val="1"/>
          <w:iCs w:val="1"/>
          <w:color w:val="auto"/>
        </w:rPr>
        <w:t>Kinome illustration</w:t>
      </w:r>
      <w:r>
        <w:rPr>
          <w:rFonts w:ascii="Arial" w:cs="Arial" w:eastAsia="Arial" w:hAnsi="Arial"/>
          <w:sz w:val="14"/>
          <w:szCs w:val="14"/>
          <w:color w:val="auto"/>
        </w:rPr>
        <w:t xml:space="preserve"> </w:t>
      </w:r>
      <w:r>
        <w:rPr>
          <w:rFonts w:ascii="Arial" w:cs="Arial" w:eastAsia="Arial" w:hAnsi="Arial"/>
          <w:sz w:val="14"/>
          <w:szCs w:val="14"/>
          <w:i w:val="1"/>
          <w:iCs w:val="1"/>
          <w:color w:val="auto"/>
        </w:rPr>
        <w:t>reproduced courtesy of Cell Signaling Technology, Inc., or CSTI (www.cellsignal.com). The foregoing website is maintained by CSTI, and Blueprint Medicines is not responsible for its content.</w:t>
      </w:r>
    </w:p>
    <w:p>
      <w:pPr>
        <w:spacing w:after="0" w:line="17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initiated a Phase 1 clinical trial in healthy volunteers in the first quarter of 2019, and we plan to initiate a Phase 2 clinical trial evaluating BLU-782 in patients with FOP in the first half of 2020. In October 2018, we presented foundational pre-clinical data at the 2018 American Society for Bone and Mineral Research, or ASBMR, Annual Meeting. The FDA has granted fast track designation to BLU-782 for the treatment of fibrodysplasia ossificans progressiva.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BLU-782 Pre-Clinical Data Presented at the ASBMR Annual Meeting</w:t>
      </w:r>
    </w:p>
    <w:p>
      <w:pPr>
        <w:spacing w:after="0" w:line="185"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 xml:space="preserve">In the preclinical data presented at the ASBMR Annual Meeting, BLU-782 demonstrated exquisite selectivity for R206H mutant ALK2 in cellular assays, while sparing closely related anti-targets including ALK1, ALK3, and ALK6. Additionally, BLU-782 potently inhibited mutant ALK2 in vitro, regardless of the activating ligand, including Activin A, Activin B and BMP6.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in a conditional knock-in ALK2</w:t>
      </w:r>
      <w:r>
        <w:rPr>
          <w:rFonts w:ascii="Arial" w:cs="Arial" w:eastAsia="Arial" w:hAnsi="Arial"/>
          <w:sz w:val="8"/>
          <w:szCs w:val="8"/>
          <w:color w:val="auto"/>
        </w:rPr>
        <w:t>R206H</w:t>
      </w:r>
      <w:r>
        <w:rPr>
          <w:rFonts w:ascii="Arial" w:cs="Arial" w:eastAsia="Arial" w:hAnsi="Arial"/>
          <w:sz w:val="17"/>
          <w:szCs w:val="17"/>
          <w:color w:val="auto"/>
        </w:rPr>
        <w:t xml:space="preserve"> transgenic mouse model showed BLU-782 prevented the formation of injury-induced heterotopic ossification, or HO, and edema, as measured by micro computed tomography and magnetic resonance imaging. IHC analyses also showed restoration of a healthy response to tissue injury in ALK2</w:t>
      </w:r>
      <w:r>
        <w:rPr>
          <w:rFonts w:ascii="Arial" w:cs="Arial" w:eastAsia="Arial" w:hAnsi="Arial"/>
          <w:sz w:val="8"/>
          <w:szCs w:val="8"/>
          <w:color w:val="auto"/>
        </w:rPr>
        <w:t>R206H</w:t>
      </w:r>
      <w:r>
        <w:rPr>
          <w:rFonts w:ascii="Arial" w:cs="Arial" w:eastAsia="Arial" w:hAnsi="Arial"/>
          <w:sz w:val="17"/>
          <w:szCs w:val="17"/>
          <w:color w:val="auto"/>
        </w:rPr>
        <w:t xml:space="preserve"> mice, including skeletal myofiber regeneration. In addition, BLU-782 prevented the formation of surgery-induced HO following fibular osteotomy surgery in ALK2</w:t>
      </w:r>
      <w:r>
        <w:rPr>
          <w:rFonts w:ascii="Arial" w:cs="Arial" w:eastAsia="Arial" w:hAnsi="Arial"/>
          <w:sz w:val="8"/>
          <w:szCs w:val="8"/>
          <w:color w:val="auto"/>
        </w:rPr>
        <w:t>R206H</w:t>
      </w:r>
      <w:r>
        <w:rPr>
          <w:rFonts w:ascii="Arial" w:cs="Arial" w:eastAsia="Arial" w:hAnsi="Arial"/>
          <w:sz w:val="17"/>
          <w:szCs w:val="17"/>
          <w:color w:val="auto"/>
        </w:rPr>
        <w:t xml:space="preserve"> mice.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58"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In March 2016, we entered into the Roche agreement pursuant to which we and Roche have agreed to collaborate on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our novel target discovery engine and proprietary compound library to select potential targets.</w:t>
      </w:r>
    </w:p>
    <w:p>
      <w:pPr>
        <w:spacing w:after="0" w:line="159"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Under the Roche agreement, Roche is granted up to five option rights to obtain an exclusive license to exploit products derived from the collaboration programs, or licensed products,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we will retain commercialization rights in the United States for the licensed products, and Roche will receive commercialization rights outside of the United States for the licensed products. We will also retain worldwide rights to any products for which Roche elects not to exercise its applicable option. Prior to 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United States.</w:t>
      </w:r>
    </w:p>
    <w:p>
      <w:pPr>
        <w:spacing w:after="0" w:line="162"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We received an upfront cash payment of $45.0 million in March 2016 upon execution of the Roche agreement, and subject to the terms of the Roche agreement, we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June 2018, we achieved and received a $10.0 million research milestone payment.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United States, we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1"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United States for the collaboration programs on which we will retain rights in the United States, with Roche receiving a license under our intellectual property to develop and commercialize such licensed products outside of the United States.</w:t>
      </w:r>
    </w:p>
    <w:p>
      <w:pPr>
        <w:spacing w:after="0" w:line="162" w:lineRule="exact"/>
        <w:rPr>
          <w:sz w:val="20"/>
          <w:szCs w:val="20"/>
          <w:color w:val="auto"/>
        </w:rPr>
      </w:pPr>
    </w:p>
    <w:p>
      <w:pPr>
        <w:ind w:right="100" w:firstLine="648"/>
        <w:spacing w:after="0" w:line="237" w:lineRule="auto"/>
        <w:rPr>
          <w:sz w:val="20"/>
          <w:szCs w:val="20"/>
          <w:color w:val="auto"/>
        </w:rPr>
      </w:pPr>
      <w:r>
        <w:rPr>
          <w:rFonts w:ascii="Arial" w:cs="Arial" w:eastAsia="Arial" w:hAnsi="Arial"/>
          <w:sz w:val="16"/>
          <w:szCs w:val="16"/>
          <w:color w:val="auto"/>
        </w:rPr>
        <w:t>Subject to the terms and conditions of the Roche agreement, we have agreed to work exclusively with Roche with respect to each collaboration target. In the third quarter of 2018, our obligation to work exclusively with Roche within the field of cancer immunotherapy expired under the terms of the Roche agreement. In addition, subject to specified exceptions, Roche has a right of first negotiation in the event that we desire to grant any third party rights to develop or commercialize a licensed product under either of the collaboration programs for which we will retain commercialization rights in the United States.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6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144" w:lineRule="exact"/>
        <w:rPr>
          <w:sz w:val="20"/>
          <w:szCs w:val="20"/>
          <w:color w:val="auto"/>
        </w:rPr>
      </w:pPr>
    </w:p>
    <w:p>
      <w:pPr>
        <w:ind w:right="320" w:firstLine="648"/>
        <w:spacing w:after="0" w:line="226" w:lineRule="auto"/>
        <w:rPr>
          <w:sz w:val="20"/>
          <w:szCs w:val="20"/>
          <w:color w:val="auto"/>
        </w:rPr>
      </w:pPr>
      <w:r>
        <w:rPr>
          <w:rFonts w:ascii="Arial" w:cs="Arial" w:eastAsia="Arial" w:hAnsi="Arial"/>
          <w:sz w:val="17"/>
          <w:szCs w:val="17"/>
          <w:color w:val="auto"/>
        </w:rPr>
        <w:t>On June 1, 2018, we entered into a collaboration and license agreement, or the CStone agreement, with CStone pursuant to which we granted CStone exclusive rights to develop and commercialize our drug candidates BLU-554, avapritinib, and BLU-667, including back-up forms and certain other forms thereof, which we refer to collectively as the licensed products, in Mainland China, Hong Kong, Macau and Taiwan, each of which we refer to as a “region” and collectively, as the CStone territory, either as a monotherapy or as part of a combination therapy. We will retain exclusive rights to the licensed products outside the CStone territory.</w:t>
      </w:r>
    </w:p>
    <w:p>
      <w:pPr>
        <w:spacing w:after="0" w:line="165"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We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BLU-554 as a combination therapy in the CStone territory that will be shared by us and CStone.</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6"/>
          <w:szCs w:val="16"/>
          <w:color w:val="auto"/>
        </w:rPr>
        <w:t>Pursuant to the terms of the CStone agreement, CStone will be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after June 1, 2019,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drug candidates, including avapritinib, BLU-667, BLU-554 and BLU-782, and our core technologies, including our novel target discovery engine, our proprietary compound library, and other know</w:t>
      </w:r>
      <w:r>
        <w:rPr>
          <w:rFonts w:ascii="MS PGothic" w:cs="MS PGothic" w:eastAsia="MS PGothic" w:hAnsi="MS PGothic"/>
          <w:sz w:val="17"/>
          <w:szCs w:val="17"/>
          <w:color w:val="auto"/>
        </w:rPr>
        <w:t>‑</w:t>
      </w:r>
      <w:r>
        <w:rPr>
          <w:rFonts w:ascii="Arial" w:cs="Arial" w:eastAsia="Arial" w:hAnsi="Arial"/>
          <w:sz w:val="17"/>
          <w:szCs w:val="17"/>
          <w:color w:val="auto"/>
        </w:rPr>
        <w:t>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proprietary and intellectual property position.</w:t>
      </w:r>
    </w:p>
    <w:p>
      <w:pPr>
        <w:spacing w:after="0" w:line="141"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February 15, 2019, we owned 21 issued U.S. patents, 21 pending</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U.S. patent applications, nine pending U.S. provisional applications, 167 foreign patent applications pending in a number of jurisdictions, including Australia, Brazil, Canada, China, the European Union, Israel, India, Japan, South Korea, Mexico New Zealand, Russia, South Africa, 13 issued foreign patents, and four pending Patent Cooperation Treaty, or PCT, international patent applications. Our pending patent applications pertain to our key research and development programs, specifically our programs for avapritinib, BLU-667, BLU-554 and BLU-782, and our pipeline, including additional kinase discovery programs and novel recurrent fusions. Our issued U.S. patents are projected to expire between 2033 and 2037, and any patents that may issue from our pending U.S. applications and provisional U.S. applications would be projected to expire between 2033 and 2040.</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intellectual property portfolios for our most advanced drug candidates as of February 15, 2019 are summarized below. Each of these portfolios is in its early stages and, with respect to some of the pending patent applications covering our drug candidates, prosecution has just begun or is in progress. Prosecution is a lengthy process, during which the scope of the claims initially submitted for examination by the USPTO and by patent offices in other countries are often significantly narrowed by the time they issue, if they issue at all. We expect this to be the case with respect to our pending patent applications referred to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 (KIT and PDGFRA)</w:t>
      </w:r>
    </w:p>
    <w:p>
      <w:pPr>
        <w:spacing w:after="0" w:line="144"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intellectual property portfolio for our avapritinib program contains patent applications directed to compositions of matter for avapritinib and analogs, compositions of matter for KIT inhibitors with different compound families, as well as methods of use for these novel compounds. As of February 15, 2019, we owned nine issued US patents, three pending U.S. patent applications, 40 pending foreign patent applications in a number of jurisdictions, including Argentina, Australia, Bolivia, Brazil, Canada, China, the European Union, Israel, India, Japan, South Korea, Mexico, New Zealand, Pakistan, Russia, South Africa, Taiwan and Venezuela, four issued foreign patents, one pending PCT international patent application and two U.S. provisional applications directed to our KIT and PDGFRA program, including avapritinib. Any U.S. or ex-U.S. patents issuing from the pending applications covering avapritinib will have a statutory expiration date of October 2034 or January 2040. Patent term adjustments or patent term extensions could result in later expiration dates.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BLU-667 (RET)</w:t>
      </w:r>
    </w:p>
    <w:p>
      <w:pPr>
        <w:spacing w:after="0" w:line="185"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intellectual property portfolio for our BLU-667 program contains patent applications directed to compositions of matter for BLU-667 and analogs, compositions of matter for RET inhibitors with different compound families and methods of use for these novel compounds. As of February 15, 2019, we owned four issued U.S. patents, three pending U.S. patent applications, one pending PCT international application, 28 pending foreign patent applications in a number of jurisdictions, including the United Arab Emirates, Argentina, Australia, Brazil, Canada, China, the European Union, Israel, India, Japan, Saudi Arabia, South Korea, Mexico, New Zealand, Eurasia and South Africa, and six pending provisional U.S. patent applications directed to our RET program, including BLU-667, which, if issued, will have statutory expiration dates between November 2036 and August 2039.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BLU-554 (FGFR4)</w:t>
      </w:r>
    </w:p>
    <w:p>
      <w:pPr>
        <w:spacing w:after="0" w:line="18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The intellectual property portfolio for our BLU-554 program contains patent applications directed to compositions of matter for BLU</w:t>
      </w:r>
      <w:r>
        <w:rPr>
          <w:rFonts w:ascii="MS PGothic" w:cs="MS PGothic" w:eastAsia="MS PGothic" w:hAnsi="MS PGothic"/>
          <w:sz w:val="17"/>
          <w:szCs w:val="17"/>
          <w:color w:val="auto"/>
        </w:rPr>
        <w:t>‑</w:t>
      </w:r>
      <w:r>
        <w:rPr>
          <w:rFonts w:ascii="Arial" w:cs="Arial" w:eastAsia="Arial" w:hAnsi="Arial"/>
          <w:sz w:val="17"/>
          <w:szCs w:val="17"/>
          <w:color w:val="auto"/>
        </w:rPr>
        <w:t>554 and analogs, as well as compositions of matter for FGFR4 inhibitors with different compound families. The portfolio also includes patent applications directed to methods of use for the novel compounds as well as patent applications directed broadly to FGFR4 selective inhibitors. As of February 15, 2019, we owned seven issued U.S. patents, two pending U.S. patent applications, one pending PCT international application, 39 foreign patent applications pending in a number of jurisdictions, including Australia, Brazil, Canada, China, the European Union, Israel, India, Japan, South Korea, Mexico New Zealand, Russia, South Africa and Taiwan, and eight issued foreign patents directed to our FGFR4 program, including BLU-554. Any U.S. or ex-U.S. patent issuing from the pending applications covering BLU-554 will have a statutory expiration date between July 2033 and September 2037. Patent term adjustments or patent term extensions could result in later expiration 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BLU-782 (ALK2)</w:t>
      </w:r>
    </w:p>
    <w:p>
      <w:pPr>
        <w:spacing w:after="0" w:line="185"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The intellectual property portfolio for our BLU-782 program contains patent applications directed to compositions of matter for BLU-782 and analogs, compositions of matter for other inhibitors with different compound families and methods of use for these novel compounds. As of February 15, 2019, we owned one pending U.S. patent application, one pending PCT international application and 15 pending foreign patent applications in a number of jurisdictions, including Australia, Brazil, Canada, China, Chile, the European Union, Israel, Japan, South Korea, Mexico, New Zealand, Eurasia and South Africa, directed to our ALK2 program, including BLU-782, which, if issued, will have statutory expiration dates of April 2037 or October 2038.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185"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February 15, 2019, we owned ten pending U.S. patent applications, nine pending European Union patent applications and one issued European patent directed to this technology, which, if issued, will have statutory expiration dates ranging from 2034 to 2039.</w:t>
      </w:r>
    </w:p>
    <w:p>
      <w:pPr>
        <w:spacing w:after="0" w:line="15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United States,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6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w:t>
      </w:r>
      <w:r>
        <w:rPr>
          <w:rFonts w:ascii="MS PGothic" w:cs="MS PGothic" w:eastAsia="MS PGothic" w:hAnsi="MS PGothic"/>
          <w:sz w:val="16"/>
          <w:szCs w:val="16"/>
          <w:color w:val="auto"/>
        </w:rPr>
        <w:t>‑</w:t>
      </w:r>
      <w:r>
        <w:rPr>
          <w:rFonts w:ascii="Arial" w:cs="Arial" w:eastAsia="Arial" w:hAnsi="Arial"/>
          <w:sz w:val="16"/>
          <w:szCs w:val="16"/>
          <w:color w:val="auto"/>
        </w:rPr>
        <w:t>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66"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to patents, we rely upon unpatented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We seek to protect our proprietary information, in part, by executing confidentiality agreements with our collaborators and scientific advisors, and non</w:t>
      </w:r>
      <w:r>
        <w:rPr>
          <w:rFonts w:ascii="MS PGothic" w:cs="MS PGothic" w:eastAsia="MS PGothic" w:hAnsi="MS PGothic"/>
          <w:sz w:val="17"/>
          <w:szCs w:val="17"/>
          <w:color w:val="auto"/>
        </w:rPr>
        <w:t>‑</w:t>
      </w:r>
      <w:r>
        <w:rPr>
          <w:rFonts w:ascii="Arial" w:cs="Arial" w:eastAsia="Arial" w:hAnsi="Arial"/>
          <w:sz w:val="17"/>
          <w:szCs w:val="17"/>
          <w:color w:val="auto"/>
        </w:rPr>
        <w:t>competition, non</w:t>
      </w:r>
      <w:r>
        <w:rPr>
          <w:rFonts w:ascii="MS PGothic" w:cs="MS PGothic" w:eastAsia="MS PGothic" w:hAnsi="MS PGothic"/>
          <w:sz w:val="17"/>
          <w:szCs w:val="17"/>
          <w:color w:val="auto"/>
        </w:rPr>
        <w:t>‑</w:t>
      </w:r>
      <w:r>
        <w:rPr>
          <w:rFonts w:ascii="Arial" w:cs="Arial" w:eastAsia="Arial" w:hAnsi="Arial"/>
          <w:sz w:val="17"/>
          <w:szCs w:val="17"/>
          <w:color w:val="auto"/>
        </w:rPr>
        <w:t>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62" w:lineRule="exact"/>
        <w:rPr>
          <w:sz w:val="20"/>
          <w:szCs w:val="20"/>
          <w:color w:val="auto"/>
        </w:rPr>
      </w:pPr>
    </w:p>
    <w:p>
      <w:pPr>
        <w:ind w:right="60" w:firstLine="648"/>
        <w:spacing w:after="0" w:line="189" w:lineRule="exact"/>
        <w:rPr>
          <w:sz w:val="20"/>
          <w:szCs w:val="20"/>
          <w:color w:val="auto"/>
        </w:rPr>
      </w:pPr>
      <w:r>
        <w:rPr>
          <w:rFonts w:ascii="Arial" w:cs="Arial" w:eastAsia="Arial" w:hAnsi="Arial"/>
          <w:sz w:val="17"/>
          <w:szCs w:val="17"/>
          <w:color w:val="auto"/>
        </w:rPr>
        <w:t>With respect to the building of our proprietary compound library,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our primary intellectual property.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can be difficult to protect. In particular, we anticipate that with respect to our discovery platform, these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will over time be disseminated within the industry through independent development and public presentations describing the methodology.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6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63" w:lineRule="exact"/>
        <w:rPr>
          <w:sz w:val="20"/>
          <w:szCs w:val="20"/>
          <w:color w:val="auto"/>
        </w:rPr>
      </w:pPr>
    </w:p>
    <w:p>
      <w:pPr>
        <w:jc w:val="both"/>
        <w:ind w:right="480" w:firstLine="648"/>
        <w:spacing w:after="0" w:line="289"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1"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 tests in guiding the use of related therapeutics,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If our drug candidates are approved for the indications for which we are currently conducting or planning clinical trials, they will compete with the drugs discussed below and will likely compete with other drugs that are currently in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are initially developing avapritinib for advanced GIST and for SM, including advanced SM and indolent and smoldering SM. If avapritinib receives marketing approval for advanced SM, it will face competition from Novartis AG’s midostaurin, a multi-kinase inhibitor with KIT D816V inhibitory activity that was 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PDGFRA D842V mutation, it may face competition from other drug candidates in development for these indications, including drug candidates in development by AB Science S.A., Allakos Inc., ARIAD Pharmaceuticals, Inc., a wholly-owned subsidiary of Takeda Pharmaceutical Company Limited, AROG Pharmaceuticals, Inc., Celldex Therapeutics, Inc., and Deciphera Pharmaceuticals, LLC.</w:t>
      </w:r>
    </w:p>
    <w:p>
      <w:pPr>
        <w:spacing w:after="0" w:line="1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667</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667 for patients with RET-altered NSCLC, MTC and other advanced solid tumors. If BLU</w:t>
      </w:r>
      <w:r>
        <w:rPr>
          <w:rFonts w:ascii="MS PGothic" w:cs="MS PGothic" w:eastAsia="MS PGothic" w:hAnsi="MS PGothic"/>
          <w:sz w:val="18"/>
          <w:szCs w:val="18"/>
          <w:color w:val="auto"/>
        </w:rPr>
        <w:t>‑</w:t>
      </w:r>
      <w:r>
        <w:rPr>
          <w:rFonts w:ascii="Arial" w:cs="Arial" w:eastAsia="Arial" w:hAnsi="Arial"/>
          <w:sz w:val="18"/>
          <w:szCs w:val="18"/>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Boston Pharmaceuticals, Inc., Eisai Inc., Exelixis, Inc., GlaxoSmithKline plc, Loxo Oncology, Inc., a wholly-owned subsidiary of Eli Lilly and Company, Mirati Therapeutics, Inc., Novartis AG, Pfizer Inc. and Roche, as well as several approved multi-kinase inhibitors with RET activity being evaluated in clinical trials, including alectinib, apatinib, cabozantinib, dovitinib, lenvatinib, ponatinib, sorafenib, sunitinib and vandetinib.</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w:t>
      </w:r>
    </w:p>
    <w:p>
      <w:pPr>
        <w:spacing w:after="0" w:line="18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are initially developing BLU</w:t>
      </w:r>
      <w:r>
        <w:rPr>
          <w:rFonts w:ascii="MS PGothic" w:cs="MS PGothic" w:eastAsia="MS PGothic" w:hAnsi="MS PGothic"/>
          <w:sz w:val="17"/>
          <w:szCs w:val="17"/>
          <w:color w:val="auto"/>
        </w:rPr>
        <w:t>‑</w:t>
      </w:r>
      <w:r>
        <w:rPr>
          <w:rFonts w:ascii="Arial" w:cs="Arial" w:eastAsia="Arial" w:hAnsi="Arial"/>
          <w:sz w:val="17"/>
          <w:szCs w:val="17"/>
          <w:color w:val="auto"/>
        </w:rPr>
        <w:t>554 for patients with advanced HCC driven by FGFR4. If BLU-554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BLU-554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782</w:t>
      </w:r>
    </w:p>
    <w:p>
      <w:pPr>
        <w:spacing w:after="0" w:line="18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782 for patients with FOP. If BLU-782 receives marketing approval for FOP, it may face competition from drug candidates in development by BioCryst Pharmaceuticals, Inc., Clementia Pharmaceuticals Inc., La Jolla Pharmaceutical Company and Regeneron Pharmaceuticals,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Plans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goal is to become a fully</w:t>
      </w:r>
      <w:r>
        <w:rPr>
          <w:rFonts w:ascii="MS PGothic" w:cs="MS PGothic" w:eastAsia="MS PGothic" w:hAnsi="MS PGothic"/>
          <w:sz w:val="16"/>
          <w:szCs w:val="16"/>
          <w:color w:val="auto"/>
        </w:rPr>
        <w:t>‑</w:t>
      </w:r>
      <w:r>
        <w:rPr>
          <w:rFonts w:ascii="Arial" w:cs="Arial" w:eastAsia="Arial" w:hAnsi="Arial"/>
          <w:sz w:val="16"/>
          <w:szCs w:val="16"/>
          <w:color w:val="auto"/>
        </w:rPr>
        <w:t>integrated precision therapy company capable of delivering transformative precision therapies to patients. Given our stage of development, we have started to establish our own commercial organization and distribution capabilities with an initial focus on the United States and Europe. We believe our portfolio strategy focused on genomically defined cancers, rare diseases and cancer immunotherapy will allow us to efficiently commercialize our drug candidates in the United States and Europe on our own initially and worldwide longer</w:t>
      </w:r>
      <w:r>
        <w:rPr>
          <w:rFonts w:ascii="MS PGothic" w:cs="MS PGothic" w:eastAsia="MS PGothic" w:hAnsi="MS PGothic"/>
          <w:sz w:val="16"/>
          <w:szCs w:val="16"/>
          <w:color w:val="auto"/>
        </w:rPr>
        <w:t>‑</w:t>
      </w:r>
      <w:r>
        <w:rPr>
          <w:rFonts w:ascii="Arial" w:cs="Arial" w:eastAsia="Arial" w:hAnsi="Arial"/>
          <w:sz w:val="16"/>
          <w:szCs w:val="16"/>
          <w:color w:val="auto"/>
        </w:rPr>
        <w:t>term. We currently have worldwide development and commercialization rights to avapritinib, BLU-667 and BLU-554 other than the rights licensed to CStone in the CStone territory, and we currently have worldwide development and commercialization rights to BLU-782 and all of our discovery programs other than the discovery-stage programs under the Roche collaboration. Subject to obtaining regulatory approval,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66" w:lineRule="exact"/>
        <w:rPr>
          <w:sz w:val="20"/>
          <w:szCs w:val="20"/>
          <w:color w:val="auto"/>
        </w:rPr>
      </w:pPr>
    </w:p>
    <w:p>
      <w:pPr>
        <w:jc w:val="both"/>
        <w:ind w:firstLine="648"/>
        <w:spacing w:after="0" w:line="189" w:lineRule="exact"/>
        <w:rPr>
          <w:sz w:val="20"/>
          <w:szCs w:val="20"/>
          <w:color w:val="auto"/>
        </w:rPr>
      </w:pPr>
      <w:r>
        <w:rPr>
          <w:rFonts w:ascii="Arial" w:cs="Arial" w:eastAsia="Arial" w:hAnsi="Arial"/>
          <w:sz w:val="18"/>
          <w:szCs w:val="18"/>
          <w:color w:val="auto"/>
        </w:rPr>
        <w:t>Under the terms of our agreements related to the development and commercialization of companion diagnostic tests, third parties are responsible for the commercialization of companion diagnostic tests for avapritinib in order to identify GIST patients with the PDGFRA D842V mutation, BLU-667 in order to identify NSCLC patients with RET fusions and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or drug substance for avapritinib, BLU-667, BLU-554 and BLU-782 for our pre-clinical and clinical testing from four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 and drug product from two third party manufacturers. We obtain our supplies from these manufacturers on a purchase order basis and do not have a long</w:t>
      </w:r>
      <w:r>
        <w:rPr>
          <w:rFonts w:ascii="MS PGothic" w:cs="MS PGothic" w:eastAsia="MS PGothic" w:hAnsi="MS PGothic"/>
          <w:sz w:val="16"/>
          <w:szCs w:val="16"/>
          <w:color w:val="auto"/>
        </w:rPr>
        <w:t>‑</w:t>
      </w:r>
      <w:r>
        <w:rPr>
          <w:rFonts w:ascii="Arial" w:cs="Arial" w:eastAsia="Arial" w:hAnsi="Arial"/>
          <w:sz w:val="16"/>
          <w:szCs w:val="16"/>
          <w:color w:val="auto"/>
        </w:rPr>
        <w:t>term supply arrangement in place. We do not currently have arrangements in place for redundant supply for commercial API and drug substance or for clinical and commercial drug product. For all of our drug candidates, we intend to identify and qualify additional manufacturers to provide the API, drug substance and drug product prior to submission of a new drug application to the FDA and/or a marketing authorization application to the European Medicines Agency.</w:t>
      </w:r>
    </w:p>
    <w:p>
      <w:pPr>
        <w:spacing w:after="0" w:line="163"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8"/>
          <w:szCs w:val="18"/>
          <w:color w:val="auto"/>
        </w:rPr>
        <w:t>Our drug candidates avapritinib, BLU-667, BLU-554 and BLU-782 are compounds of low molecular weight, generally called small molecules. They can be manufactured in reliable and reproducible synthetic processes from readily available starting materials. The chemistry is amenable to scale</w:t>
      </w:r>
      <w:r>
        <w:rPr>
          <w:rFonts w:ascii="MS PGothic" w:cs="MS PGothic" w:eastAsia="MS PGothic" w:hAnsi="MS PGothic"/>
          <w:sz w:val="18"/>
          <w:szCs w:val="18"/>
          <w:color w:val="auto"/>
        </w:rPr>
        <w:t>‑</w:t>
      </w:r>
      <w:r>
        <w:rPr>
          <w:rFonts w:ascii="Arial" w:cs="Arial" w:eastAsia="Arial" w:hAnsi="Arial"/>
          <w:sz w:val="18"/>
          <w:szCs w:val="18"/>
          <w:color w:val="auto"/>
        </w:rPr>
        <w:t>up and does not require unusual equipment in the manufacturing process. We expect to continue developing drug candidates that can be produced cost</w:t>
      </w:r>
      <w:r>
        <w:rPr>
          <w:rFonts w:ascii="MS PGothic" w:cs="MS PGothic" w:eastAsia="MS PGothic" w:hAnsi="MS PGothic"/>
          <w:sz w:val="18"/>
          <w:szCs w:val="18"/>
          <w:color w:val="auto"/>
        </w:rPr>
        <w:t>‑</w:t>
      </w:r>
      <w:r>
        <w:rPr>
          <w:rFonts w:ascii="Arial" w:cs="Arial" w:eastAsia="Arial" w:hAnsi="Arial"/>
          <w:sz w:val="18"/>
          <w:szCs w:val="18"/>
          <w:color w:val="auto"/>
        </w:rPr>
        <w:t>effectively at contract manufacturing facilities.</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Under the terms of our agreements related to the development and commercialization of companion diagnostic tests, we will rely on third parties to develop and commercialize companion diagnostic tests for avapritinib in order to identify GIST patients with the PDGFRA D842V mutation, BLU-667 in order to identify NSCLC patients with RET fusions and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FGFR4 pathway activation. We generally expect to rely on third parties for the manufacture of any other companion diagnostic tests we may seek to develop.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w:t>
      </w:r>
      <w:r>
        <w:rPr>
          <w:rFonts w:ascii="MS PGothic" w:cs="MS PGothic" w:eastAsia="MS PGothic" w:hAnsi="MS PGothic"/>
          <w:sz w:val="17"/>
          <w:szCs w:val="17"/>
          <w:color w:val="auto"/>
        </w:rPr>
        <w:t>‑</w:t>
      </w:r>
      <w:r>
        <w:rPr>
          <w:rFonts w:ascii="Arial" w:cs="Arial" w:eastAsia="Arial" w:hAnsi="Arial"/>
          <w:sz w:val="17"/>
          <w:szCs w:val="17"/>
          <w:color w:val="auto"/>
        </w:rPr>
        <w:t>keeping, promotion, advertising, distribution, post</w:t>
      </w:r>
      <w:r>
        <w:rPr>
          <w:rFonts w:ascii="MS PGothic" w:cs="MS PGothic" w:eastAsia="MS PGothic" w:hAnsi="MS PGothic"/>
          <w:sz w:val="17"/>
          <w:szCs w:val="17"/>
          <w:color w:val="auto"/>
        </w:rPr>
        <w:t>‑</w:t>
      </w:r>
      <w:r>
        <w:rPr>
          <w:rFonts w:ascii="Arial" w:cs="Arial" w:eastAsia="Arial" w:hAnsi="Arial"/>
          <w:sz w:val="17"/>
          <w:szCs w:val="17"/>
          <w:color w:val="auto"/>
        </w:rPr>
        <w:t>approval monitoring and reporting, marketing, and export and import of drug products, such as those we are developing. Generally, before 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new drug can be marketed, considerable data demonstrating its quality, safety and efficacy must be obtained, organized into a format specific to each regulatory authority, submitted for review and approved by the regulatory authority.</w:t>
      </w:r>
    </w:p>
    <w:p>
      <w:pPr>
        <w:spacing w:after="0" w:line="147"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55" w:lineRule="exact"/>
        <w:rPr>
          <w:sz w:val="20"/>
          <w:szCs w:val="20"/>
          <w:color w:val="auto"/>
        </w:rPr>
      </w:pPr>
    </w:p>
    <w:p>
      <w:pPr>
        <w:ind w:left="1300" w:right="140" w:hanging="325"/>
        <w:spacing w:after="0" w:line="22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extensive nonclinical tests, sometimes referred to as pre-clinical laboratory tests, animal studies and formulation studies performed in accordance with applicable regulations, including the FDA’s GLP regulations;</w:t>
      </w:r>
    </w:p>
    <w:p>
      <w:pPr>
        <w:spacing w:after="0" w:line="163"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actively maintained, including by submitting annual reports;</w:t>
      </w:r>
    </w:p>
    <w:p>
      <w:pPr>
        <w:spacing w:after="0" w:line="161" w:lineRule="exact"/>
        <w:rPr>
          <w:rFonts w:ascii="Arial" w:cs="Arial" w:eastAsia="Arial" w:hAnsi="Arial"/>
          <w:sz w:val="18"/>
          <w:szCs w:val="18"/>
          <w:color w:val="auto"/>
        </w:rPr>
      </w:pPr>
    </w:p>
    <w:p>
      <w:pPr>
        <w:ind w:left="1300" w:right="140" w:hanging="325"/>
        <w:spacing w:after="0" w:line="194" w:lineRule="exact"/>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applicable IND and other clinical trial</w:t>
      </w:r>
      <w:r>
        <w:rPr>
          <w:rFonts w:ascii="MS PGothic" w:cs="MS PGothic" w:eastAsia="MS PGothic" w:hAnsi="MS PGothic"/>
          <w:sz w:val="18"/>
          <w:szCs w:val="18"/>
          <w:color w:val="auto"/>
        </w:rPr>
        <w:t>‑</w:t>
      </w:r>
      <w:r>
        <w:rPr>
          <w:rFonts w:ascii="Arial" w:cs="Arial" w:eastAsia="Arial" w:hAnsi="Arial"/>
          <w:sz w:val="18"/>
          <w:szCs w:val="18"/>
          <w:color w:val="auto"/>
        </w:rPr>
        <w:t>related regulations, sometimes referred to as good clinical practices, or GCPs, to establish the safety and efficacy of the proposed drug for its proposed indication;</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84" w:lineRule="exact"/>
        <w:rPr>
          <w:rFonts w:ascii="Arial" w:cs="Arial" w:eastAsia="Arial" w:hAnsi="Arial"/>
          <w:sz w:val="18"/>
          <w:szCs w:val="18"/>
          <w:color w:val="auto"/>
        </w:rPr>
      </w:pPr>
    </w:p>
    <w:p>
      <w:pPr>
        <w:ind w:left="1300" w:right="200" w:hanging="325"/>
        <w:spacing w:after="0" w:line="194" w:lineRule="exact"/>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facility or facilities at which the API and finished drug product are produced to assess compliance with the FDA’s current good manufacturing practice requirements, or cGMP;</w:t>
      </w:r>
    </w:p>
    <w:p>
      <w:pPr>
        <w:spacing w:after="0" w:line="163"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FDA audit of the pre-clinical study sites and/or clinical trial sites that generated the data in support of the NDA; and</w:t>
      </w:r>
    </w:p>
    <w:p>
      <w:pPr>
        <w:spacing w:after="0" w:line="161"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62"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w:t>
      </w:r>
      <w:r>
        <w:rPr>
          <w:rFonts w:ascii="MS PGothic" w:cs="MS PGothic" w:eastAsia="MS PGothic" w:hAnsi="MS PGothic"/>
          <w:sz w:val="16"/>
          <w:szCs w:val="16"/>
          <w:color w:val="auto"/>
        </w:rPr>
        <w:t>‑</w:t>
      </w:r>
      <w:r>
        <w:rPr>
          <w:rFonts w:ascii="Arial" w:cs="Arial" w:eastAsia="Arial" w:hAnsi="Arial"/>
          <w:sz w:val="16"/>
          <w:szCs w:val="16"/>
          <w:color w:val="auto"/>
        </w:rPr>
        <w:t>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automatically becomes effective 30 days after receipt by the FDA, unless the FDA raises concerns or questions regarding the proposed clinical trials and places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60"/>
        <w:spacing w:after="0" w:line="187" w:lineRule="exact"/>
        <w:rPr>
          <w:sz w:val="20"/>
          <w:szCs w:val="20"/>
          <w:color w:val="auto"/>
        </w:rPr>
      </w:pPr>
      <w:r>
        <w:rPr>
          <w:rFonts w:ascii="Arial" w:cs="Arial" w:eastAsia="Arial" w:hAnsi="Arial"/>
          <w:sz w:val="18"/>
          <w:szCs w:val="18"/>
          <w:color w:val="auto"/>
        </w:rPr>
        <w:t>IND on clinical hold within that 30</w:t>
      </w:r>
      <w:r>
        <w:rPr>
          <w:rFonts w:ascii="MS PGothic" w:cs="MS PGothic" w:eastAsia="MS PGothic" w:hAnsi="MS PGothic"/>
          <w:sz w:val="18"/>
          <w:szCs w:val="18"/>
          <w:color w:val="auto"/>
        </w:rPr>
        <w:t>‑</w:t>
      </w:r>
      <w:r>
        <w:rPr>
          <w:rFonts w:ascii="Arial" w:cs="Arial" w:eastAsia="Arial" w:hAnsi="Arial"/>
          <w:sz w:val="18"/>
          <w:szCs w:val="18"/>
          <w:color w:val="auto"/>
        </w:rPr>
        <w:t>day time period. In such a case, the IND sponsor and the FDA must resolve any outstanding concerns or questions before the clinical trial can begin. The FDA may also impose clinical holds on a drug candidate at any time before or during clinical trials due to safety concerns or non</w:t>
      </w:r>
      <w:r>
        <w:rPr>
          <w:rFonts w:ascii="MS PGothic" w:cs="MS PGothic" w:eastAsia="MS PGothic" w:hAnsi="MS PGothic"/>
          <w:sz w:val="18"/>
          <w:szCs w:val="18"/>
          <w:color w:val="auto"/>
        </w:rPr>
        <w:t>‑</w:t>
      </w:r>
      <w:r>
        <w:rPr>
          <w:rFonts w:ascii="Arial" w:cs="Arial" w:eastAsia="Arial" w:hAnsi="Arial"/>
          <w:sz w:val="18"/>
          <w:szCs w:val="18"/>
          <w:color w:val="auto"/>
        </w:rPr>
        <w:t>compliance. Accordingly, we cannot be sure that submission of an IND will result in the FDA allowing clinical trials to begin, or that, once begun, issues will not arise that could cause the trial to be suspended or terminated.</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6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PK profile, pharmacologic action, side effect tolerability and safety of the drug. Phase 1 clinical trials for oncology indications may also evaluate preliminary evidence of clinical activity. Phase 2 clinical trials typically involve studies in disease</w:t>
      </w:r>
      <w:r>
        <w:rPr>
          <w:rFonts w:ascii="MS PGothic" w:cs="MS PGothic" w:eastAsia="MS PGothic" w:hAnsi="MS PGothic"/>
          <w:sz w:val="16"/>
          <w:szCs w:val="16"/>
          <w:color w:val="auto"/>
        </w:rPr>
        <w:t>‑</w:t>
      </w:r>
      <w:r>
        <w:rPr>
          <w:rFonts w:ascii="Arial" w:cs="Arial" w:eastAsia="Arial" w:hAnsi="Arial"/>
          <w:sz w:val="16"/>
          <w:szCs w:val="16"/>
          <w:color w:val="auto"/>
        </w:rPr>
        <w:t>affected patients to determine the dose required to produce the desired benefits. At the same time, safety and further PK and PD information is collected, as well as identification of possible adverse effects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its safety in use, and to establish the overall benefit/risk relationship of the drug and provide an adequate basis for physician labeling. Phase 3 clinical trials may include comparisons with placebo and/or other comparator treatments. The duration of treatment is often extended to mimic the actual use of a drug during marketing. Generally, two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Phase 3 clinical trials are required by the FDA for approval of an NDA.</w:t>
      </w:r>
    </w:p>
    <w:p>
      <w:pPr>
        <w:spacing w:after="0" w:line="163" w:lineRule="exact"/>
        <w:rPr>
          <w:sz w:val="20"/>
          <w:szCs w:val="20"/>
          <w:color w:val="auto"/>
        </w:rPr>
      </w:pPr>
    </w:p>
    <w:p>
      <w:pPr>
        <w:jc w:val="both"/>
        <w:ind w:right="560" w:firstLine="648"/>
        <w:spacing w:after="0" w:line="19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NDA and FDA Review Process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w:t>
      </w:r>
      <w:r>
        <w:rPr>
          <w:rFonts w:ascii="MS PGothic" w:cs="MS PGothic" w:eastAsia="MS PGothic" w:hAnsi="MS PGothic"/>
          <w:sz w:val="17"/>
          <w:szCs w:val="17"/>
          <w:color w:val="auto"/>
        </w:rPr>
        <w:t>‑</w:t>
      </w:r>
      <w:r>
        <w:rPr>
          <w:rFonts w:ascii="Arial" w:cs="Arial" w:eastAsia="Arial" w:hAnsi="Arial"/>
          <w:sz w:val="17"/>
          <w:szCs w:val="17"/>
          <w:color w:val="auto"/>
        </w:rPr>
        <w:t>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United States.</w:t>
      </w:r>
    </w:p>
    <w:p>
      <w:pPr>
        <w:spacing w:after="0" w:line="167" w:lineRule="exact"/>
        <w:rPr>
          <w:sz w:val="20"/>
          <w:szCs w:val="20"/>
          <w:color w:val="auto"/>
        </w:rPr>
      </w:pPr>
    </w:p>
    <w:p>
      <w:pPr>
        <w:ind w:right="340" w:firstLine="648"/>
        <w:spacing w:after="0" w:line="232" w:lineRule="auto"/>
        <w:rPr>
          <w:sz w:val="20"/>
          <w:szCs w:val="20"/>
          <w:color w:val="auto"/>
        </w:rPr>
      </w:pPr>
      <w:r>
        <w:rPr>
          <w:rFonts w:ascii="Arial" w:cs="Arial" w:eastAsia="Arial" w:hAnsi="Arial"/>
          <w:sz w:val="17"/>
          <w:szCs w:val="17"/>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63"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Under the Prescription Drug User Fee Act, or PDUFA, as amended, each NDA must be accompanied by a user fee. The FDA adjusts the PDUFA user fees on an annual basis. According to the FDA’s fiscal year 2019 fee schedule, effective through September 30, 2019, the user fee for an application requiring clinical data, such as an NDA, is $2,588,478. PDUFA also imposes an annual prescription drug product program fee for human drugs ($309,915).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w:t>
      </w:r>
      <w:r>
        <w:rPr>
          <w:rFonts w:ascii="MS PGothic" w:cs="MS PGothic" w:eastAsia="MS PGothic" w:hAnsi="MS PGothic"/>
          <w:sz w:val="18"/>
          <w:szCs w:val="18"/>
          <w:color w:val="auto"/>
        </w:rPr>
        <w:t>‑</w:t>
      </w:r>
      <w:r>
        <w:rPr>
          <w:rFonts w:ascii="Arial" w:cs="Arial" w:eastAsia="Arial" w:hAnsi="Arial"/>
          <w:sz w:val="18"/>
          <w:szCs w:val="18"/>
          <w:color w:val="auto"/>
        </w:rPr>
        <w:t>orphan indication.</w:t>
      </w:r>
    </w:p>
    <w:p>
      <w:pPr>
        <w:spacing w:after="0" w:line="125"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w:t>
      </w:r>
      <w:r>
        <w:rPr>
          <w:rFonts w:ascii="MS PGothic" w:cs="MS PGothic" w:eastAsia="MS PGothic" w:hAnsi="MS PGothic"/>
          <w:sz w:val="17"/>
          <w:szCs w:val="17"/>
          <w:color w:val="auto"/>
        </w:rPr>
        <w:t>‑</w:t>
      </w:r>
      <w:r>
        <w:rPr>
          <w:rFonts w:ascii="Arial" w:cs="Arial" w:eastAsia="Arial" w:hAnsi="Arial"/>
          <w:sz w:val="17"/>
          <w:szCs w:val="17"/>
          <w:color w:val="auto"/>
        </w:rPr>
        <w:t>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3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w:t>
      </w:r>
      <w:r>
        <w:rPr>
          <w:rFonts w:ascii="MS PGothic" w:cs="MS PGothic" w:eastAsia="MS PGothic" w:hAnsi="MS PGothic"/>
          <w:sz w:val="17"/>
          <w:szCs w:val="17"/>
          <w:color w:val="auto"/>
        </w:rPr>
        <w:t>‑</w:t>
      </w:r>
      <w:r>
        <w:rPr>
          <w:rFonts w:ascii="Arial" w:cs="Arial" w:eastAsia="Arial" w:hAnsi="Arial"/>
          <w:sz w:val="17"/>
          <w:szCs w:val="17"/>
          <w:color w:val="auto"/>
        </w:rPr>
        <w:t>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23" w:lineRule="exact"/>
        <w:rPr>
          <w:sz w:val="20"/>
          <w:szCs w:val="20"/>
          <w:color w:val="auto"/>
        </w:rPr>
      </w:pPr>
    </w:p>
    <w:p>
      <w:pPr>
        <w:ind w:right="200" w:firstLine="648"/>
        <w:spacing w:after="0" w:line="182" w:lineRule="exact"/>
        <w:rPr>
          <w:sz w:val="20"/>
          <w:szCs w:val="20"/>
          <w:color w:val="auto"/>
        </w:rPr>
      </w:pPr>
      <w:r>
        <w:rPr>
          <w:rFonts w:ascii="Arial" w:cs="Arial" w:eastAsia="Arial" w:hAnsi="Arial"/>
          <w:sz w:val="17"/>
          <w:szCs w:val="17"/>
          <w:color w:val="auto"/>
        </w:rPr>
        <w:t>Before approving an NDA, the FDA will conduct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2" w:lineRule="exact"/>
        <w:rPr>
          <w:sz w:val="20"/>
          <w:szCs w:val="20"/>
          <w:color w:val="auto"/>
        </w:rPr>
      </w:pPr>
      <w:r>
        <w:rPr>
          <w:rFonts w:ascii="Arial" w:cs="Arial" w:eastAsia="Arial" w:hAnsi="Arial"/>
          <w:sz w:val="16"/>
          <w:szCs w:val="16"/>
          <w:color w:val="auto"/>
        </w:rPr>
        <w:t>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27"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w:t>
      </w:r>
      <w:r>
        <w:rPr>
          <w:rFonts w:ascii="MS PGothic" w:cs="MS PGothic" w:eastAsia="MS PGothic" w:hAnsi="MS PGothic"/>
          <w:sz w:val="16"/>
          <w:szCs w:val="16"/>
          <w:color w:val="auto"/>
        </w:rPr>
        <w:t>‑</w:t>
      </w:r>
      <w:r>
        <w:rPr>
          <w:rFonts w:ascii="Arial" w:cs="Arial" w:eastAsia="Arial" w:hAnsi="Arial"/>
          <w:sz w:val="16"/>
          <w:szCs w:val="16"/>
          <w:color w:val="auto"/>
        </w:rPr>
        <w: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w:t>
      </w:r>
      <w:r>
        <w:rPr>
          <w:rFonts w:ascii="MS PGothic" w:cs="MS PGothic" w:eastAsia="MS PGothic" w:hAnsi="MS PGothic"/>
          <w:sz w:val="16"/>
          <w:szCs w:val="16"/>
          <w:color w:val="auto"/>
        </w:rPr>
        <w:t>‑</w:t>
      </w:r>
      <w:r>
        <w:rPr>
          <w:rFonts w:ascii="Arial" w:cs="Arial" w:eastAsia="Arial" w:hAnsi="Arial"/>
          <w:sz w:val="16"/>
          <w:szCs w:val="16"/>
          <w:color w:val="auto"/>
        </w:rPr>
        <w:t>compliance with regulatory requirements or if problems occur following initial marketing.</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drugs studied for their safety and effectiveness in treating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illnesses and that provide meaningful therapeutic benefit over existing treatments may receive accelerated approval and may be approved on the basis of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w:t>
      </w:r>
      <w:r>
        <w:rPr>
          <w:rFonts w:ascii="MS PGothic" w:cs="MS PGothic" w:eastAsia="MS PGothic" w:hAnsi="MS PGothic"/>
          <w:sz w:val="17"/>
          <w:szCs w:val="17"/>
          <w:color w:val="auto"/>
        </w:rPr>
        <w:t>‑</w:t>
      </w:r>
      <w:r>
        <w:rPr>
          <w:rFonts w:ascii="Arial" w:cs="Arial" w:eastAsia="Arial" w:hAnsi="Arial"/>
          <w:sz w:val="17"/>
          <w:szCs w:val="17"/>
          <w:color w:val="auto"/>
        </w:rPr>
        <w:t>marketing studies to verify and describe the predicted effect 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99"/>
        <w:spacing w:after="0" w:line="235" w:lineRule="auto"/>
        <w:rPr>
          <w:sz w:val="20"/>
          <w:szCs w:val="20"/>
          <w:color w:val="auto"/>
        </w:rPr>
      </w:pPr>
      <w:r>
        <w:rPr>
          <w:rFonts w:ascii="Arial" w:cs="Arial" w:eastAsia="Arial" w:hAnsi="Arial"/>
          <w:sz w:val="18"/>
          <w:szCs w:val="18"/>
          <w:color w:val="auto"/>
        </w:rPr>
        <w:t>irreversible morbidity or mortality or other clinical endpoint, and the drug may be subject to accelerated withdrawal procedures.</w:t>
      </w:r>
    </w:p>
    <w:p>
      <w:pPr>
        <w:spacing w:after="0" w:line="162" w:lineRule="exact"/>
        <w:rPr>
          <w:sz w:val="20"/>
          <w:szCs w:val="20"/>
          <w:color w:val="auto"/>
        </w:rPr>
      </w:pPr>
    </w:p>
    <w:p>
      <w:pPr>
        <w:ind w:right="39" w:firstLine="648"/>
        <w:spacing w:after="0" w:line="184" w:lineRule="exact"/>
        <w:rPr>
          <w:sz w:val="20"/>
          <w:szCs w:val="20"/>
          <w:color w:val="auto"/>
        </w:rPr>
      </w:pPr>
      <w:r>
        <w:rPr>
          <w:rFonts w:ascii="Arial" w:cs="Arial" w:eastAsia="Arial" w:hAnsi="Arial"/>
          <w:sz w:val="16"/>
          <w:szCs w:val="16"/>
          <w:color w:val="auto"/>
        </w:rPr>
        <w:t>Moreover,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163" w:lineRule="exact"/>
        <w:rPr>
          <w:sz w:val="20"/>
          <w:szCs w:val="20"/>
          <w:color w:val="auto"/>
        </w:rPr>
      </w:pPr>
    </w:p>
    <w:p>
      <w:pPr>
        <w:ind w:right="119" w:firstLine="648"/>
        <w:spacing w:after="0" w:line="24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Trials</w:t>
      </w:r>
    </w:p>
    <w:p>
      <w:pPr>
        <w:spacing w:after="0" w:line="185"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w:t>
      </w:r>
      <w:r>
        <w:rPr>
          <w:rFonts w:ascii="MS PGothic" w:cs="MS PGothic" w:eastAsia="MS PGothic" w:hAnsi="MS PGothic"/>
          <w:sz w:val="16"/>
          <w:szCs w:val="16"/>
          <w:color w:val="auto"/>
        </w:rPr>
        <w:t>‑</w:t>
      </w:r>
      <w:r>
        <w:rPr>
          <w:rFonts w:ascii="Arial" w:cs="Arial" w:eastAsia="Arial" w:hAnsi="Arial"/>
          <w:sz w:val="16"/>
          <w:szCs w:val="16"/>
          <w:color w:val="auto"/>
        </w:rPr>
        <w:t>upon initial PSP at any time if changes to the pediatric plan need to be considered based on data collected from pre-clinical studies, early phase clinical trials, and/or other clinical development programs.</w:t>
      </w:r>
    </w:p>
    <w:p>
      <w:pPr>
        <w:spacing w:after="0" w:line="16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Marketing Requirements</w:t>
      </w:r>
    </w:p>
    <w:p>
      <w:pPr>
        <w:spacing w:after="0" w:line="185" w:lineRule="exact"/>
        <w:rPr>
          <w:sz w:val="20"/>
          <w:szCs w:val="20"/>
          <w:color w:val="auto"/>
        </w:rPr>
      </w:pPr>
    </w:p>
    <w:p>
      <w:pPr>
        <w:ind w:right="39" w:firstLine="648"/>
        <w:spacing w:after="0" w:line="180" w:lineRule="exact"/>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consumer advertising, restrictions on promoting drugs for uses or in patient populations that are not described in the drug’s approved labeling (known as “off</w:t>
      </w:r>
      <w:r>
        <w:rPr>
          <w:rFonts w:ascii="MS PGothic" w:cs="MS PGothic" w:eastAsia="MS PGothic" w:hAnsi="MS PGothic"/>
          <w:sz w:val="17"/>
          <w:szCs w:val="17"/>
          <w:color w:val="auto"/>
        </w:rPr>
        <w:t>‑</w:t>
      </w:r>
      <w:r>
        <w:rPr>
          <w:rFonts w:ascii="Arial" w:cs="Arial" w:eastAsia="Arial" w:hAnsi="Arial"/>
          <w:sz w:val="17"/>
          <w:szCs w:val="17"/>
          <w:color w:val="auto"/>
        </w:rPr>
        <w:t>label use”) and requirements for promotional activities involving the internet. Although physicians may prescribe legally available drugs for off</w:t>
      </w:r>
      <w:r>
        <w:rPr>
          <w:rFonts w:ascii="MS PGothic" w:cs="MS PGothic" w:eastAsia="MS PGothic" w:hAnsi="MS PGothic"/>
          <w:sz w:val="17"/>
          <w:szCs w:val="17"/>
          <w:color w:val="auto"/>
        </w:rPr>
        <w:t>‑</w:t>
      </w:r>
      <w:r>
        <w:rPr>
          <w:rFonts w:ascii="Arial" w:cs="Arial" w:eastAsia="Arial" w:hAnsi="Arial"/>
          <w:sz w:val="17"/>
          <w:szCs w:val="17"/>
          <w:color w:val="auto"/>
        </w:rPr>
        <w:t>label uses, manufacturers may not market or promote such off</w:t>
      </w:r>
      <w:r>
        <w:rPr>
          <w:rFonts w:ascii="MS PGothic" w:cs="MS PGothic" w:eastAsia="MS PGothic" w:hAnsi="MS PGothic"/>
          <w:sz w:val="17"/>
          <w:szCs w:val="17"/>
          <w:color w:val="auto"/>
        </w:rPr>
        <w:t>‑</w:t>
      </w:r>
      <w:r>
        <w:rPr>
          <w:rFonts w:ascii="Arial" w:cs="Arial" w:eastAsia="Arial" w:hAnsi="Arial"/>
          <w:sz w:val="17"/>
          <w:szCs w:val="17"/>
          <w:color w:val="auto"/>
        </w:rPr>
        <w:t>label uses. Prescription drug promotional materials must be submitted to the FDA in conjunction with their first use. There are also limitations on industry</w:t>
      </w:r>
      <w:r>
        <w:rPr>
          <w:rFonts w:ascii="MS PGothic" w:cs="MS PGothic" w:eastAsia="MS PGothic" w:hAnsi="MS PGothic"/>
          <w:sz w:val="17"/>
          <w:szCs w:val="17"/>
          <w:color w:val="auto"/>
        </w:rPr>
        <w:t>‑</w:t>
      </w:r>
      <w:r>
        <w:rPr>
          <w:rFonts w:ascii="Arial" w:cs="Arial" w:eastAsia="Arial" w:hAnsi="Arial"/>
          <w:sz w:val="17"/>
          <w:szCs w:val="17"/>
          <w:color w:val="auto"/>
        </w:rPr>
        <w:t>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169" w:lineRule="exact"/>
        <w:rPr>
          <w:sz w:val="20"/>
          <w:szCs w:val="20"/>
          <w:color w:val="auto"/>
        </w:rPr>
      </w:pPr>
    </w:p>
    <w:p>
      <w:pPr>
        <w:ind w:right="19" w:firstLine="648"/>
        <w:spacing w:after="0" w:line="236" w:lineRule="auto"/>
        <w:rPr>
          <w:sz w:val="20"/>
          <w:szCs w:val="20"/>
          <w:color w:val="auto"/>
        </w:rPr>
      </w:pPr>
      <w:r>
        <w:rPr>
          <w:rFonts w:ascii="Arial" w:cs="Arial" w:eastAsia="Arial" w:hAnsi="Arial"/>
          <w:sz w:val="16"/>
          <w:szCs w:val="16"/>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168"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The FDA also may require post</w:t>
      </w:r>
      <w:r>
        <w:rPr>
          <w:rFonts w:ascii="MS PGothic" w:cs="MS PGothic" w:eastAsia="MS PGothic" w:hAnsi="MS PGothic"/>
          <w:sz w:val="17"/>
          <w:szCs w:val="17"/>
          <w:color w:val="auto"/>
        </w:rPr>
        <w:t>‑</w:t>
      </w:r>
      <w:r>
        <w:rPr>
          <w:rFonts w:ascii="Arial" w:cs="Arial" w:eastAsia="Arial" w:hAnsi="Arial"/>
          <w:sz w:val="17"/>
          <w:szCs w:val="17"/>
          <w:color w:val="auto"/>
        </w:rPr>
        <w:t>approval testing, sometimes referred to as Phase 4 testing, risk minimization action plans and post</w:t>
      </w:r>
      <w:r>
        <w:rPr>
          <w:rFonts w:ascii="MS PGothic" w:cs="MS PGothic" w:eastAsia="MS PGothic" w:hAnsi="MS PGothic"/>
          <w:sz w:val="17"/>
          <w:szCs w:val="17"/>
          <w:color w:val="auto"/>
        </w:rPr>
        <w:t>‑</w:t>
      </w:r>
      <w:r>
        <w:rPr>
          <w:rFonts w:ascii="Arial" w:cs="Arial" w:eastAsia="Arial" w:hAnsi="Arial"/>
          <w:sz w:val="17"/>
          <w:szCs w:val="17"/>
          <w:color w:val="auto"/>
        </w:rPr>
        <w: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 pharmaceutical drugs is subject to additional requirements and regulations, including extensive record</w:t>
      </w:r>
      <w:r>
        <w:rPr>
          <w:rFonts w:ascii="MS PGothic" w:cs="MS PGothic" w:eastAsia="MS PGothic" w:hAnsi="MS PGothic"/>
          <w:sz w:val="17"/>
          <w:szCs w:val="17"/>
          <w:color w:val="auto"/>
        </w:rPr>
        <w:t>‑</w:t>
      </w:r>
      <w:r>
        <w:rPr>
          <w:rFonts w:ascii="Arial" w:cs="Arial" w:eastAsia="Arial" w:hAnsi="Arial"/>
          <w:sz w:val="17"/>
          <w:szCs w:val="17"/>
          <w:color w:val="auto"/>
        </w:rPr>
        <w:t>keeping, licensing, storage and security requirements intended to prevent the unauthorized sale of pharmaceutical drugs.</w:t>
      </w:r>
    </w:p>
    <w:p>
      <w:pPr>
        <w:spacing w:after="0" w:line="164"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color w:val="auto"/>
        </w:rPr>
        <w:t>Also, new government requirements, including those resulting from new legislation, may be established, or the FDA’s policies may change, which could delay or prevent regulatory approval of our drugs under development.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Regulatory Matters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w:t>
      </w:r>
      <w:r>
        <w:rPr>
          <w:rFonts w:ascii="MS PGothic" w:cs="MS PGothic" w:eastAsia="MS PGothic" w:hAnsi="MS PGothic"/>
          <w:sz w:val="16"/>
          <w:szCs w:val="16"/>
          <w:color w:val="auto"/>
        </w:rPr>
        <w:t>‑</w:t>
      </w:r>
      <w:r>
        <w:rPr>
          <w:rFonts w:ascii="Arial" w:cs="Arial" w:eastAsia="Arial" w:hAnsi="Arial"/>
          <w:sz w:val="16"/>
          <w:szCs w:val="16"/>
          <w:color w:val="auto"/>
        </w:rPr>
        <w:t>resistant packaging requirements under the U.S. Poison Prevention Packaging Act. Manufacturing, sales, promotion and other activities are also potentially subject to federal and state consumer protection and unfair competition laws.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recalls,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spacing w:after="0" w:line="1" w:lineRule="exact"/>
        <w:rPr>
          <w:sz w:val="20"/>
          <w:szCs w:val="20"/>
          <w:color w:val="auto"/>
        </w:rPr>
      </w:pPr>
    </w:p>
    <w:p>
      <w:pPr>
        <w:ind w:right="520" w:firstLine="3"/>
        <w:spacing w:after="0" w:line="195" w:lineRule="exact"/>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voluntary recall or discontinuation of our products; or (iv) additional record</w:t>
      </w:r>
      <w:r>
        <w:rPr>
          <w:rFonts w:ascii="MS PGothic" w:cs="MS PGothic" w:eastAsia="MS PGothic" w:hAnsi="MS PGothic"/>
          <w:sz w:val="18"/>
          <w:szCs w:val="18"/>
          <w:color w:val="auto"/>
        </w:rPr>
        <w:t>‑</w:t>
      </w:r>
      <w:r>
        <w:rPr>
          <w:rFonts w:ascii="Arial" w:cs="Arial" w:eastAsia="Arial" w:hAnsi="Arial"/>
          <w:sz w:val="18"/>
          <w:szCs w:val="18"/>
          <w:color w:val="auto"/>
        </w:rPr>
        <w:t>keeping requirements. If any such changes were to be imposed, they could adversely affect the operation of our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85" w:lineRule="exact"/>
        <w:rPr>
          <w:sz w:val="20"/>
          <w:szCs w:val="20"/>
          <w:color w:val="auto"/>
        </w:rPr>
      </w:pPr>
    </w:p>
    <w:p>
      <w:pPr>
        <w:ind w:right="260" w:firstLine="648"/>
        <w:spacing w:after="0" w:line="258"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w:t>
      </w:r>
      <w:r>
        <w:rPr>
          <w:rFonts w:ascii="MS PGothic" w:cs="MS PGothic" w:eastAsia="MS PGothic" w:hAnsi="MS PGothic"/>
          <w:sz w:val="16"/>
          <w:szCs w:val="16"/>
          <w:color w:val="auto"/>
        </w:rPr>
        <w:t>‑</w:t>
      </w:r>
      <w:r>
        <w:rPr>
          <w:rFonts w:ascii="Arial" w:cs="Arial" w:eastAsia="Arial" w:hAnsi="Arial"/>
          <w:sz w:val="16"/>
          <w:szCs w:val="16"/>
          <w:color w:val="auto"/>
        </w:rPr>
        <w:t>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Marketing exclusivity provisions under the FDCA can also delay the submission or the approval of certain</w:t>
      </w:r>
    </w:p>
    <w:p>
      <w:pPr>
        <w:spacing w:after="0" w:line="176" w:lineRule="exact"/>
        <w:rPr>
          <w:sz w:val="20"/>
          <w:szCs w:val="20"/>
          <w:color w:val="auto"/>
        </w:rPr>
      </w:pPr>
      <w:r>
        <w:rPr>
          <w:rFonts w:ascii="Arial" w:cs="Arial" w:eastAsia="Arial" w:hAnsi="Arial"/>
          <w:sz w:val="16"/>
          <w:szCs w:val="16"/>
          <w:color w:val="auto"/>
        </w:rPr>
        <w:t>marketing applications. The FDCA provides a five</w:t>
      </w:r>
      <w:r>
        <w:rPr>
          <w:rFonts w:ascii="MS PGothic" w:cs="MS PGothic" w:eastAsia="MS PGothic" w:hAnsi="MS PGothic"/>
          <w:sz w:val="16"/>
          <w:szCs w:val="16"/>
          <w:color w:val="auto"/>
        </w:rPr>
        <w:t>‑</w:t>
      </w:r>
      <w:r>
        <w:rPr>
          <w:rFonts w:ascii="Arial" w:cs="Arial" w:eastAsia="Arial" w:hAnsi="Arial"/>
          <w:sz w:val="16"/>
          <w:szCs w:val="16"/>
          <w:color w:val="auto"/>
        </w:rPr>
        <w:t>year period of non</w:t>
      </w:r>
      <w:r>
        <w:rPr>
          <w:rFonts w:ascii="MS PGothic" w:cs="MS PGothic" w:eastAsia="MS PGothic" w:hAnsi="MS PGothic"/>
          <w:sz w:val="16"/>
          <w:szCs w:val="16"/>
          <w:color w:val="auto"/>
        </w:rPr>
        <w:t>‑</w:t>
      </w:r>
      <w:r>
        <w:rPr>
          <w:rFonts w:ascii="Arial" w:cs="Arial" w:eastAsia="Arial" w:hAnsi="Arial"/>
          <w:sz w:val="16"/>
          <w:szCs w:val="16"/>
          <w:color w:val="auto"/>
        </w:rPr>
        <w:t>patent marketing exclusivity within the United States</w:t>
      </w:r>
    </w:p>
    <w:p>
      <w:pPr>
        <w:spacing w:after="0" w:line="229" w:lineRule="auto"/>
        <w:rPr>
          <w:sz w:val="20"/>
          <w:szCs w:val="20"/>
          <w:color w:val="auto"/>
        </w:rPr>
      </w:pPr>
      <w:r>
        <w:rPr>
          <w:rFonts w:ascii="Arial" w:cs="Arial" w:eastAsia="Arial" w:hAnsi="Arial"/>
          <w:sz w:val="16"/>
          <w:szCs w:val="16"/>
          <w:color w:val="auto"/>
        </w:rPr>
        <w:t>to the first applicant to obtain approval of an NDA for a new chemical entity. A drug is a new chemical entity if the FDA has</w:t>
      </w:r>
    </w:p>
    <w:p>
      <w:pPr>
        <w:spacing w:after="0" w:line="229" w:lineRule="auto"/>
        <w:rPr>
          <w:sz w:val="20"/>
          <w:szCs w:val="20"/>
          <w:color w:val="auto"/>
        </w:rPr>
      </w:pPr>
      <w:r>
        <w:rPr>
          <w:rFonts w:ascii="Arial" w:cs="Arial" w:eastAsia="Arial" w:hAnsi="Arial"/>
          <w:sz w:val="16"/>
          <w:szCs w:val="16"/>
          <w:color w:val="auto"/>
        </w:rPr>
        <w:t>not previously approved any other new drug containing the same active moiety, which is the molecule or ion responsible for</w:t>
      </w:r>
    </w:p>
    <w:p>
      <w:pPr>
        <w:spacing w:after="0" w:line="229" w:lineRule="auto"/>
        <w:rPr>
          <w:sz w:val="20"/>
          <w:szCs w:val="20"/>
          <w:color w:val="auto"/>
        </w:rPr>
      </w:pPr>
      <w:r>
        <w:rPr>
          <w:rFonts w:ascii="Arial" w:cs="Arial" w:eastAsia="Arial" w:hAnsi="Arial"/>
          <w:sz w:val="16"/>
          <w:szCs w:val="16"/>
          <w:color w:val="auto"/>
        </w:rPr>
        <w:t>the action of the drug substance. During the exclusivity period, the FDA may not accept for review an abbreviated new drug</w:t>
      </w:r>
    </w:p>
    <w:p>
      <w:pPr>
        <w:spacing w:after="0" w:line="229" w:lineRule="auto"/>
        <w:rPr>
          <w:sz w:val="20"/>
          <w:szCs w:val="20"/>
          <w:color w:val="auto"/>
        </w:rPr>
      </w:pPr>
      <w:r>
        <w:rPr>
          <w:rFonts w:ascii="Arial" w:cs="Arial" w:eastAsia="Arial" w:hAnsi="Arial"/>
          <w:sz w:val="16"/>
          <w:szCs w:val="16"/>
          <w:color w:val="auto"/>
        </w:rPr>
        <w:t>application, or ANDA, or a 505(b)(2) NDA submitted by another company for another drug based on the same active moiety,</w:t>
      </w:r>
    </w:p>
    <w:p>
      <w:pPr>
        <w:spacing w:after="0" w:line="215" w:lineRule="auto"/>
        <w:rPr>
          <w:sz w:val="20"/>
          <w:szCs w:val="20"/>
          <w:color w:val="auto"/>
        </w:rPr>
      </w:pPr>
      <w:r>
        <w:rPr>
          <w:rFonts w:ascii="Arial" w:cs="Arial" w:eastAsia="Arial" w:hAnsi="Arial"/>
          <w:sz w:val="17"/>
          <w:szCs w:val="17"/>
          <w:color w:val="auto"/>
        </w:rPr>
        <w:t>regardless of whether the drug is intended for the same indication as the original innovator drug or for another indication,</w:t>
      </w:r>
    </w:p>
    <w:p>
      <w:pPr>
        <w:spacing w:after="0" w:line="216" w:lineRule="auto"/>
        <w:rPr>
          <w:sz w:val="20"/>
          <w:szCs w:val="20"/>
          <w:color w:val="auto"/>
        </w:rPr>
      </w:pPr>
      <w:r>
        <w:rPr>
          <w:rFonts w:ascii="Arial" w:cs="Arial" w:eastAsia="Arial" w:hAnsi="Arial"/>
          <w:sz w:val="17"/>
          <w:szCs w:val="17"/>
          <w:color w:val="auto"/>
        </w:rPr>
        <w:t>where the applicant does not own or have a legal right of reference to all the data required for approval. However, an</w:t>
      </w:r>
    </w:p>
    <w:p>
      <w:pPr>
        <w:spacing w:after="0" w:line="176" w:lineRule="exact"/>
        <w:rPr>
          <w:sz w:val="20"/>
          <w:szCs w:val="20"/>
          <w:color w:val="auto"/>
        </w:rPr>
      </w:pPr>
      <w:r>
        <w:rPr>
          <w:rFonts w:ascii="Arial" w:cs="Arial" w:eastAsia="Arial" w:hAnsi="Arial"/>
          <w:sz w:val="17"/>
          <w:szCs w:val="17"/>
          <w:color w:val="auto"/>
        </w:rPr>
        <w:t>application may be submitted after four years if it contains a certification of patent invalidity or non</w:t>
      </w:r>
      <w:r>
        <w:rPr>
          <w:rFonts w:ascii="MS PGothic" w:cs="MS PGothic" w:eastAsia="MS PGothic" w:hAnsi="MS PGothic"/>
          <w:sz w:val="17"/>
          <w:szCs w:val="17"/>
          <w:color w:val="auto"/>
        </w:rPr>
        <w:t>‑</w:t>
      </w:r>
      <w:r>
        <w:rPr>
          <w:rFonts w:ascii="Arial" w:cs="Arial" w:eastAsia="Arial" w:hAnsi="Arial"/>
          <w:sz w:val="17"/>
          <w:szCs w:val="17"/>
          <w:color w:val="auto"/>
        </w:rPr>
        <w:t>infringement to one of</w:t>
      </w:r>
    </w:p>
    <w:p>
      <w:pPr>
        <w:spacing w:after="0" w:line="229" w:lineRule="auto"/>
        <w:rPr>
          <w:sz w:val="20"/>
          <w:szCs w:val="20"/>
          <w:color w:val="auto"/>
        </w:rPr>
      </w:pPr>
      <w:r>
        <w:rPr>
          <w:rFonts w:ascii="Arial" w:cs="Arial" w:eastAsia="Arial" w:hAnsi="Arial"/>
          <w:sz w:val="16"/>
          <w:szCs w:val="16"/>
          <w:color w:val="auto"/>
        </w:rPr>
        <w:t>the patents listed with the FDA by the innovator NDA holder. The FDCA also provides three years of marketing exclusivity</w:t>
      </w:r>
    </w:p>
    <w:p>
      <w:pPr>
        <w:spacing w:after="0" w:line="216" w:lineRule="auto"/>
        <w:rPr>
          <w:sz w:val="20"/>
          <w:szCs w:val="20"/>
          <w:color w:val="auto"/>
        </w:rPr>
      </w:pPr>
      <w:r>
        <w:rPr>
          <w:rFonts w:ascii="Arial" w:cs="Arial" w:eastAsia="Arial" w:hAnsi="Arial"/>
          <w:sz w:val="17"/>
          <w:szCs w:val="17"/>
          <w:color w:val="auto"/>
        </w:rPr>
        <w:t>for an NDA, or supplement to an existing NDA if new clinical investigations, other than bioavailability studies, that were</w:t>
      </w:r>
    </w:p>
    <w:p>
      <w:pPr>
        <w:spacing w:after="0" w:line="215" w:lineRule="auto"/>
        <w:rPr>
          <w:sz w:val="20"/>
          <w:szCs w:val="20"/>
          <w:color w:val="auto"/>
        </w:rPr>
      </w:pPr>
      <w:r>
        <w:rPr>
          <w:rFonts w:ascii="Arial" w:cs="Arial" w:eastAsia="Arial" w:hAnsi="Arial"/>
          <w:sz w:val="17"/>
          <w:szCs w:val="17"/>
          <w:color w:val="auto"/>
        </w:rPr>
        <w:t>conducted or sponsored by the applicant are deemed by the FDA to be essential to the approval of the application, for</w:t>
      </w:r>
    </w:p>
    <w:p>
      <w:pPr>
        <w:spacing w:after="0" w:line="176" w:lineRule="exact"/>
        <w:rPr>
          <w:sz w:val="20"/>
          <w:szCs w:val="20"/>
          <w:color w:val="auto"/>
        </w:rPr>
      </w:pPr>
      <w:r>
        <w:rPr>
          <w:rFonts w:ascii="Arial" w:cs="Arial" w:eastAsia="Arial" w:hAnsi="Arial"/>
          <w:sz w:val="16"/>
          <w:szCs w:val="16"/>
          <w:color w:val="auto"/>
        </w:rPr>
        <w:t>example new indications, dosages or strengths of an existing drug. This three</w:t>
      </w:r>
      <w:r>
        <w:rPr>
          <w:rFonts w:ascii="MS PGothic" w:cs="MS PGothic" w:eastAsia="MS PGothic" w:hAnsi="MS PGothic"/>
          <w:sz w:val="16"/>
          <w:szCs w:val="16"/>
          <w:color w:val="auto"/>
        </w:rPr>
        <w:t>‑</w:t>
      </w:r>
      <w:r>
        <w:rPr>
          <w:rFonts w:ascii="Arial" w:cs="Arial" w:eastAsia="Arial" w:hAnsi="Arial"/>
          <w:sz w:val="16"/>
          <w:szCs w:val="16"/>
          <w:color w:val="auto"/>
        </w:rPr>
        <w:t>year exclusivity covers only the modification</w:t>
      </w:r>
    </w:p>
    <w:p>
      <w:pPr>
        <w:spacing w:after="0" w:line="216" w:lineRule="auto"/>
        <w:rPr>
          <w:sz w:val="20"/>
          <w:szCs w:val="20"/>
          <w:color w:val="auto"/>
        </w:rPr>
      </w:pPr>
      <w:r>
        <w:rPr>
          <w:rFonts w:ascii="Arial" w:cs="Arial" w:eastAsia="Arial" w:hAnsi="Arial"/>
          <w:sz w:val="17"/>
          <w:szCs w:val="17"/>
          <w:color w:val="auto"/>
        </w:rPr>
        <w:t>for which the drug received approval on the basis of the new clinical investigations and does not prohibit the FDA from</w:t>
      </w:r>
    </w:p>
    <w:p>
      <w:pPr>
        <w:spacing w:after="0" w:line="176" w:lineRule="exact"/>
        <w:rPr>
          <w:sz w:val="20"/>
          <w:szCs w:val="20"/>
          <w:color w:val="auto"/>
        </w:rPr>
      </w:pPr>
      <w:r>
        <w:rPr>
          <w:rFonts w:ascii="Arial" w:cs="Arial" w:eastAsia="Arial" w:hAnsi="Arial"/>
          <w:sz w:val="17"/>
          <w:szCs w:val="17"/>
          <w:color w:val="auto"/>
        </w:rPr>
        <w:t>approving ANDAs for drugs containing the active agent for the original indication or condition of use. Five</w:t>
      </w:r>
      <w:r>
        <w:rPr>
          <w:rFonts w:ascii="MS PGothic" w:cs="MS PGothic" w:eastAsia="MS PGothic" w:hAnsi="MS PGothic"/>
          <w:sz w:val="17"/>
          <w:szCs w:val="17"/>
          <w:color w:val="auto"/>
        </w:rPr>
        <w:t>‑</w:t>
      </w:r>
      <w:r>
        <w:rPr>
          <w:rFonts w:ascii="Arial" w:cs="Arial" w:eastAsia="Arial" w:hAnsi="Arial"/>
          <w:sz w:val="17"/>
          <w:szCs w:val="17"/>
          <w:color w:val="auto"/>
        </w:rPr>
        <w:t>year and</w:t>
      </w:r>
    </w:p>
    <w:p>
      <w:pPr>
        <w:spacing w:after="0" w:line="176" w:lineRule="exact"/>
        <w:rPr>
          <w:sz w:val="20"/>
          <w:szCs w:val="20"/>
          <w:color w:val="auto"/>
        </w:rPr>
      </w:pPr>
      <w:r>
        <w:rPr>
          <w:rFonts w:ascii="Arial" w:cs="Arial" w:eastAsia="Arial" w:hAnsi="Arial"/>
          <w:sz w:val="16"/>
          <w:szCs w:val="16"/>
          <w:color w:val="auto"/>
        </w:rPr>
        <w:t>three</w:t>
      </w:r>
      <w:r>
        <w:rPr>
          <w:rFonts w:ascii="MS PGothic" w:cs="MS PGothic" w:eastAsia="MS PGothic" w:hAnsi="MS PGothic"/>
          <w:sz w:val="16"/>
          <w:szCs w:val="16"/>
          <w:color w:val="auto"/>
        </w:rPr>
        <w:t>‑</w:t>
      </w:r>
      <w:r>
        <w:rPr>
          <w:rFonts w:ascii="Arial" w:cs="Arial" w:eastAsia="Arial" w:hAnsi="Arial"/>
          <w:sz w:val="16"/>
          <w:szCs w:val="16"/>
          <w:color w:val="auto"/>
        </w:rPr>
        <w:t>year exclusivity will not delay the submission or approval of a full NDA. However, an applicant submitting a full NDA</w:t>
      </w:r>
    </w:p>
    <w:p>
      <w:pPr>
        <w:spacing w:after="0" w:line="176" w:lineRule="exact"/>
        <w:rPr>
          <w:sz w:val="20"/>
          <w:szCs w:val="20"/>
          <w:color w:val="auto"/>
        </w:rPr>
      </w:pPr>
      <w:r>
        <w:rPr>
          <w:rFonts w:ascii="Arial" w:cs="Arial" w:eastAsia="Arial" w:hAnsi="Arial"/>
          <w:sz w:val="16"/>
          <w:szCs w:val="16"/>
          <w:color w:val="auto"/>
        </w:rPr>
        <w:t>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w:t>
      </w:r>
    </w:p>
    <w:p>
      <w:pPr>
        <w:spacing w:after="0" w:line="229" w:lineRule="auto"/>
        <w:rPr>
          <w:sz w:val="20"/>
          <w:szCs w:val="20"/>
          <w:color w:val="auto"/>
        </w:rPr>
      </w:pPr>
      <w:r>
        <w:rPr>
          <w:rFonts w:ascii="Arial" w:cs="Arial" w:eastAsia="Arial" w:hAnsi="Arial"/>
          <w:sz w:val="16"/>
          <w:szCs w:val="16"/>
          <w:color w:val="auto"/>
        </w:rPr>
        <w:t>clinical trials necessary to demonstrate safety and effectiveness. Orphan drug exclusivity, as described below, may offer a</w:t>
      </w:r>
    </w:p>
    <w:p>
      <w:pPr>
        <w:spacing w:after="0" w:line="176" w:lineRule="exact"/>
        <w:rPr>
          <w:sz w:val="20"/>
          <w:szCs w:val="20"/>
          <w:color w:val="auto"/>
        </w:rPr>
      </w:pPr>
      <w:r>
        <w:rPr>
          <w:rFonts w:ascii="Arial" w:cs="Arial" w:eastAsia="Arial" w:hAnsi="Arial"/>
          <w:sz w:val="18"/>
          <w:szCs w:val="18"/>
          <w:color w:val="auto"/>
        </w:rPr>
        <w:t>seven</w:t>
      </w:r>
      <w:r>
        <w:rPr>
          <w:rFonts w:ascii="MS PGothic" w:cs="MS PGothic" w:eastAsia="MS PGothic" w:hAnsi="MS PGothic"/>
          <w:sz w:val="18"/>
          <w:szCs w:val="18"/>
          <w:color w:val="auto"/>
        </w:rPr>
        <w:t>‑</w:t>
      </w:r>
      <w:r>
        <w:rPr>
          <w:rFonts w:ascii="Arial" w:cs="Arial" w:eastAsia="Arial" w:hAnsi="Arial"/>
          <w:sz w:val="18"/>
          <w:szCs w:val="18"/>
          <w:color w:val="auto"/>
        </w:rPr>
        <w:t>year period of marketing exclusivity, except in certain circumstances. Pediatric exclusivity is another type of</w:t>
      </w:r>
    </w:p>
    <w:p>
      <w:pPr>
        <w:spacing w:after="0" w:line="216" w:lineRule="auto"/>
        <w:rPr>
          <w:sz w:val="20"/>
          <w:szCs w:val="20"/>
          <w:color w:val="auto"/>
        </w:rPr>
      </w:pPr>
      <w:r>
        <w:rPr>
          <w:rFonts w:ascii="Arial" w:cs="Arial" w:eastAsia="Arial" w:hAnsi="Arial"/>
          <w:sz w:val="17"/>
          <w:szCs w:val="17"/>
          <w:color w:val="auto"/>
        </w:rPr>
        <w:t>regulatory market exclusivity in the United States. Pediatric exclusivity, if granted, adds six months to existing exclusivity</w:t>
      </w:r>
    </w:p>
    <w:p>
      <w:pPr>
        <w:spacing w:after="0" w:line="176" w:lineRule="exact"/>
        <w:rPr>
          <w:sz w:val="20"/>
          <w:szCs w:val="20"/>
          <w:color w:val="auto"/>
        </w:rPr>
      </w:pPr>
      <w:r>
        <w:rPr>
          <w:rFonts w:ascii="Arial" w:cs="Arial" w:eastAsia="Arial" w:hAnsi="Arial"/>
          <w:sz w:val="16"/>
          <w:szCs w:val="16"/>
          <w:color w:val="auto"/>
        </w:rPr>
        <w:t>periods and patent terms.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which runs from the end of other exclusivity protection or patent term,</w:t>
      </w:r>
    </w:p>
    <w:p>
      <w:pPr>
        <w:spacing w:after="0" w:line="176" w:lineRule="exact"/>
        <w:rPr>
          <w:sz w:val="20"/>
          <w:szCs w:val="20"/>
          <w:color w:val="auto"/>
        </w:rPr>
      </w:pPr>
      <w:r>
        <w:rPr>
          <w:rFonts w:ascii="Arial" w:cs="Arial" w:eastAsia="Arial" w:hAnsi="Arial"/>
          <w:sz w:val="16"/>
          <w:szCs w:val="16"/>
          <w:color w:val="auto"/>
        </w:rPr>
        <w:t>may be granted based on the voluntary completion of a pediatric trial in accordance with an FDA</w:t>
      </w:r>
      <w:r>
        <w:rPr>
          <w:rFonts w:ascii="MS PGothic" w:cs="MS PGothic" w:eastAsia="MS PGothic" w:hAnsi="MS PGothic"/>
          <w:sz w:val="16"/>
          <w:szCs w:val="16"/>
          <w:color w:val="auto"/>
        </w:rPr>
        <w:t>‑</w:t>
      </w:r>
      <w:r>
        <w:rPr>
          <w:rFonts w:ascii="Arial" w:cs="Arial" w:eastAsia="Arial" w:hAnsi="Arial"/>
          <w:sz w:val="16"/>
          <w:szCs w:val="16"/>
          <w:color w:val="auto"/>
        </w:rPr>
        <w:t>issued “Written Request”</w:t>
      </w:r>
    </w:p>
    <w:p>
      <w:pPr>
        <w:spacing w:after="0"/>
        <w:rPr>
          <w:sz w:val="20"/>
          <w:szCs w:val="20"/>
          <w:color w:val="auto"/>
        </w:rPr>
      </w:pPr>
      <w:r>
        <w:rPr>
          <w:rFonts w:ascii="Arial" w:cs="Arial" w:eastAsia="Arial" w:hAnsi="Arial"/>
          <w:sz w:val="18"/>
          <w:szCs w:val="18"/>
          <w:color w:val="auto"/>
        </w:rPr>
        <w:t>for such a trial.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Orphan Drug Designation</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European Commission, after receiving the opinion of the EMA’s Committee for Orphan Medicinal Products, or COMP, grants medicinal product designation to promote the development of products that are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conditions affecting not more than five in 10,000 persons in the European Union Community. In addition, designation is granted for products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163"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In the European Union, medicinal product designation also entitles a party to financial incentives such as reduction of fees or fee waivers and ten years of market exclusivity is granted following drug or biological product approval. This period may be reduced to six years if the medicinal product designation criteria are no longer met, including where it is shown that the product is sufficiently profitable not to justify maintenance of market exclusivity.</w:t>
      </w:r>
    </w:p>
    <w:p>
      <w:pPr>
        <w:spacing w:after="0" w:line="163"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Diagnostic Tests</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devices, which provide information that is essential for the safe and effective use of a corresponding drug. For example, we have entered into agreements with third parties to develop and commercialize companion diagnostic tests for avapritinib in order to identify GIST patients with the PDGFRA D842V mutation, BLU-667 in order to identify NSCLC patients with RET fusions and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In the United States, the FDCA and its implementing regulations, and other federal and state statutes and regulations govern, among other things, medical device design and development, pre-clinical and clinical testing, premarket clearance or approval, establishment registration and device listing, manufacturing, labeling, storage, advertising and promotion, sales and distribution, export and import, and post</w:t>
      </w:r>
      <w:r>
        <w:rPr>
          <w:rFonts w:ascii="MS PGothic" w:cs="MS PGothic" w:eastAsia="MS PGothic" w:hAnsi="MS PGothic"/>
          <w:sz w:val="16"/>
          <w:szCs w:val="16"/>
          <w:color w:val="auto"/>
        </w:rPr>
        <w:t>‑</w:t>
      </w:r>
      <w:r>
        <w:rPr>
          <w:rFonts w:ascii="Arial" w:cs="Arial" w:eastAsia="Arial" w:hAnsi="Arial"/>
          <w:sz w:val="16"/>
          <w:szCs w:val="16"/>
          <w:color w:val="auto"/>
        </w:rPr>
        <w: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166"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17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 contemporaneously by FDA for the use indicated in the therapeutic product labeling. The guidance also explains that a companion diagnostic test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 xml:space="preserve">In the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medical devices are required to conform with the essential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w:t>
      </w:r>
      <w:r>
        <w:rPr>
          <w:rFonts w:ascii="MS PGothic" w:cs="MS PGothic" w:eastAsia="MS PGothic" w:hAnsi="MS PGothic"/>
          <w:sz w:val="16"/>
          <w:szCs w:val="16"/>
          <w:color w:val="auto"/>
        </w:rPr>
        <w:t>‑</w:t>
      </w:r>
      <w:r>
        <w:rPr>
          <w:rFonts w:ascii="Arial" w:cs="Arial" w:eastAsia="Arial" w:hAnsi="Arial"/>
          <w:sz w:val="16"/>
          <w:szCs w:val="16"/>
          <w:color w:val="auto"/>
        </w:rPr>
        <w:t>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Drug Development</w:t>
      </w:r>
    </w:p>
    <w:p>
      <w:pPr>
        <w:spacing w:after="0" w:line="18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In the European Union, our future drugs may also be subject to extensive regulatory requirements. As in the United States, medicinal products can only be marketed if a marketing authorization from the competent regulatory agencies has been obtained.</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current EU Clinical Trials Directive 2001/20/EC, or Clinical Trials Directive,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68"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In April 2014, the European Union adopted a new Clinical Trials Regulation (EU) No 536/2014, or the Clinical Trials Regulation, which is set to replace the Clinical Trials Directive. It is expected that the new Clinical Trials Regulation will apply by October 2019. The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Drug Review and Approval</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w:t>
      </w:r>
      <w:r>
        <w:rPr>
          <w:rFonts w:ascii="MS PGothic" w:cs="MS PGothic" w:eastAsia="MS PGothic" w:hAnsi="MS PGothic"/>
          <w:sz w:val="16"/>
          <w:szCs w:val="16"/>
          <w:color w:val="auto"/>
        </w:rPr>
        <w:t>‑</w:t>
      </w:r>
      <w:r>
        <w:rPr>
          <w:rFonts w:ascii="Arial" w:cs="Arial" w:eastAsia="Arial" w:hAnsi="Arial"/>
          <w:sz w:val="16"/>
          <w:szCs w:val="16"/>
          <w:color w:val="auto"/>
        </w:rPr>
        <w:t>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163"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162" w:lineRule="exact"/>
        <w:rPr>
          <w:sz w:val="20"/>
          <w:szCs w:val="20"/>
          <w:color w:val="auto"/>
        </w:rPr>
      </w:pPr>
    </w:p>
    <w:p>
      <w:pPr>
        <w:jc w:val="both"/>
        <w:ind w:right="520" w:firstLine="648"/>
        <w:spacing w:after="0" w:line="194" w:lineRule="exact"/>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w:t>
      </w:r>
      <w:r>
        <w:rPr>
          <w:rFonts w:ascii="MS PGothic" w:cs="MS PGothic" w:eastAsia="MS PGothic" w:hAnsi="MS PGothic"/>
          <w:sz w:val="18"/>
          <w:szCs w:val="18"/>
          <w:color w:val="auto"/>
        </w:rPr>
        <w:t>‑</w:t>
      </w:r>
      <w:r>
        <w:rPr>
          <w:rFonts w:ascii="Arial" w:cs="Arial" w:eastAsia="Arial" w:hAnsi="Arial"/>
          <w:sz w:val="18"/>
          <w:szCs w:val="18"/>
          <w:color w:val="auto"/>
        </w:rPr>
        <w:t>benefit balance of the drug on the basis of scientific criteria concerning its quality, safety and efficacy.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Chemical Entity Exclusivity</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For other countries outside of the European Union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55"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Sales of our drugs will depend, in part, on the extent to which our drugs will be covered by third</w:t>
      </w:r>
      <w:r>
        <w:rPr>
          <w:rFonts w:ascii="MS PGothic" w:cs="MS PGothic" w:eastAsia="MS PGothic" w:hAnsi="MS PGothic"/>
          <w:sz w:val="16"/>
          <w:szCs w:val="16"/>
          <w:color w:val="auto"/>
        </w:rPr>
        <w:t>‑</w:t>
      </w:r>
      <w:r>
        <w:rPr>
          <w:rFonts w:ascii="Arial" w:cs="Arial" w:eastAsia="Arial" w:hAnsi="Arial"/>
          <w:sz w:val="16"/>
          <w:szCs w:val="16"/>
          <w:color w:val="auto"/>
        </w:rPr>
        <w:t>party payors, such</w:t>
      </w:r>
    </w:p>
    <w:p>
      <w:pPr>
        <w:spacing w:after="0" w:line="184" w:lineRule="exact"/>
        <w:rPr>
          <w:sz w:val="20"/>
          <w:szCs w:val="20"/>
          <w:color w:val="auto"/>
        </w:rPr>
      </w:pPr>
      <w:r>
        <w:rPr>
          <w:rFonts w:ascii="Arial" w:cs="Arial" w:eastAsia="Arial" w:hAnsi="Arial"/>
          <w:sz w:val="16"/>
          <w:szCs w:val="16"/>
          <w:color w:val="auto"/>
        </w:rPr>
        <w:t>as government health programs, commercial insurance and managed healthcare organizations. These third</w:t>
      </w:r>
      <w:r>
        <w:rPr>
          <w:rFonts w:ascii="MS PGothic" w:cs="MS PGothic" w:eastAsia="MS PGothic" w:hAnsi="MS PGothic"/>
          <w:sz w:val="16"/>
          <w:szCs w:val="16"/>
          <w:color w:val="auto"/>
        </w:rPr>
        <w:t>‑</w:t>
      </w:r>
      <w:r>
        <w:rPr>
          <w:rFonts w:ascii="Arial" w:cs="Arial" w:eastAsia="Arial" w:hAnsi="Arial"/>
          <w:sz w:val="16"/>
          <w:szCs w:val="16"/>
          <w:color w:val="auto"/>
        </w:rPr>
        <w:t>party payors are</w:t>
      </w:r>
    </w:p>
    <w:p>
      <w:pPr>
        <w:spacing w:after="0" w:line="229" w:lineRule="auto"/>
        <w:rPr>
          <w:sz w:val="20"/>
          <w:szCs w:val="20"/>
          <w:color w:val="auto"/>
        </w:rPr>
      </w:pPr>
      <w:r>
        <w:rPr>
          <w:rFonts w:ascii="Arial" w:cs="Arial" w:eastAsia="Arial" w:hAnsi="Arial"/>
          <w:sz w:val="16"/>
          <w:szCs w:val="16"/>
          <w:color w:val="auto"/>
        </w:rPr>
        <w:t>increasingly reducing or restricting reimbursements for medical drugs and services. In addition, the containment of healthcare</w:t>
      </w:r>
    </w:p>
    <w:p>
      <w:pPr>
        <w:spacing w:after="0" w:line="229" w:lineRule="auto"/>
        <w:rPr>
          <w:sz w:val="20"/>
          <w:szCs w:val="20"/>
          <w:color w:val="auto"/>
        </w:rPr>
      </w:pPr>
      <w:r>
        <w:rPr>
          <w:rFonts w:ascii="Arial" w:cs="Arial" w:eastAsia="Arial" w:hAnsi="Arial"/>
          <w:sz w:val="16"/>
          <w:szCs w:val="16"/>
          <w:color w:val="auto"/>
        </w:rPr>
        <w:t>costs has become a priority of federal and state governments, and the prices of drugs have been a focus in this effort. The</w:t>
      </w:r>
    </w:p>
    <w:p>
      <w:pPr>
        <w:spacing w:after="0" w:line="203" w:lineRule="auto"/>
        <w:rPr>
          <w:sz w:val="20"/>
          <w:szCs w:val="20"/>
          <w:color w:val="auto"/>
        </w:rPr>
      </w:pPr>
      <w:r>
        <w:rPr>
          <w:rFonts w:ascii="Arial" w:cs="Arial" w:eastAsia="Arial" w:hAnsi="Arial"/>
          <w:sz w:val="18"/>
          <w:szCs w:val="18"/>
          <w:color w:val="auto"/>
        </w:rPr>
        <w:t>U.S. government, state legislatures and foreign governments have shown significant interest in implementing</w:t>
      </w:r>
    </w:p>
    <w:p>
      <w:pPr>
        <w:spacing w:after="0" w:line="176" w:lineRule="exact"/>
        <w:rPr>
          <w:sz w:val="20"/>
          <w:szCs w:val="20"/>
          <w:color w:val="auto"/>
        </w:rPr>
      </w:pPr>
      <w:r>
        <w:rPr>
          <w:rFonts w:ascii="Arial" w:cs="Arial" w:eastAsia="Arial" w:hAnsi="Arial"/>
          <w:sz w:val="17"/>
          <w:szCs w:val="17"/>
          <w:color w:val="auto"/>
        </w:rPr>
        <w:t>cost</w:t>
      </w:r>
      <w:r>
        <w:rPr>
          <w:rFonts w:ascii="MS PGothic" w:cs="MS PGothic" w:eastAsia="MS PGothic" w:hAnsi="MS PGothic"/>
          <w:sz w:val="17"/>
          <w:szCs w:val="17"/>
          <w:color w:val="auto"/>
        </w:rPr>
        <w:t>‑</w:t>
      </w:r>
      <w:r>
        <w:rPr>
          <w:rFonts w:ascii="Arial" w:cs="Arial" w:eastAsia="Arial" w:hAnsi="Arial"/>
          <w:sz w:val="17"/>
          <w:szCs w:val="17"/>
          <w:color w:val="auto"/>
        </w:rPr>
        <w:t>containment programs, including price controls, restrictions on reimbursement and requirements for substitution of</w:t>
      </w:r>
    </w:p>
    <w:p>
      <w:pPr>
        <w:spacing w:after="0" w:line="176" w:lineRule="exact"/>
        <w:rPr>
          <w:sz w:val="20"/>
          <w:szCs w:val="20"/>
          <w:color w:val="auto"/>
        </w:rPr>
      </w:pPr>
      <w:r>
        <w:rPr>
          <w:rFonts w:ascii="Arial" w:cs="Arial" w:eastAsia="Arial" w:hAnsi="Arial"/>
          <w:sz w:val="17"/>
          <w:szCs w:val="17"/>
          <w:color w:val="auto"/>
        </w:rPr>
        <w:t>generic drugs. Adoption of price controls and cost</w:t>
      </w:r>
      <w:r>
        <w:rPr>
          <w:rFonts w:ascii="MS PGothic" w:cs="MS PGothic" w:eastAsia="MS PGothic" w:hAnsi="MS PGothic"/>
          <w:sz w:val="17"/>
          <w:szCs w:val="17"/>
          <w:color w:val="auto"/>
        </w:rPr>
        <w:t>‑</w:t>
      </w:r>
      <w:r>
        <w:rPr>
          <w:rFonts w:ascii="Arial" w:cs="Arial" w:eastAsia="Arial" w:hAnsi="Arial"/>
          <w:sz w:val="17"/>
          <w:szCs w:val="17"/>
          <w:color w:val="auto"/>
        </w:rPr>
        <w:t>containment measures, and adoption of more restrictive policies in</w:t>
      </w:r>
    </w:p>
    <w:p>
      <w:pPr>
        <w:spacing w:after="0" w:line="176" w:lineRule="exact"/>
        <w:rPr>
          <w:sz w:val="20"/>
          <w:szCs w:val="20"/>
          <w:color w:val="auto"/>
        </w:rPr>
      </w:pPr>
      <w:r>
        <w:rPr>
          <w:rFonts w:ascii="Arial" w:cs="Arial" w:eastAsia="Arial" w:hAnsi="Arial"/>
          <w:sz w:val="17"/>
          <w:szCs w:val="17"/>
          <w:color w:val="auto"/>
        </w:rPr>
        <w:t>jurisdictions with existing controls and measures, could further limit our net revenue and results. Decreases in third</w:t>
      </w:r>
      <w:r>
        <w:rPr>
          <w:rFonts w:ascii="MS PGothic" w:cs="MS PGothic" w:eastAsia="MS PGothic" w:hAnsi="MS PGothic"/>
          <w:sz w:val="17"/>
          <w:szCs w:val="17"/>
          <w:color w:val="auto"/>
        </w:rPr>
        <w:t>‑</w:t>
      </w:r>
      <w:r>
        <w:rPr>
          <w:rFonts w:ascii="Arial" w:cs="Arial" w:eastAsia="Arial" w:hAnsi="Arial"/>
          <w:sz w:val="17"/>
          <w:szCs w:val="17"/>
          <w:color w:val="auto"/>
        </w:rPr>
        <w:t>party</w:t>
      </w:r>
    </w:p>
    <w:p>
      <w:pPr>
        <w:spacing w:after="0" w:line="176" w:lineRule="exact"/>
        <w:rPr>
          <w:sz w:val="20"/>
          <w:szCs w:val="20"/>
          <w:color w:val="auto"/>
        </w:rPr>
      </w:pPr>
      <w:r>
        <w:rPr>
          <w:rFonts w:ascii="Arial" w:cs="Arial" w:eastAsia="Arial" w:hAnsi="Arial"/>
          <w:sz w:val="17"/>
          <w:szCs w:val="17"/>
          <w:color w:val="auto"/>
        </w:rPr>
        <w:t>reimbursement for our drug candidates, if approved, or a decision by a third</w:t>
      </w:r>
      <w:r>
        <w:rPr>
          <w:rFonts w:ascii="MS PGothic" w:cs="MS PGothic" w:eastAsia="MS PGothic" w:hAnsi="MS PGothic"/>
          <w:sz w:val="17"/>
          <w:szCs w:val="17"/>
          <w:color w:val="auto"/>
        </w:rPr>
        <w:t>‑</w:t>
      </w:r>
      <w:r>
        <w:rPr>
          <w:rFonts w:ascii="Arial" w:cs="Arial" w:eastAsia="Arial" w:hAnsi="Arial"/>
          <w:sz w:val="17"/>
          <w:szCs w:val="17"/>
          <w:color w:val="auto"/>
        </w:rPr>
        <w:t>party payor to not cover our drug candidates</w:t>
      </w:r>
    </w:p>
    <w:p>
      <w:pPr>
        <w:spacing w:after="0" w:line="229" w:lineRule="auto"/>
        <w:rPr>
          <w:sz w:val="20"/>
          <w:szCs w:val="20"/>
          <w:color w:val="auto"/>
        </w:rPr>
      </w:pPr>
      <w:r>
        <w:rPr>
          <w:rFonts w:ascii="Arial" w:cs="Arial" w:eastAsia="Arial" w:hAnsi="Arial"/>
          <w:sz w:val="16"/>
          <w:szCs w:val="16"/>
          <w:color w:val="auto"/>
        </w:rPr>
        <w:t>could reduce physician usage of such drugs and have a material adverse effect on our sales, results of operations and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condition.</w:t>
      </w:r>
    </w:p>
    <w:p>
      <w:pPr>
        <w:spacing w:after="0" w:line="169"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189" w:lineRule="exact"/>
        <w:rPr>
          <w:sz w:val="20"/>
          <w:szCs w:val="20"/>
          <w:color w:val="auto"/>
        </w:rPr>
      </w:pPr>
      <w:r>
        <w:rPr>
          <w:rFonts w:ascii="Arial" w:cs="Arial" w:eastAsia="Arial" w:hAnsi="Arial"/>
          <w:sz w:val="18"/>
          <w:szCs w:val="18"/>
          <w:color w:val="auto"/>
        </w:rPr>
        <w:t>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w:t>
      </w:r>
      <w:r>
        <w:rPr>
          <w:rFonts w:ascii="MS PGothic" w:cs="MS PGothic" w:eastAsia="MS PGothic" w:hAnsi="MS PGothic"/>
          <w:sz w:val="18"/>
          <w:szCs w:val="18"/>
          <w:color w:val="auto"/>
        </w:rPr>
        <w:t>‑</w:t>
      </w:r>
      <w:r>
        <w:rPr>
          <w:rFonts w:ascii="Arial" w:cs="Arial" w:eastAsia="Arial" w:hAnsi="Arial"/>
          <w:sz w:val="18"/>
          <w:szCs w:val="18"/>
          <w:color w:val="auto"/>
        </w:rPr>
        <w:t>governmental payors.</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consider our drugs to be 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drugs after approval as a benefit under their plans or, if they do, the level of payment may not be sufficient to allow us to sell our drugs on a profitable basis.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sale discounts off negotiated prices of applicable brand drugs to eligible beneficiaries during their coverage gap period, as a condition for the manufacturer’s outpatient drugs to be covered under Medicare Part D.</w:t>
      </w:r>
    </w:p>
    <w:p>
      <w:pPr>
        <w:spacing w:after="0" w:line="167"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2025 unless additional Congressional action is taken. On January 2, 2013, then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In January 2017, Congress voted to adopt a budget resolution for fiscal year 2017, that while not a law, is widely viewed as the first step toward the passage of legislation that would repeal certain aspects of the Affordable Care Act. The 2017 Tax Cuts and Jobs Act, or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the Centers for Medicare &amp; Medicaid Services, the agency responsible for administering the Medicare program, or CMS,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While any legislative and regulatory changes will likely take time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auto"/>
        </w:rPr>
        <w:t>to develop, and may or may not have an impact on the regulatory regime to which we are subject, we cannot predict the ultimate content, timing or effect of any healthcare reform legislation or the impact of potential legislation on us.</w:t>
      </w:r>
    </w:p>
    <w:p>
      <w:pPr>
        <w:spacing w:after="0" w:line="124"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5" w:lineRule="exact"/>
        <w:rPr>
          <w:sz w:val="20"/>
          <w:szCs w:val="20"/>
          <w:color w:val="auto"/>
        </w:rPr>
      </w:pPr>
    </w:p>
    <w:p>
      <w:pPr>
        <w:ind w:right="20" w:firstLine="648"/>
        <w:spacing w:after="0" w:line="194" w:lineRule="exact"/>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w:t>
      </w:r>
      <w:r>
        <w:rPr>
          <w:rFonts w:ascii="MS PGothic" w:cs="MS PGothic" w:eastAsia="MS PGothic" w:hAnsi="MS PGothic"/>
          <w:sz w:val="16"/>
          <w:szCs w:val="16"/>
          <w:color w:val="auto"/>
        </w:rPr>
        <w:t>‑</w:t>
      </w:r>
      <w:r>
        <w:rPr>
          <w:rFonts w:ascii="Arial" w:cs="Arial" w:eastAsia="Arial" w:hAnsi="Arial"/>
          <w:sz w:val="16"/>
          <w:szCs w:val="16"/>
          <w:color w:val="auto"/>
        </w:rPr>
        <w:t>kickback, fraud and abuse, false claims, privacy and security and physician sunshine laws and regulations.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constitutes a false or fraudulent claim for purposes of the federal False Claims Act. The majority of states also have anti</w:t>
      </w:r>
      <w:r>
        <w:rPr>
          <w:rFonts w:ascii="MS PGothic" w:cs="MS PGothic" w:eastAsia="MS PGothic" w:hAnsi="MS PGothic"/>
          <w:sz w:val="16"/>
          <w:szCs w:val="16"/>
          <w:color w:val="auto"/>
        </w:rPr>
        <w:t>‑</w:t>
      </w:r>
      <w:r>
        <w:rPr>
          <w:rFonts w:ascii="Arial" w:cs="Arial" w:eastAsia="Arial" w:hAnsi="Arial"/>
          <w:sz w:val="16"/>
          <w:szCs w:val="16"/>
          <w:color w:val="auto"/>
        </w:rPr>
        <w:t>kickback laws, which establish similar prohibitions and, in some cases, may apply to items or services reimbursed by any third</w:t>
      </w:r>
      <w:r>
        <w:rPr>
          <w:rFonts w:ascii="MS PGothic" w:cs="MS PGothic" w:eastAsia="MS PGothic" w:hAnsi="MS PGothic"/>
          <w:sz w:val="16"/>
          <w:szCs w:val="16"/>
          <w:color w:val="auto"/>
        </w:rPr>
        <w:t>‑</w:t>
      </w:r>
      <w:r>
        <w:rPr>
          <w:rFonts w:ascii="Arial" w:cs="Arial" w:eastAsia="Arial" w:hAnsi="Arial"/>
          <w:sz w:val="16"/>
          <w:szCs w:val="16"/>
          <w:color w:val="auto"/>
        </w:rPr>
        <w:t>party payor, including commercial insurers.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civil False Claims Act prohibits, among other things, knowingly presenting or causing the</w:t>
      </w:r>
    </w:p>
    <w:p>
      <w:pPr>
        <w:spacing w:after="0" w:line="229" w:lineRule="auto"/>
        <w:rPr>
          <w:sz w:val="20"/>
          <w:szCs w:val="20"/>
          <w:color w:val="auto"/>
        </w:rPr>
      </w:pPr>
      <w:r>
        <w:rPr>
          <w:rFonts w:ascii="Arial" w:cs="Arial" w:eastAsia="Arial" w:hAnsi="Arial"/>
          <w:sz w:val="16"/>
          <w:szCs w:val="16"/>
          <w:color w:val="auto"/>
        </w:rPr>
        <w:t>presentation of a false, fictitious or fraudulent claim for payment to the U.S. government. Actions under the False Claims Act</w:t>
      </w:r>
    </w:p>
    <w:p>
      <w:pPr>
        <w:spacing w:after="0" w:line="215" w:lineRule="auto"/>
        <w:rPr>
          <w:sz w:val="20"/>
          <w:szCs w:val="20"/>
          <w:color w:val="auto"/>
        </w:rPr>
      </w:pPr>
      <w:r>
        <w:rPr>
          <w:rFonts w:ascii="Arial" w:cs="Arial" w:eastAsia="Arial" w:hAnsi="Arial"/>
          <w:sz w:val="17"/>
          <w:szCs w:val="17"/>
          <w:color w:val="auto"/>
        </w:rPr>
        <w:t>may be brought by the Attorney General or as a qui tam action by a private individual in the name of the government.</w:t>
      </w:r>
    </w:p>
    <w:p>
      <w:pPr>
        <w:spacing w:after="0" w:line="216" w:lineRule="auto"/>
        <w:rPr>
          <w:sz w:val="20"/>
          <w:szCs w:val="20"/>
          <w:color w:val="auto"/>
        </w:rPr>
      </w:pPr>
      <w:r>
        <w:rPr>
          <w:rFonts w:ascii="Arial" w:cs="Arial" w:eastAsia="Arial" w:hAnsi="Arial"/>
          <w:sz w:val="17"/>
          <w:szCs w:val="17"/>
          <w:color w:val="auto"/>
        </w:rPr>
        <w:t>Violations of the False Claims Act can result in very significant monetary penalties and treble damages. The federal</w:t>
      </w:r>
    </w:p>
    <w:p>
      <w:pPr>
        <w:spacing w:after="0" w:line="215" w:lineRule="auto"/>
        <w:rPr>
          <w:sz w:val="20"/>
          <w:szCs w:val="20"/>
          <w:color w:val="auto"/>
        </w:rPr>
      </w:pPr>
      <w:r>
        <w:rPr>
          <w:rFonts w:ascii="Arial" w:cs="Arial" w:eastAsia="Arial" w:hAnsi="Arial"/>
          <w:sz w:val="17"/>
          <w:szCs w:val="17"/>
          <w:color w:val="auto"/>
        </w:rPr>
        <w:t>government is using the False Claims Act, and the accompanying threat of significant liability, in its investigation and</w:t>
      </w:r>
    </w:p>
    <w:p>
      <w:pPr>
        <w:spacing w:after="0" w:line="216" w:lineRule="auto"/>
        <w:rPr>
          <w:sz w:val="20"/>
          <w:szCs w:val="20"/>
          <w:color w:val="auto"/>
        </w:rPr>
      </w:pPr>
      <w:r>
        <w:rPr>
          <w:rFonts w:ascii="Arial" w:cs="Arial" w:eastAsia="Arial" w:hAnsi="Arial"/>
          <w:sz w:val="17"/>
          <w:szCs w:val="17"/>
          <w:color w:val="auto"/>
        </w:rPr>
        <w:t>prosecution of pharmaceutical and biotechnology companies throughout the U.S., for example, in connection with the</w:t>
      </w:r>
    </w:p>
    <w:p>
      <w:pPr>
        <w:spacing w:after="0" w:line="215" w:lineRule="auto"/>
        <w:rPr>
          <w:sz w:val="20"/>
          <w:szCs w:val="20"/>
          <w:color w:val="auto"/>
        </w:rPr>
      </w:pPr>
      <w:r>
        <w:rPr>
          <w:rFonts w:ascii="Arial" w:cs="Arial" w:eastAsia="Arial" w:hAnsi="Arial"/>
          <w:sz w:val="17"/>
          <w:szCs w:val="17"/>
          <w:color w:val="auto"/>
        </w:rPr>
        <w:t>promotion of products for unapproved uses and other sales and marketing practices. The government has obtained</w:t>
      </w:r>
    </w:p>
    <w:p>
      <w:pPr>
        <w:spacing w:after="0" w:line="176" w:lineRule="exact"/>
        <w:rPr>
          <w:sz w:val="20"/>
          <w:szCs w:val="20"/>
          <w:color w:val="auto"/>
        </w:rPr>
      </w:pPr>
      <w:r>
        <w:rPr>
          <w:rFonts w:ascii="Arial" w:cs="Arial" w:eastAsia="Arial" w:hAnsi="Arial"/>
          <w:sz w:val="17"/>
          <w:szCs w:val="17"/>
          <w:color w:val="auto"/>
        </w:rPr>
        <w:t>multi</w:t>
      </w:r>
      <w:r>
        <w:rPr>
          <w:rFonts w:ascii="MS PGothic" w:cs="MS PGothic" w:eastAsia="MS PGothic" w:hAnsi="MS PGothic"/>
          <w:sz w:val="17"/>
          <w:szCs w:val="17"/>
          <w:color w:val="auto"/>
        </w:rPr>
        <w:t>‑</w:t>
      </w:r>
      <w:r>
        <w:rPr>
          <w:rFonts w:ascii="Arial" w:cs="Arial" w:eastAsia="Arial" w:hAnsi="Arial"/>
          <w:sz w:val="17"/>
          <w:szCs w:val="17"/>
          <w:color w:val="auto"/>
        </w:rPr>
        <w:t>million and multi</w:t>
      </w:r>
      <w:r>
        <w:rPr>
          <w:rFonts w:ascii="MS PGothic" w:cs="MS PGothic" w:eastAsia="MS PGothic" w:hAnsi="MS PGothic"/>
          <w:sz w:val="17"/>
          <w:szCs w:val="17"/>
          <w:color w:val="auto"/>
        </w:rPr>
        <w:t>‑</w:t>
      </w:r>
      <w:r>
        <w:rPr>
          <w:rFonts w:ascii="Arial" w:cs="Arial" w:eastAsia="Arial" w:hAnsi="Arial"/>
          <w:sz w:val="17"/>
          <w:szCs w:val="17"/>
          <w:color w:val="auto"/>
        </w:rPr>
        <w:t>billion dollar settlements under the False Claims Act in addition to individual criminal convictions</w:t>
      </w:r>
    </w:p>
    <w:p>
      <w:pPr>
        <w:spacing w:after="0" w:line="215" w:lineRule="auto"/>
        <w:rPr>
          <w:sz w:val="20"/>
          <w:szCs w:val="20"/>
          <w:color w:val="auto"/>
        </w:rPr>
      </w:pPr>
      <w:r>
        <w:rPr>
          <w:rFonts w:ascii="Arial" w:cs="Arial" w:eastAsia="Arial" w:hAnsi="Arial"/>
          <w:sz w:val="17"/>
          <w:szCs w:val="17"/>
          <w:color w:val="auto"/>
        </w:rPr>
        <w:t>under applicable criminal statutes. Given the significant size of actual and potential settlements, it is expected that the</w:t>
      </w:r>
    </w:p>
    <w:p>
      <w:pPr>
        <w:spacing w:after="0" w:line="216" w:lineRule="auto"/>
        <w:rPr>
          <w:sz w:val="20"/>
          <w:szCs w:val="20"/>
          <w:color w:val="auto"/>
        </w:rPr>
      </w:pPr>
      <w:r>
        <w:rPr>
          <w:rFonts w:ascii="Arial" w:cs="Arial" w:eastAsia="Arial" w:hAnsi="Arial"/>
          <w:sz w:val="17"/>
          <w:szCs w:val="17"/>
          <w:color w:val="auto"/>
        </w:rPr>
        <w:t>government will continue to devote substantial resources to investigating healthcare providers’ and manufacturers’</w:t>
      </w:r>
    </w:p>
    <w:p>
      <w:pPr>
        <w:spacing w:after="0"/>
        <w:rPr>
          <w:sz w:val="20"/>
          <w:szCs w:val="20"/>
          <w:color w:val="auto"/>
        </w:rPr>
      </w:pPr>
      <w:r>
        <w:rPr>
          <w:rFonts w:ascii="Arial" w:cs="Arial" w:eastAsia="Arial" w:hAnsi="Arial"/>
          <w:sz w:val="18"/>
          <w:szCs w:val="18"/>
          <w:color w:val="auto"/>
        </w:rPr>
        <w:t>compliance with applicable fraud and abuse laws.</w:t>
      </w:r>
    </w:p>
    <w:p>
      <w:pPr>
        <w:spacing w:after="0" w:line="16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65"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Certain states also mandate implementation of compliance programs, impose restrictions on drug manufacturer marketing practices and/or require the tracking and reporting of gifts, compensation and other remuneration to physicians.</w:t>
      </w:r>
    </w:p>
    <w:p>
      <w:pPr>
        <w:spacing w:after="0" w:line="161"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As of February 15, 2019, we had 217 full</w:t>
      </w:r>
      <w:r>
        <w:rPr>
          <w:rFonts w:ascii="MS PGothic" w:cs="MS PGothic" w:eastAsia="MS PGothic" w:hAnsi="MS PGothic"/>
          <w:sz w:val="18"/>
          <w:szCs w:val="18"/>
          <w:color w:val="auto"/>
        </w:rPr>
        <w:t>‑</w:t>
      </w:r>
      <w:r>
        <w:rPr>
          <w:rFonts w:ascii="Arial" w:cs="Arial" w:eastAsia="Arial" w:hAnsi="Arial"/>
          <w:sz w:val="18"/>
          <w:szCs w:val="18"/>
          <w:color w:val="auto"/>
        </w:rPr>
        <w:t>time employees, including 76 employees with M.D. or Ph.D. degrees. Of these full</w:t>
      </w:r>
      <w:r>
        <w:rPr>
          <w:rFonts w:ascii="MS PGothic" w:cs="MS PGothic" w:eastAsia="MS PGothic" w:hAnsi="MS PGothic"/>
          <w:sz w:val="18"/>
          <w:szCs w:val="18"/>
          <w:color w:val="auto"/>
        </w:rPr>
        <w:t>‑</w:t>
      </w:r>
      <w:r>
        <w:rPr>
          <w:rFonts w:ascii="Arial" w:cs="Arial" w:eastAsia="Arial" w:hAnsi="Arial"/>
          <w:sz w:val="18"/>
          <w:szCs w:val="18"/>
          <w:color w:val="auto"/>
        </w:rPr>
        <w:t>time employees, 159 employees are engaged in research and development activities. None of our employees are represented by a labor union or covered by a collective bargaining agreement. We consider our relationship with our employees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89"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We are a precision therapy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are a precision therapy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and preparing for additional planned clinical trials for our most advanced drug candidates, avapritinib, BLU-667, BLU-554 and BLU-782.</w:t>
      </w:r>
    </w:p>
    <w:p>
      <w:pPr>
        <w:spacing w:after="0" w:line="165"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Since inception, we have focused substantially all of our efforts and financial resources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and commencing clinical development and pre-commercial activities. To date, we have financed our operations primarily through public offerings of our common stock, private placements of our convertible preferred stock, collaborations and a debt financing. Through December 31, 2018,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 preferred stock, $18.8 million of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w:t>
      </w:r>
    </w:p>
    <w:p>
      <w:pPr>
        <w:spacing w:after="0" w:line="16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Since inception, we have incurred significant operating losses. Our net losses were $236.6 million, $148.1 million and $72.5 million for the years ended December 31, 2018, 2017 and 2016. As of December 31, 2018, we had an accumulated deficit of $597.5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3"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To date, we have not generated any revenue from our most advanced drug candidates, avapritinib, BLU-667, BLU-554 and BLU-782. We do not expect to generate significant revenue unless and until we obtain marketing approval of, and begin to sell, avapritinib, BLU-667, BLU-554 or one of our other drug candidates. We do not expect to generate any revenue from the sale of avapritinib until 2020, assuming we are able to file for regulatory approval for avapritinib in the United States in the second quarter of 2019 and receive marketing approval by 2020. Our ability to generate revenue depends on a number of factors, including, but not limited to, our ability to:</w:t>
      </w:r>
    </w:p>
    <w:p>
      <w:pPr>
        <w:spacing w:after="0" w:line="165"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300" w:hanging="325"/>
        <w:spacing w:after="0" w:line="184" w:lineRule="exact"/>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8"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development of pharmaceuticals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most advanced drug candidates, avapritinib, BLU-667, BLU-554 and BLU-782,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CStone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3"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As of December 31, 2018, we had cash, cash equivalents and investments of $494.0 million. Based on our current plans, we believe our existing cash, cash equivalents and investments, excluding any potential option fees and milestone payments under our existing collaborations with Roche and CStone, will be sufficient to enable us to fund our operating expenses and capital expenditure requirements into the second half of 2020. Our future capital requirements will depend on and could increase significantly as a result of many factors, including:</w:t>
      </w:r>
    </w:p>
    <w:p>
      <w:pPr>
        <w:spacing w:after="0" w:line="161" w:lineRule="exact"/>
        <w:rPr>
          <w:sz w:val="20"/>
          <w:szCs w:val="20"/>
          <w:color w:val="auto"/>
        </w:rPr>
      </w:pPr>
    </w:p>
    <w:p>
      <w:pPr>
        <w:ind w:left="1300" w:right="26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300" w:right="100" w:hanging="325"/>
        <w:spacing w:after="0" w:line="22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or CStone or any collaboration agreements that we may enter into in the future;</w:t>
      </w:r>
    </w:p>
    <w:p>
      <w:pPr>
        <w:spacing w:after="0" w:line="163"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drug candidate or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unable to expand our operations or otherwise capitalize on our business opportunities, as desired, which could materially affect our business, financial condition and results of operations.</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Roche and CStone,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9"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b w:val="1"/>
          <w:bCs w:val="1"/>
          <w:i w:val="1"/>
          <w:iCs w:val="1"/>
          <w:color w:val="auto"/>
        </w:rPr>
        <w:t>We are very early in our development efforts with only four drug candidates in clinical development: avapritinib, BLU-667, BLU-554 and BLU-782.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45"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We are very early in our development efforts with only four drug candidates in clinical development: avapritinib, BLU-667, BLU-554 and BLU-782.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BLU-667, BLU-554 and BLU-782. Our ability to generate drug revenues, if ever, will depend heavily on the successful development and eventual commercialization of our drug candidates, which may never occur. We currently generate no revenues from sales of any drugs, and we do not expect to generate any revenue from the sale of avapritinib until 2020, assuming we are able to file for regulatory approval for avapritinib in the United States in the second quarter of 2019 and receive marketing approval by 2020</w:t>
      </w:r>
    </w:p>
    <w:p>
      <w:pPr>
        <w:spacing w:after="0" w:line="4" w:lineRule="exact"/>
        <w:rPr>
          <w:sz w:val="20"/>
          <w:szCs w:val="20"/>
          <w:color w:val="auto"/>
        </w:rPr>
      </w:pPr>
    </w:p>
    <w:p>
      <w:pPr>
        <w:ind w:right="20" w:firstLine="3"/>
        <w:spacing w:after="0" w:line="233" w:lineRule="auto"/>
        <w:tabs>
          <w:tab w:leader="none" w:pos="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PDGFRA D842V mutation, BLU-554 in order to identify HCC patients with FGFR4 pathway activation and BLU-667 in order to identify NSCLC patients with RET fusions. Companion diagnostic tests are subject to regulation as medical devices and must themselves be approved for marketing by the FDA or certain other foreign regulatory agencies before we may commercialize our drug candidates. The success of our most advanced drug candidates and other drug candidates will depend on several factors, including the following:</w:t>
      </w:r>
    </w:p>
    <w:p>
      <w:pPr>
        <w:spacing w:after="0" w:line="163" w:lineRule="exact"/>
        <w:rPr>
          <w:rFonts w:ascii="Arial" w:cs="Arial" w:eastAsia="Arial" w:hAnsi="Arial"/>
          <w:sz w:val="16"/>
          <w:szCs w:val="16"/>
          <w:color w:val="auto"/>
        </w:rPr>
      </w:pPr>
    </w:p>
    <w:p>
      <w:pPr>
        <w:ind w:left="1300" w:right="740" w:hanging="325"/>
        <w:spacing w:after="0" w:line="235"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clinical trials for avapritinib, BLU-667, BLU-554 and BLU-782;</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76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development of any companion diagnostic tests for use with our current or future drug candidates;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1" w:lineRule="exact"/>
        <w:rPr>
          <w:rFonts w:ascii="Arial" w:cs="Arial" w:eastAsia="Arial" w:hAnsi="Arial"/>
          <w:sz w:val="18"/>
          <w:szCs w:val="18"/>
          <w:color w:val="auto"/>
        </w:rPr>
      </w:pPr>
    </w:p>
    <w:p>
      <w:pPr>
        <w:ind w:left="1300" w:right="96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we will be able to develop any drugs of commercial value.</w:t>
      </w:r>
    </w:p>
    <w:p>
      <w:pPr>
        <w:spacing w:after="0" w:line="185"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Our drug candidates avapritinib, BLU-667, BLU-554 and BLU-782 are in clinical development, and all of our other drug candidates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clinical trials and future clinical trials may not be successful.</w:t>
      </w:r>
    </w:p>
    <w:p>
      <w:pPr>
        <w:spacing w:after="0" w:line="14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BLU-667, BLU-554, BLU-782 and our other drug candidates. We do not know whether any of our clinical trials for our drug candidates will be completed on schedule, if at all.</w:t>
      </w:r>
    </w:p>
    <w:p>
      <w:pPr>
        <w:spacing w:after="0" w:line="13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49" w:lineRule="exact"/>
        <w:rPr>
          <w:sz w:val="20"/>
          <w:szCs w:val="20"/>
          <w:color w:val="auto"/>
        </w:rPr>
      </w:pPr>
    </w:p>
    <w:p>
      <w:pPr>
        <w:ind w:left="1300" w:right="620" w:hanging="325"/>
        <w:spacing w:after="0" w:line="25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jc w:val="both"/>
        <w:ind w:left="1300" w:right="100" w:hanging="325"/>
        <w:spacing w:after="0" w:line="23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47"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3" w:lineRule="exact"/>
        <w:rPr>
          <w:rFonts w:ascii="Arial" w:cs="Arial" w:eastAsia="Arial" w:hAnsi="Arial"/>
          <w:sz w:val="16"/>
          <w:szCs w:val="16"/>
          <w:color w:val="auto"/>
        </w:rPr>
      </w:pPr>
    </w:p>
    <w:p>
      <w:pPr>
        <w:ind w:left="1300" w:right="120" w:hanging="325"/>
        <w:spacing w:after="0" w:line="23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300" w:right="82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the FDA may change the requirements for approval even after it has reviewed and commented on the design for our clinical trials.</w:t>
      </w:r>
    </w:p>
    <w:p>
      <w:pPr>
        <w:spacing w:after="0" w:line="15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82" w:lineRule="exact"/>
        <w:rPr>
          <w:rFonts w:ascii="Arial" w:cs="Arial" w:eastAsia="Arial" w:hAnsi="Arial"/>
          <w:sz w:val="17"/>
          <w:szCs w:val="17"/>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drug candidates, and patients who would otherwise be eligible for our clinical trials may instead enroll in clinical trials of our competitors’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PDGFRA D842V mutation, BLU-554 in order to identify HCC patients with FGFR4 pathway activation and BLU-667 in order to identify NSCLC patients with RET fusions. We plan to engage a third party to develop a companion diagnostic test for use in our planned COMPASS-2L trial, and we may engage third parties to develop companion diagnostic tests for use in some of our other current or future clinical trials. However, third parties may not be successful in developing such companion diagnostic tests, furthering the difficulty in identifying patients for our clinical trials.</w:t>
      </w:r>
    </w:p>
    <w:p>
      <w:pPr>
        <w:spacing w:after="0" w:line="121"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PDGFRA D842V mutation, BLU-554 in order to identify HCC patients with FGFR4 pathway activation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BLU-667 and BLU-554.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18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300" w:right="320" w:hanging="325"/>
        <w:spacing w:after="0" w:line="22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300" w:right="34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28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hanging="325"/>
        <w:spacing w:after="0" w:line="289"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60" w:hanging="325"/>
        <w:spacing w:after="0" w:line="22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63" w:lineRule="exact"/>
        <w:rPr>
          <w:rFonts w:ascii="Arial" w:cs="Arial" w:eastAsia="Arial" w:hAnsi="Arial"/>
          <w:sz w:val="18"/>
          <w:szCs w:val="18"/>
          <w:color w:val="auto"/>
        </w:rPr>
      </w:pPr>
    </w:p>
    <w:p>
      <w:pPr>
        <w:ind w:left="1300" w:right="760" w:hanging="325"/>
        <w:spacing w:after="0" w:line="25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4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520" w:hanging="325"/>
        <w:spacing w:after="0" w:line="25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200" w:hanging="325"/>
        <w:spacing w:after="0" w:line="259"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June 2017, the FDA granted breakthrough therapy designation to avapritinib for the treatment of patients with unresectable or metastatic GIST harboring the PDGFRA D842V mutation, and in October 2018, the FDA granted breakthrough therapy designation to avapritinib for the treatment of advanced SM, including the subtypes of aggressive SM, SM with an associated hematologic neoplasm and mast cell leukemia. In December 2018, the FDA granted breakthrough therapy designation to BLU-667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69"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and the FDA has granted fast track designation to BLU-782 for the treatment of FOP. We may also seek fast track designation for some of our other drug candidates. If a drug is intended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60"/>
        <w:spacing w:after="0" w:line="214" w:lineRule="auto"/>
        <w:rPr>
          <w:sz w:val="20"/>
          <w:szCs w:val="20"/>
          <w:color w:val="auto"/>
        </w:rPr>
      </w:pPr>
      <w:r>
        <w:rPr>
          <w:rFonts w:ascii="Arial" w:cs="Arial" w:eastAsia="Arial" w:hAnsi="Arial"/>
          <w:sz w:val="18"/>
          <w:szCs w:val="18"/>
          <w:color w:val="auto"/>
        </w:rPr>
        <w:t>we have received fast track designation for avapritinib for treatment of patients with unresectable or metastatic GIST that progressed following treatment with imatinib and a second tyrosine kinase inhibitor and for the treatment of patients with unresectable or metastatic GIST with the PDGFRA D842V mutation regardless of prior therapy, or even if we receive fast track designation for our other drug candidates, we may not experience a faster development process, review or approval. The FDA may withdraw fast track designation if it believes that the designation is no longer supported by data from our clinical development program.</w:t>
      </w:r>
    </w:p>
    <w:p>
      <w:pPr>
        <w:spacing w:after="0" w:line="16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While we have received orphan drug designation for our most advanced drug candidates, avapritinib, BLU-667 and BLU-554,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HCC and to BLU-667 for the treatment of RET-rearranged NSCLC, JAK1/2-positive NSCLC or TRKC-positive NSCLC.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4" w:lineRule="exact"/>
        <w:rPr>
          <w:sz w:val="20"/>
          <w:szCs w:val="20"/>
          <w:color w:val="auto"/>
        </w:rPr>
      </w:pPr>
    </w:p>
    <w:p>
      <w:pPr>
        <w:ind w:right="240"/>
        <w:spacing w:after="0" w:line="185" w:lineRule="exact"/>
        <w:rPr>
          <w:sz w:val="20"/>
          <w:szCs w:val="20"/>
          <w:color w:val="auto"/>
        </w:rPr>
      </w:pPr>
      <w:r>
        <w:rPr>
          <w:rFonts w:ascii="Arial" w:cs="Arial" w:eastAsia="Arial" w:hAnsi="Arial"/>
          <w:sz w:val="18"/>
          <w:szCs w:val="18"/>
          <w:color w:val="auto"/>
        </w:rPr>
        <w:t>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w:t>
      </w:r>
    </w:p>
    <w:p>
      <w:pPr>
        <w:spacing w:after="0" w:line="164"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medicinal product designation after receiving the opinion of the EMA’s Committee for Orphan Medicinal Products on an orphan medicinal product designation application. Orphan medicinal product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the treatment of mastocytosis,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BLU-667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300" w:right="38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precise incidence and/or prevalence for GIST, SM, RET-altered NSCLC and MTC, HCC and FOP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United States, France, Germany, Italy, Spain, the United Kingdom and Japan, or the Major Markets, there are approximately: 20,700 patients with SM, including 2,600 patients with advanced SM and 18,100 patients with ISM and SSM (regardless of severity of symptoms); 500 first-line patients with PDGFRA D842V mutant GIST (including resectable, metastatic and unresectable GIST); 7,500 second-line patients with GIST, including approximately 75%-80% of second-line patients with GIST who do not have a KIT V654A or T670I mutation; 7,400 third-line and later patients with GIST (regardless of alteration); 8,900 first- and second-line patients with RET-altered NSCLC; 1,300 patients with MTC (regardless of line of therapy or alteration); 25,900 first- and second-line patients with FGFR4-activated HCC; and 1,100 patients with FOP.</w:t>
      </w:r>
    </w:p>
    <w:p>
      <w:pPr>
        <w:spacing w:after="0" w:line="167"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The total addressable market opportunity for avapritinib for the treatment of patients with GIST and SM, BLU</w:t>
      </w:r>
      <w:r>
        <w:rPr>
          <w:rFonts w:ascii="MS PGothic" w:cs="MS PGothic" w:eastAsia="MS PGothic" w:hAnsi="MS PGothic"/>
          <w:sz w:val="16"/>
          <w:szCs w:val="16"/>
          <w:color w:val="auto"/>
        </w:rPr>
        <w:t>‑</w:t>
      </w:r>
      <w:r>
        <w:rPr>
          <w:rFonts w:ascii="Arial" w:cs="Arial" w:eastAsia="Arial" w:hAnsi="Arial"/>
          <w:sz w:val="16"/>
          <w:szCs w:val="16"/>
          <w:color w:val="auto"/>
        </w:rPr>
        <w:t>667 for the treatment of patients with RET-altered NSCLC and MTC,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patients with advanced HCC and BLU-782 for the treatment of patients with FOP will ultimately depend upon, among other things, the diagnosis criteria included in the final label for each of avapritinib, BLU-667, BLU-554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16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we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that was 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PDGFRA D842V</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mutation, it may face competition from other drug candidates in development for these indications, including drug candidates in development by AB Science S.A., Allakos Inc., ARIAD Pharmaceuticals, Inc., a wholly-owned subsidiary of Takeda Pharmaceutical Company Limited, AROG Pharmaceuticals, Inc., Celldex Therapeutics, Inc., and Deciphera Pharmaceuticals, LLC. If BLU</w:t>
      </w:r>
      <w:r>
        <w:rPr>
          <w:rFonts w:ascii="MS PGothic" w:cs="MS PGothic" w:eastAsia="MS PGothic" w:hAnsi="MS PGothic"/>
          <w:sz w:val="17"/>
          <w:szCs w:val="17"/>
          <w:color w:val="auto"/>
        </w:rPr>
        <w:t>‑</w:t>
      </w:r>
      <w:r>
        <w:rPr>
          <w:rFonts w:ascii="Arial" w:cs="Arial" w:eastAsia="Arial" w:hAnsi="Arial"/>
          <w:sz w:val="17"/>
          <w:szCs w:val="17"/>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Boston Pharmaceuticals, Inc., Eisai Inc., Exelixis, Inc., GlaxoSmithKline plc, Loxo Oncology, Inc., a wholly-owned subsidiary of Eli Lilly and Company, Mirati Therapeutics, Inc., Novartis AG, Pfizer Inc. and Roche, as well as several approved multi-kinase inhibitors with RET activity being evaluated in clinical trials, including alectinib, apatinib, cabozantinib, dovitinib, lenvatinib, ponatinib, sorafenib, sunitinib and vandetinib.</w:t>
      </w:r>
    </w:p>
    <w:p>
      <w:pPr>
        <w:spacing w:after="0" w:line="164" w:lineRule="exact"/>
        <w:rPr>
          <w:sz w:val="20"/>
          <w:szCs w:val="20"/>
          <w:color w:val="auto"/>
        </w:rPr>
      </w:pPr>
    </w:p>
    <w:p>
      <w:pPr>
        <w:ind w:right="140" w:firstLine="648"/>
        <w:spacing w:after="0" w:line="236" w:lineRule="auto"/>
        <w:rPr>
          <w:sz w:val="20"/>
          <w:szCs w:val="20"/>
          <w:color w:val="auto"/>
        </w:rPr>
      </w:pPr>
      <w:r>
        <w:rPr>
          <w:rFonts w:ascii="Arial" w:cs="Arial" w:eastAsia="Arial" w:hAnsi="Arial"/>
          <w:sz w:val="16"/>
          <w:szCs w:val="16"/>
          <w:color w:val="auto"/>
        </w:rPr>
        <w:t>If BLU-554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BLU-554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 If BLU-782 receives marketing approval for FOP, it may face competition from drug candidates in development by BioCryst Pharmaceuticals, Inc., Clementia Pharmaceuticals Inc., La Jolla Pharmaceutical Company and Regeneron Pharmaceuticals, Inc.</w:t>
      </w:r>
    </w:p>
    <w:p>
      <w:pPr>
        <w:spacing w:after="0" w:line="16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We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2"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PDGFRA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 -667 in order to identify NSCLC patients with RET fusions, and we expect to develop a companion diagnostic test with a third party for avapritinib for our planned COMPASS-2L trial in order to select patients with PDGFRA- and KIT-driven second-line GIST who do not test positive for the KIT V654A or T670I mutations.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 relying on third parties to design, manufacture, obtain regulatory approval for and commercialize the companion diagnostic tests for avapritinib, BLU-667 and BLU-554,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215"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07" w:lineRule="exact"/>
        <w:rPr>
          <w:rFonts w:ascii="Arial" w:cs="Arial" w:eastAsia="Arial" w:hAnsi="Arial"/>
          <w:sz w:val="16"/>
          <w:szCs w:val="16"/>
          <w:color w:val="auto"/>
        </w:rPr>
      </w:pPr>
    </w:p>
    <w:p>
      <w:pPr>
        <w:ind w:left="1300" w:right="740" w:hanging="325"/>
        <w:spacing w:after="0" w:line="235"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380" w:hanging="325"/>
        <w:spacing w:after="0" w:line="22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Any delay or failure by us or our collaborators to develop or obtain regulatory approval of the companion diagnostic tests could delay or prevent approval of our drug candidates. If we, or any third parties that we have engaged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or may in the future engage to assist us are unable to successfully develop and commercialize companion diagnostic tests for our drug candidates, or experience delays in doing so:</w:t>
      </w:r>
    </w:p>
    <w:p>
      <w:pPr>
        <w:spacing w:after="0" w:line="162" w:lineRule="exact"/>
        <w:rPr>
          <w:sz w:val="20"/>
          <w:szCs w:val="20"/>
          <w:color w:val="auto"/>
        </w:rPr>
      </w:pPr>
    </w:p>
    <w:p>
      <w:pPr>
        <w:ind w:left="1300" w:right="140" w:hanging="325"/>
        <w:spacing w:after="0" w:line="23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Since its enactment, some of the provisions of the Affordable Care Act have yet to be fully implemented, while certain provisions have been subject to judicial, congressional, and executive challenges. In 2012, the U.S. Supreme Court upheld certain key aspects of the legislation, including a tax-based shared responsibility payment imposed on certain individuals who fail to maintain qualifying health coverage for all or part of a year, which is commonly the requirement that all individuals maintain health insurance coverage or pay a penalty, referred to as the “individual mandate.” Though Congress has not passed repeal legislation to date, the 2017 Tax Reform Act included a provision which repealed the individual mandate effective January 1, 2019. On December 14, 2018, a U.S. District Court judge in the Northern District of Texas ruled that the individual mandate portion of the Affordable Care Act is an essential and inseverable feature of the Affordable Care Act, and therefore because the mandate was repealed as part of the 2017 Tax Reform Act, the remaining provisions of the Affordable Care Act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Affordable Care Act will impact the Affordable Care Act and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60" w:firstLine="648"/>
        <w:spacing w:after="0" w:line="216" w:lineRule="auto"/>
        <w:rPr>
          <w:sz w:val="20"/>
          <w:szCs w:val="20"/>
          <w:color w:val="auto"/>
        </w:rPr>
      </w:pPr>
      <w:r>
        <w:rPr>
          <w:rFonts w:ascii="Arial" w:cs="Arial" w:eastAsia="Arial" w:hAnsi="Arial"/>
          <w:sz w:val="18"/>
          <w:szCs w:val="18"/>
          <w:color w:val="auto"/>
        </w:rPr>
        <w:t>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the Centers for Medicare &amp; Medicaid Services, the agency responsible for administering the Medicare program, or CMS,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For example,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would allow Medicare Advantage plans to use pre-authorization and step therapy for six protected classes of drugs, with certain exceptions; permit plans to implement pre-authorization and step therapy in Medicare Part B drugs; change the definition of “negotiated prices”; and add a new definition of “price concession.” It is unclear whether these proposed changes will be accepted, and if so, what effect such changes will have on our business. Congress will likely continue to consider subsequent legislation and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257"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Beyond challenges to the Affordable Care Act, 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6"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19"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99"/>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300" w:right="139" w:hanging="325"/>
        <w:spacing w:after="0" w:line="23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300" w:right="479" w:hanging="325"/>
        <w:spacing w:after="0" w:line="23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19"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99"/>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79"/>
        <w:spacing w:after="0" w:line="259" w:lineRule="auto"/>
        <w:rPr>
          <w:sz w:val="20"/>
          <w:szCs w:val="20"/>
          <w:color w:val="auto"/>
        </w:rPr>
      </w:pPr>
      <w:r>
        <w:rPr>
          <w:rFonts w:ascii="Arial" w:cs="Arial" w:eastAsia="Arial" w:hAnsi="Arial"/>
          <w:sz w:val="16"/>
          <w:szCs w:val="16"/>
          <w:color w:val="auto"/>
        </w:rPr>
        <w:t>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47" w:lineRule="exact"/>
        <w:rPr>
          <w:sz w:val="20"/>
          <w:szCs w:val="20"/>
          <w:color w:val="auto"/>
        </w:rPr>
      </w:pPr>
    </w:p>
    <w:p>
      <w:pPr>
        <w:ind w:left="980" w:right="79" w:hanging="329"/>
        <w:spacing w:after="0" w:line="21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99" w:hanging="329"/>
        <w:spacing w:after="0" w:line="24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0" w:lineRule="exact"/>
        <w:rPr>
          <w:rFonts w:ascii="Arial" w:cs="Arial" w:eastAsia="Arial" w:hAnsi="Arial"/>
          <w:sz w:val="16"/>
          <w:szCs w:val="16"/>
          <w:color w:val="auto"/>
        </w:rPr>
      </w:pPr>
    </w:p>
    <w:p>
      <w:pPr>
        <w:ind w:left="980" w:right="19" w:hanging="329"/>
        <w:spacing w:after="0" w:line="21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199" w:hanging="329"/>
        <w:spacing w:after="0" w:line="244"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rFonts w:ascii="Arial" w:cs="Arial" w:eastAsia="Arial" w:hAnsi="Arial"/>
          <w:sz w:val="16"/>
          <w:szCs w:val="16"/>
          <w:color w:val="auto"/>
        </w:rPr>
      </w:pPr>
    </w:p>
    <w:p>
      <w:pPr>
        <w:ind w:left="980" w:right="79" w:hanging="329"/>
        <w:spacing w:after="0" w:line="21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62" w:lineRule="exact"/>
        <w:rPr>
          <w:rFonts w:ascii="Arial" w:cs="Arial" w:eastAsia="Arial" w:hAnsi="Arial"/>
          <w:sz w:val="18"/>
          <w:szCs w:val="18"/>
          <w:color w:val="auto"/>
        </w:rPr>
      </w:pPr>
    </w:p>
    <w:p>
      <w:pPr>
        <w:ind w:left="980" w:right="79" w:hanging="329"/>
        <w:spacing w:after="0" w:line="21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319" w:hanging="329"/>
        <w:spacing w:after="0" w:line="23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1" w:lineRule="exact"/>
        <w:rPr>
          <w:rFonts w:ascii="Arial" w:cs="Arial" w:eastAsia="Arial" w:hAnsi="Arial"/>
          <w:sz w:val="18"/>
          <w:szCs w:val="18"/>
          <w:color w:val="auto"/>
        </w:rPr>
      </w:pPr>
    </w:p>
    <w:p>
      <w:pPr>
        <w:ind w:left="980" w:right="19" w:hanging="329"/>
        <w:spacing w:after="0" w:line="225"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980" w:right="560"/>
        <w:spacing w:after="0" w:line="235" w:lineRule="auto"/>
        <w:rPr>
          <w:sz w:val="20"/>
          <w:szCs w:val="20"/>
          <w:color w:val="auto"/>
        </w:rPr>
      </w:pPr>
      <w:r>
        <w:rPr>
          <w:rFonts w:ascii="Arial" w:cs="Arial" w:eastAsia="Arial" w:hAnsi="Arial"/>
          <w:sz w:val="18"/>
          <w:szCs w:val="18"/>
          <w:color w:val="auto"/>
        </w:rPr>
        <w:t>circumstances, many of which differ from each other in significant ways and often are not preempted by HIPAA, thus complicating compliance efforts.</w:t>
      </w:r>
    </w:p>
    <w:p>
      <w:pPr>
        <w:spacing w:after="0" w:line="162"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On January 31, 2019, the Department of Health and Human Services, or HHS, and HHS Office of Inspector General, or OIG, proposed an amendment to one of the existing anti-kickback safe harbors (42 C.F.R. 1001.952(h)) that would prohibit certain pharmaceutical manufacturers from offering rebates to pharmacy benefit managers in the Medicare Part D and Medicaid managed care programs. The proposed amendment would remove protection for "discounts" from anti-kickback enforcement action and would include criminal and civil penalties for knowingly and willfully offering, paying, soliciting or receiving remuneration to induce or reward the referral of business reimbursable under federal health care programs. At the same time, HHS also proposed to create a new safe harbor to protect point-of-sale discounts that drug manufacturers provide directly to patients and add another safe harbor to protect certain administrative fees paid by manufacturers to pharmacy benefit managers. If this proposal is adopted, in whole or in part, it could affect the pricing and reimbursement for any products for which we receive approval in the future.</w:t>
      </w:r>
    </w:p>
    <w:p>
      <w:pPr>
        <w:spacing w:after="0" w:line="164"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55" w:lineRule="exact"/>
        <w:rPr>
          <w:rFonts w:ascii="Arial" w:cs="Arial" w:eastAsia="Arial" w:hAnsi="Arial"/>
          <w:sz w:val="17"/>
          <w:szCs w:val="17"/>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1" w:lineRule="exact"/>
        <w:rPr>
          <w:sz w:val="20"/>
          <w:szCs w:val="20"/>
          <w:color w:val="auto"/>
        </w:rPr>
      </w:pPr>
    </w:p>
    <w:p>
      <w:pPr>
        <w:ind w:right="22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agreements with Roche and CStone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In addition, our collaborations with Roche and CStone,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agreements with Roche and CStone or any future collaboration agreement could adversely affect us financially or harm our business reputation.</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9"/>
        <w:spacing w:after="0" w:line="216" w:lineRule="auto"/>
        <w:rPr>
          <w:sz w:val="20"/>
          <w:szCs w:val="20"/>
          <w:color w:val="auto"/>
        </w:rPr>
      </w:pPr>
      <w:r>
        <w:rPr>
          <w:rFonts w:ascii="Arial" w:cs="Arial" w:eastAsia="Arial" w:hAnsi="Arial"/>
          <w:sz w:val="18"/>
          <w:szCs w:val="18"/>
          <w:color w:val="auto"/>
        </w:rPr>
        <w:t>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79"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99"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59" w:firstLine="648"/>
        <w:spacing w:after="0" w:line="22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39"/>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7"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drug product and drug substance used in our most advanced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1" w:lineRule="exact"/>
        <w:rPr>
          <w:sz w:val="20"/>
          <w:szCs w:val="20"/>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substance and drug product used in our most advanced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substance and drug product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9"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19"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substance and drug product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39"/>
        <w:spacing w:after="0" w:line="242" w:lineRule="auto"/>
        <w:rPr>
          <w:sz w:val="20"/>
          <w:szCs w:val="20"/>
          <w:color w:val="auto"/>
        </w:rPr>
      </w:pPr>
      <w:r>
        <w:rPr>
          <w:rFonts w:ascii="Arial" w:cs="Arial" w:eastAsia="Arial" w:hAnsi="Arial"/>
          <w:sz w:val="16"/>
          <w:szCs w:val="16"/>
          <w:color w:val="auto"/>
        </w:rPr>
        <w:t>While we seek to maintain adequate inventory of the API, drug substance and drug product used in our drug candidates,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379"/>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 avapritinib, as well as our other most advanced drug candidates, BLU-667, BLU-554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compounds, technology,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68" w:lineRule="exact"/>
        <w:rPr>
          <w:sz w:val="20"/>
          <w:szCs w:val="20"/>
          <w:color w:val="auto"/>
        </w:rPr>
      </w:pPr>
    </w:p>
    <w:p>
      <w:pPr>
        <w:ind w:right="19" w:firstLine="648"/>
        <w:spacing w:after="0" w:line="182" w:lineRule="exact"/>
        <w:rPr>
          <w:sz w:val="20"/>
          <w:szCs w:val="20"/>
          <w:color w:val="auto"/>
        </w:rPr>
      </w:pPr>
      <w:r>
        <w:rPr>
          <w:rFonts w:ascii="Arial" w:cs="Arial" w:eastAsia="Arial" w:hAnsi="Arial"/>
          <w:sz w:val="18"/>
          <w:szCs w:val="18"/>
          <w:color w:val="auto"/>
        </w:rPr>
        <w:t>We own patents and patent applications that relate to avapritinib, BLU-667, BLU-554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 novel compounds. The issued patent directed to avapritinib composition of matter has a statutory expiration date in 2034,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has a statutory expiration date in 2034 and the issued patent directed to BLU-667 composition of matter has a statutory expiration date in 2036.</w:t>
      </w:r>
    </w:p>
    <w:p>
      <w:pPr>
        <w:spacing w:after="0" w:line="165" w:lineRule="exact"/>
        <w:rPr>
          <w:sz w:val="20"/>
          <w:szCs w:val="20"/>
          <w:color w:val="auto"/>
        </w:rPr>
      </w:pPr>
    </w:p>
    <w:p>
      <w:pPr>
        <w:ind w:right="59" w:firstLine="648"/>
        <w:spacing w:after="0" w:line="182" w:lineRule="exact"/>
        <w:rPr>
          <w:sz w:val="20"/>
          <w:szCs w:val="20"/>
          <w:color w:val="auto"/>
        </w:rPr>
      </w:pPr>
      <w:r>
        <w:rPr>
          <w:rFonts w:ascii="Arial" w:cs="Arial" w:eastAsia="Arial" w:hAnsi="Arial"/>
          <w:sz w:val="17"/>
          <w:szCs w:val="17"/>
          <w:color w:val="auto"/>
        </w:rPr>
        <w:t>As of February 15, 2019, we owned nine issued U.S. patents, four issued foreign patents, including one European patent validated in 38 countries, three pending U.S. non-provisional patent applications, two pending U.S. provisional patent applications, 40 pending foreign patent applications and one pending Patent Cooperation Treaty, or PCT, international patent application directed to our KIT program, including avapritinib. Our foreign patent filings are in a number of jurisdictions, including Australia, Argentina, Brazil, Bolivia, Canada, China, the European Union, Hong Kong, Israel, India, Japan, Lebanon, Mexico, New Zealand, Pakistan, Paraguay, Philippines, Russia, Singapore, South Africa, South Korea, Taiwan, Uruguay and Venezuela. Any U.S. or ex</w:t>
      </w:r>
      <w:r>
        <w:rPr>
          <w:rFonts w:ascii="MS PGothic" w:cs="MS PGothic" w:eastAsia="MS PGothic" w:hAnsi="MS PGothic"/>
          <w:sz w:val="17"/>
          <w:szCs w:val="17"/>
          <w:color w:val="auto"/>
        </w:rPr>
        <w:t>‑</w:t>
      </w:r>
      <w:r>
        <w:rPr>
          <w:rFonts w:ascii="Arial" w:cs="Arial" w:eastAsia="Arial" w:hAnsi="Arial"/>
          <w:sz w:val="17"/>
          <w:szCs w:val="17"/>
          <w:color w:val="auto"/>
        </w:rPr>
        <w:t>U.S. patents issuing from the pending applications covering avapritinib will have a statutory expiration date between October 2034 and January 2040. Patent term adjustments or patent term extensions could result in later expiration dates.</w:t>
      </w:r>
    </w:p>
    <w:p>
      <w:pPr>
        <w:spacing w:after="0" w:line="162" w:lineRule="exact"/>
        <w:rPr>
          <w:sz w:val="20"/>
          <w:szCs w:val="20"/>
          <w:color w:val="auto"/>
        </w:rPr>
      </w:pPr>
    </w:p>
    <w:p>
      <w:pPr>
        <w:ind w:right="99" w:firstLine="648"/>
        <w:spacing w:after="0" w:line="226" w:lineRule="auto"/>
        <w:rPr>
          <w:sz w:val="20"/>
          <w:szCs w:val="20"/>
          <w:color w:val="auto"/>
        </w:rPr>
      </w:pPr>
      <w:r>
        <w:rPr>
          <w:rFonts w:ascii="Arial" w:cs="Arial" w:eastAsia="Arial" w:hAnsi="Arial"/>
          <w:sz w:val="17"/>
          <w:szCs w:val="17"/>
          <w:color w:val="auto"/>
        </w:rPr>
        <w:t>As of February 15, 2019, we owned four issued U.S. patents, three pending U.S. non-provisional patent applications, one pending PCT international application, 28 pending foreign patent applications and six pending U.S. provisional patent applications directed to our RET program, including BLU -667. Our foreign patent filings are in a number of jurisdictions, including Argentina, Australia, Brazil, Canada, China, Chile, Ecuador, Eurasia, the European Union, Israel, India, Japan, Lebanon, Malaysia, Mexico, New Zealand, Philippines, Saudi Arabia, Singapore, South Africa, South Korea, Taiwan, Thailand, the United Arab Emirates and Uruguay. Any U.S. or ex-U.S. patent issuing from</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pending applications covering BLU-667 will have a statutory expiration date between November 2036 and August 2039.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Patent term adjustments or patent term extensions could result in later expiration dates.</w:t>
      </w:r>
    </w:p>
    <w:p>
      <w:pPr>
        <w:spacing w:after="0" w:line="169"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As of February 15, 2019, we owned seven issued U.S. patents, two pending U.S. non-provisional patent applications, eight issued foreign patents, 39 pending foreign patent applications and one pending PCT international patent application directed to our FGFR4 program, including BLU-554.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Venezuela and Vietnam. Any U.S. or ex</w:t>
      </w:r>
      <w:r>
        <w:rPr>
          <w:rFonts w:ascii="MS PGothic" w:cs="MS PGothic" w:eastAsia="MS PGothic" w:hAnsi="MS PGothic"/>
          <w:sz w:val="17"/>
          <w:szCs w:val="17"/>
          <w:color w:val="auto"/>
        </w:rPr>
        <w:t>‑</w:t>
      </w:r>
      <w:r>
        <w:rPr>
          <w:rFonts w:ascii="Arial" w:cs="Arial" w:eastAsia="Arial" w:hAnsi="Arial"/>
          <w:sz w:val="17"/>
          <w:szCs w:val="17"/>
          <w:color w:val="auto"/>
        </w:rPr>
        <w:t>U.S. patent issuing from the pending applications covering BLU</w:t>
      </w:r>
      <w:r>
        <w:rPr>
          <w:rFonts w:ascii="MS PGothic" w:cs="MS PGothic" w:eastAsia="MS PGothic" w:hAnsi="MS PGothic"/>
          <w:sz w:val="17"/>
          <w:szCs w:val="17"/>
          <w:color w:val="auto"/>
        </w:rPr>
        <w:t>‑</w:t>
      </w:r>
      <w:r>
        <w:rPr>
          <w:rFonts w:ascii="Arial" w:cs="Arial" w:eastAsia="Arial" w:hAnsi="Arial"/>
          <w:sz w:val="17"/>
          <w:szCs w:val="17"/>
          <w:color w:val="auto"/>
        </w:rPr>
        <w:t>554 will have a statutory expiration date between July 2033 and September 2037. Patent term adjustments or patent term extensions could result in later expiration dates.</w:t>
      </w:r>
    </w:p>
    <w:p>
      <w:pPr>
        <w:spacing w:after="0" w:line="16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As of February 15, 2019, we owned one pending U.S. non-provisional patent application, one pending PCT international application and 15 pending foreign patent applications directed to our ALK2 program, including BLU-782. Our foreign patent filings are in a number of jurisdictions, including Australia, Brazil, Canada, China, Chile, the European Union, Israel, Japan, South Korea, Mexico, New Zealand, Eurasia and South Africa. Any U.S. or ex-U.S. patent issuing from pending applications covering BLU-782 will have statutory expiration dates of April 2037 or October 2038. Patent term adjustments or patent term extensions could result in later expiration dates.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February 15, 2019, we owned ten pending U.S. non-provisional patent applications, nine pending European Union patent applications and one issued European patent directed to this technology. Any U.S. or ex-U.S. patent issuing from the pending applications directed to this technology, if issued, will have statutory expiration dates ranging from 2034 to 2039.</w:t>
      </w:r>
    </w:p>
    <w:p>
      <w:pPr>
        <w:spacing w:after="0" w:line="15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BLU-667, BLU-554, BLU-782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66"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3"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ind w:right="280" w:firstLine="648"/>
        <w:spacing w:after="0" w:line="23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3"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99"/>
        <w:spacing w:after="0" w:line="259" w:lineRule="auto"/>
        <w:rPr>
          <w:sz w:val="20"/>
          <w:szCs w:val="20"/>
          <w:color w:val="auto"/>
        </w:rPr>
      </w:pPr>
      <w:r>
        <w:rPr>
          <w:rFonts w:ascii="Arial" w:cs="Arial" w:eastAsia="Arial" w:hAnsi="Arial"/>
          <w:sz w:val="16"/>
          <w:szCs w:val="16"/>
          <w:color w:val="auto"/>
        </w:rPr>
        <w:t>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47" w:lineRule="exact"/>
        <w:rPr>
          <w:sz w:val="20"/>
          <w:szCs w:val="20"/>
          <w:color w:val="auto"/>
        </w:rPr>
      </w:pPr>
    </w:p>
    <w:p>
      <w:pPr>
        <w:ind w:right="59"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59"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19"/>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19" w:firstLine="648"/>
        <w:spacing w:after="0" w:line="221"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right="79" w:firstLine="648"/>
        <w:spacing w:after="0" w:line="226"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9"/>
        <w:spacing w:after="0" w:line="223" w:lineRule="auto"/>
        <w:rPr>
          <w:sz w:val="20"/>
          <w:szCs w:val="20"/>
          <w:color w:val="auto"/>
        </w:rPr>
      </w:pPr>
      <w:r>
        <w:rPr>
          <w:rFonts w:ascii="Arial" w:cs="Arial" w:eastAsia="Arial" w:hAnsi="Arial"/>
          <w:sz w:val="17"/>
          <w:szCs w:val="17"/>
          <w:color w:val="auto"/>
        </w:rPr>
        <w:t>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79"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399"/>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39"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59" w:firstLine="648"/>
        <w:spacing w:after="0" w:line="239"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patent litigation, is expensive and time-consuming, and the outcome is unpredictable. In addition, courts outside the United States are sometimes less willing to protect trade secrets.</w:t>
      </w:r>
    </w:p>
    <w:p>
      <w:pPr>
        <w:spacing w:after="0" w:line="162"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Operating Officer, Michael Landsittel, our Chief Financial Officer, Tracey McCain, our Chief Legal and Compliance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3"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As of February 15, 2019, we had 217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6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Given the lack of comparable precedent, it is unclear what financial, trade and legal implications the withdrawal of the United Kingdom from the European Union would have and how such withdrawal would affect us.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w:t>
      </w:r>
    </w:p>
    <w:p>
      <w:pPr>
        <w:spacing w:after="0" w:line="16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For example, Brexit could result in the United Kingdom or the European Union significantly altering its regulations affecting the clearance or approval of our product candidates that are developed in the United Kingdom. Any new regulations could add time and expense to the conduct of our business, as well as the process by which our products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300"/>
        <w:spacing w:after="0" w:line="28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66"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or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will be subject to the California Consumer Privacy Act, which takes effect January 1, 2020 and will impose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0"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5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right="140" w:firstLine="648"/>
        <w:spacing w:after="0" w:line="212" w:lineRule="auto"/>
        <w:rPr>
          <w:sz w:val="20"/>
          <w:szCs w:val="20"/>
          <w:color w:val="auto"/>
        </w:rPr>
      </w:pPr>
      <w:r>
        <w:rPr>
          <w:rFonts w:ascii="Arial" w:cs="Arial" w:eastAsia="Arial" w:hAnsi="Arial"/>
          <w:sz w:val="18"/>
          <w:szCs w:val="18"/>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February 15, 2019. As a result of this volatility, our stockholders could incur substantial losses. In addition, the market price for our common stock may be influenced by many factors, including:</w:t>
      </w:r>
    </w:p>
    <w:p>
      <w:pPr>
        <w:spacing w:after="0" w:line="165" w:lineRule="exact"/>
        <w:rPr>
          <w:sz w:val="20"/>
          <w:szCs w:val="20"/>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280" w:hanging="325"/>
        <w:spacing w:after="0" w:line="23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99" w:hanging="325"/>
        <w:spacing w:after="0" w:line="235"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62"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399"/>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119" w:firstLine="648"/>
        <w:spacing w:after="0" w:line="212"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65" w:lineRule="exact"/>
        <w:rPr>
          <w:sz w:val="20"/>
          <w:szCs w:val="20"/>
          <w:color w:val="auto"/>
        </w:rPr>
      </w:pPr>
    </w:p>
    <w:p>
      <w:pPr>
        <w:ind w:right="79" w:firstLine="648"/>
        <w:spacing w:after="0" w:line="223"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68" w:lineRule="exact"/>
        <w:rPr>
          <w:sz w:val="20"/>
          <w:szCs w:val="20"/>
          <w:color w:val="auto"/>
        </w:rPr>
      </w:pPr>
    </w:p>
    <w:p>
      <w:pPr>
        <w:ind w:right="19" w:firstLine="648"/>
        <w:spacing w:after="0" w:line="238"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65" w:lineRule="exact"/>
        <w:rPr>
          <w:sz w:val="20"/>
          <w:szCs w:val="20"/>
          <w:color w:val="auto"/>
        </w:rPr>
      </w:pPr>
    </w:p>
    <w:p>
      <w:pPr>
        <w:ind w:right="94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$464.9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headquarters are located at 45 Sidney Street in Cambridge, Massachusetts where we occupy approximately 99,833 rentable square feet of office and laboratory space under a lease that commenced on October 1, 2017 and will expire on November 30, 2029. On September 19, 2018, we entered into an amendment to the lease agreement to expand the rentable square footage from approximately 99,833 square feet to approximately 139,216 square feet. The initial term of the lease with respect to the expansion premises will commence on March 1, 2019 and will expire on November 30, 2029, unless terminated sooner. Pursuant to the lease amendment, the date on which we will become responsible for paying rent with respect to the expansion space will be the earlier of (i) the date upon which we first occupy the expansion premises for business purposes or (ii) July 1, 2019. We currently anticipate the rent commencement date for the expansion premises will be approximately July 1, 2019.</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also lease our former corporate headquarters at 38 Sidney Street in Cambridge, Massachusetts under a lease that will expire on October 31, 2022. The lease agreement provides us with an option to extend the lease for five additional years. In the first quarter of 2018, we fully subleased these premises through October 31, 2020. The sublessee has the option to extend the sublease through October 31, 2022, subject to specified exceptions under the sublease agreement.</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We believe that our existing office and laboratory space is sufficient to meet our needs for the foreseeable future and that suitable additional space will be available as and when needed.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189"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Our common stock trades under the symbol “BPMC” on the Nasdaq Global Select Market and has been publicly traded since April 30,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As of January 31, 2019, there were approximately 16 holders of record of our common stock. This number does not include beneficial owners whose shares are held by nominees in street 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62"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 Index from April 30, 2015 (the first date that shares of our common stock were publicly traded) through December 31, 2018. The comparison assumes $100 was invested in our common stock and in each of the foregoing indices after the market closed on April 30, 2015, and it assumes reinvestment of dividends, if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120650</wp:posOffset>
            </wp:positionV>
            <wp:extent cx="5582920" cy="3147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292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4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You should read the following selected consolidated financial data together with our financial statements and the related notes appearing at the end of this Annual Report on Form 10-K and Item 7 “Management’s Discussion and Analysis of Financial Condition and Results of Operations” section of this Annual Report on Form 10-K. We have derived the consolidated statement of operations data for the years ended December 31, 2018, 2017 and 2016 and the consolidated balance sheet data as of December 31, 2018 and 2017 from our audited consolidated financial statements included elsewhere in this Annual Report on Form 10-K. We have derived the consolidated statement of operations data for the year ended December 31, 2015 and 2014 and the consolidated balance sheet data as of December 31, 2016, 2015 and 2014 from our audited consolidated financial statements and related notes not included in this Annual Report on Form 10-K. The selected historical financial information in this section is not intended to replace our financial statements and the related notes thereto. Our historical results for any prior period are not necessarily indicative of results to be expected in any future period.</w:t>
      </w:r>
    </w:p>
    <w:p>
      <w:pPr>
        <w:spacing w:after="0" w:line="158" w:lineRule="exact"/>
        <w:rPr>
          <w:sz w:val="20"/>
          <w:szCs w:val="20"/>
          <w:color w:val="auto"/>
        </w:rPr>
      </w:pPr>
    </w:p>
    <w:p>
      <w:pPr>
        <w:jc w:val="center"/>
        <w:ind w:left="4320"/>
        <w:spacing w:after="0"/>
        <w:rPr>
          <w:sz w:val="20"/>
          <w:szCs w:val="20"/>
          <w:color w:val="auto"/>
        </w:rPr>
      </w:pPr>
      <w:r>
        <w:rPr>
          <w:rFonts w:ascii="Arial" w:cs="Arial" w:eastAsia="Arial" w:hAnsi="Arial"/>
          <w:sz w:val="14"/>
          <w:szCs w:val="14"/>
          <w:b w:val="1"/>
          <w:bCs w:val="1"/>
          <w:color w:val="auto"/>
        </w:rPr>
        <w:t>Year Ended</w:t>
      </w:r>
    </w:p>
    <w:p>
      <w:pPr>
        <w:jc w:val="center"/>
        <w:ind w:left="4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-3175</wp:posOffset>
            </wp:positionV>
            <wp:extent cx="30187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r>
      <w:tr>
        <w:trPr>
          <w:trHeight w:val="129"/>
        </w:trPr>
        <w:tc>
          <w:tcPr>
            <w:tcW w:w="3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gridSpan w:val="7"/>
          </w:tcPr>
          <w:p>
            <w:pPr>
              <w:jc w:val="right"/>
              <w:ind w:right="232"/>
              <w:spacing w:after="0" w:line="129" w:lineRule="exact"/>
              <w:rPr>
                <w:sz w:val="20"/>
                <w:szCs w:val="20"/>
                <w:color w:val="auto"/>
              </w:rPr>
            </w:pPr>
            <w:r>
              <w:rPr>
                <w:rFonts w:ascii="Arial" w:cs="Arial" w:eastAsia="Arial" w:hAnsi="Arial"/>
                <w:sz w:val="14"/>
                <w:szCs w:val="14"/>
                <w:b w:val="1"/>
                <w:bCs w:val="1"/>
                <w:color w:val="auto"/>
                <w:w w:val="94"/>
              </w:rPr>
              <w:t>(in thousands, except per share data)</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6"/>
        </w:trPr>
        <w:tc>
          <w:tcPr>
            <w:tcW w:w="35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Statements of Operations Data:</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3520" w:type="dxa"/>
            <w:vAlign w:val="bottom"/>
          </w:tcPr>
          <w:p>
            <w:pPr>
              <w:spacing w:after="0" w:line="176" w:lineRule="exact"/>
              <w:rPr>
                <w:sz w:val="20"/>
                <w:szCs w:val="20"/>
                <w:color w:val="auto"/>
              </w:rPr>
            </w:pPr>
            <w:r>
              <w:rPr>
                <w:rFonts w:ascii="Arial" w:cs="Arial" w:eastAsia="Arial" w:hAnsi="Arial"/>
                <w:sz w:val="18"/>
                <w:szCs w:val="18"/>
                <w:color w:val="auto"/>
              </w:rPr>
              <w:t>Collaboration revenue</w:t>
            </w:r>
          </w:p>
        </w:tc>
        <w:tc>
          <w:tcPr>
            <w:tcW w:w="8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44,521</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21,426</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27,772</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11,400</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3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352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w w:val="98"/>
              </w:rPr>
              <w:t>243,621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144,687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81,131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48,588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31,844</w:t>
            </w:r>
          </w:p>
        </w:tc>
        <w:tc>
          <w:tcPr>
            <w:tcW w:w="60" w:type="dxa"/>
            <w:vAlign w:val="bottom"/>
          </w:tcPr>
          <w:p>
            <w:pPr>
              <w:spacing w:after="0"/>
              <w:rPr>
                <w:sz w:val="15"/>
                <w:szCs w:val="15"/>
                <w:color w:val="auto"/>
              </w:rPr>
            </w:pPr>
          </w:p>
        </w:tc>
      </w:tr>
      <w:tr>
        <w:trPr>
          <w:trHeight w:val="176"/>
        </w:trPr>
        <w:tc>
          <w:tcPr>
            <w:tcW w:w="3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47,928</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27,986</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19,218</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14,456</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7,890</w:t>
            </w:r>
          </w:p>
        </w:tc>
        <w:tc>
          <w:tcPr>
            <w:tcW w:w="60" w:type="dxa"/>
            <w:vAlign w:val="bottom"/>
            <w:shd w:val="clear" w:color="auto" w:fill="CCEEFF"/>
          </w:tcPr>
          <w:p>
            <w:pPr>
              <w:spacing w:after="0"/>
              <w:rPr>
                <w:sz w:val="15"/>
                <w:szCs w:val="15"/>
                <w:color w:val="auto"/>
              </w:rPr>
            </w:pPr>
          </w:p>
        </w:tc>
      </w:tr>
      <w:tr>
        <w:trPr>
          <w:trHeight w:val="169"/>
        </w:trPr>
        <w:tc>
          <w:tcPr>
            <w:tcW w:w="3520" w:type="dxa"/>
            <w:vAlign w:val="bottom"/>
          </w:tcPr>
          <w:p>
            <w:pPr>
              <w:spacing w:after="0" w:line="170" w:lineRule="exact"/>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w w:val="98"/>
              </w:rPr>
              <w:t>291,549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172,673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w w:val="98"/>
              </w:rPr>
              <w:t>100,349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8"/>
                <w:szCs w:val="18"/>
                <w:color w:val="auto"/>
              </w:rPr>
              <w:t>63,044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39,734</w:t>
            </w:r>
          </w:p>
        </w:tc>
        <w:tc>
          <w:tcPr>
            <w:tcW w:w="60" w:type="dxa"/>
            <w:vAlign w:val="bottom"/>
          </w:tcPr>
          <w:p>
            <w:pPr>
              <w:spacing w:after="0"/>
              <w:rPr>
                <w:sz w:val="14"/>
                <w:szCs w:val="14"/>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76"/>
        </w:trPr>
        <w:tc>
          <w:tcPr>
            <w:tcW w:w="3520" w:type="dxa"/>
            <w:vAlign w:val="bottom"/>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10,459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3,349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551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(429)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(98)</w:t>
            </w:r>
          </w:p>
        </w:tc>
        <w:tc>
          <w:tcPr>
            <w:tcW w:w="60" w:type="dxa"/>
            <w:vAlign w:val="bottom"/>
          </w:tcPr>
          <w:p>
            <w:pPr>
              <w:spacing w:after="0"/>
              <w:rPr>
                <w:sz w:val="15"/>
                <w:szCs w:val="15"/>
                <w:color w:val="auto"/>
              </w:rPr>
            </w:pPr>
          </w:p>
        </w:tc>
      </w:tr>
      <w:tr>
        <w:trPr>
          <w:trHeight w:val="176"/>
        </w:trPr>
        <w:tc>
          <w:tcPr>
            <w:tcW w:w="3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15"/>
                <w:szCs w:val="15"/>
                <w:color w:val="auto"/>
              </w:rPr>
            </w:pPr>
          </w:p>
        </w:tc>
      </w:tr>
      <w:tr>
        <w:trPr>
          <w:trHeight w:val="169"/>
        </w:trPr>
        <w:tc>
          <w:tcPr>
            <w:tcW w:w="35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other income (expense)</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10,386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3,128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(1,125)</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(551)</w:t>
            </w:r>
          </w:p>
        </w:tc>
        <w:tc>
          <w:tcPr>
            <w:tcW w:w="60" w:type="dxa"/>
            <w:vAlign w:val="bottom"/>
            <w:tcBorders>
              <w:bottom w:val="single" w:sz="8" w:color="CCEEFF"/>
            </w:tcBorders>
          </w:tcPr>
          <w:p>
            <w:pPr>
              <w:spacing w:after="0"/>
              <w:rPr>
                <w:sz w:val="14"/>
                <w:szCs w:val="14"/>
                <w:color w:val="auto"/>
              </w:rPr>
            </w:pPr>
          </w:p>
        </w:tc>
      </w:tr>
      <w:tr>
        <w:trPr>
          <w:trHeight w:val="169"/>
        </w:trPr>
        <w:tc>
          <w:tcPr>
            <w:tcW w:w="3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(236,642)</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(148,119)</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(72,495)</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(52,769)</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(40,285)</w:t>
            </w:r>
          </w:p>
        </w:tc>
        <w:tc>
          <w:tcPr>
            <w:tcW w:w="60" w:type="dxa"/>
            <w:vAlign w:val="bottom"/>
            <w:shd w:val="clear" w:color="auto" w:fill="CCEEFF"/>
          </w:tcPr>
          <w:p>
            <w:pPr>
              <w:spacing w:after="0"/>
              <w:rPr>
                <w:sz w:val="14"/>
                <w:szCs w:val="14"/>
                <w:color w:val="auto"/>
              </w:rPr>
            </w:pPr>
          </w:p>
        </w:tc>
      </w:tr>
      <w:tr>
        <w:trPr>
          <w:trHeight w:val="169"/>
        </w:trPr>
        <w:tc>
          <w:tcPr>
            <w:tcW w:w="3520" w:type="dxa"/>
            <w:vAlign w:val="bottom"/>
          </w:tcPr>
          <w:p>
            <w:pPr>
              <w:spacing w:after="0" w:line="170" w:lineRule="exact"/>
              <w:rPr>
                <w:sz w:val="20"/>
                <w:szCs w:val="20"/>
                <w:color w:val="auto"/>
              </w:rPr>
            </w:pPr>
            <w:r>
              <w:rPr>
                <w:rFonts w:ascii="Arial" w:cs="Arial" w:eastAsia="Arial" w:hAnsi="Arial"/>
                <w:sz w:val="18"/>
                <w:szCs w:val="18"/>
                <w:color w:val="auto"/>
              </w:rPr>
              <w:t>Convertible preferred stock dividends</w:t>
            </w: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(3,153)</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(5,765)</w:t>
            </w:r>
          </w:p>
        </w:tc>
        <w:tc>
          <w:tcPr>
            <w:tcW w:w="60" w:type="dxa"/>
            <w:vAlign w:val="bottom"/>
          </w:tcPr>
          <w:p>
            <w:pPr>
              <w:spacing w:after="0"/>
              <w:rPr>
                <w:sz w:val="14"/>
                <w:szCs w:val="14"/>
                <w:color w:val="auto"/>
              </w:rPr>
            </w:pPr>
          </w:p>
        </w:tc>
      </w:tr>
      <w:tr>
        <w:trPr>
          <w:trHeight w:val="412"/>
        </w:trPr>
        <w:tc>
          <w:tcPr>
            <w:tcW w:w="3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412"/>
              <w:spacing w:after="0"/>
              <w:rPr>
                <w:sz w:val="20"/>
                <w:szCs w:val="20"/>
                <w:color w:val="auto"/>
              </w:rPr>
            </w:pPr>
            <w:r>
              <w:rPr>
                <w:rFonts w:ascii="Arial" w:cs="Arial" w:eastAsia="Arial" w:hAnsi="Arial"/>
                <w:sz w:val="18"/>
                <w:szCs w:val="18"/>
                <w:color w:val="auto"/>
                <w:w w:val="99"/>
              </w:rPr>
              <w:t>87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35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bl>
    <w:p>
      <w:pPr>
        <w:sectPr>
          <w:pgSz w:w="11900" w:h="16838" w:orient="portrait"/>
          <w:cols w:equalWidth="0" w:num="1">
            <w:col w:w="9120"/>
          </w:cols>
          <w:pgMar w:left="1420" w:top="111" w:right="135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0563C1"/>
            </w:tcBorders>
            <w:vMerge w:val="restart"/>
          </w:tcPr>
          <w:p>
            <w:pPr>
              <w:spacing w:after="0"/>
              <w:rPr>
                <w:sz w:val="18"/>
                <w:szCs w:val="18"/>
                <w:color w:val="auto"/>
              </w:rPr>
            </w:pPr>
          </w:p>
        </w:tc>
        <w:tc>
          <w:tcPr>
            <w:tcW w:w="1260" w:type="dxa"/>
            <w:vAlign w:val="bottom"/>
            <w:tcBorders>
              <w:top w:val="single" w:sz="8" w:color="0563C1"/>
            </w:tcBorders>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Net loss applicable to common stockholders</w:t>
            </w:r>
          </w:p>
        </w:tc>
        <w:tc>
          <w:tcPr>
            <w:tcW w:w="2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(236,642)</w:t>
            </w:r>
          </w:p>
        </w:tc>
        <w:tc>
          <w:tcPr>
            <w:tcW w:w="3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(148,119)</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(72,495)</w:t>
            </w: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(55,922)</w:t>
            </w:r>
          </w:p>
        </w:tc>
        <w:tc>
          <w:tcPr>
            <w:tcW w:w="2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(46,050)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gridSpan w:val="3"/>
            <w:vMerge w:val="restart"/>
          </w:tcPr>
          <w:p>
            <w:pPr>
              <w:spacing w:after="0" w:line="142" w:lineRule="exact"/>
              <w:rPr>
                <w:sz w:val="20"/>
                <w:szCs w:val="20"/>
                <w:color w:val="auto"/>
              </w:rPr>
            </w:pPr>
            <w:r>
              <w:rPr>
                <w:rFonts w:ascii="Arial" w:cs="Arial" w:eastAsia="Arial" w:hAnsi="Arial"/>
                <w:sz w:val="16"/>
                <w:szCs w:val="16"/>
                <w:color w:val="auto"/>
              </w:rPr>
              <w:t>Net loss per share applicable to common stockholders —</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200" w:type="dxa"/>
            <w:vAlign w:val="bottom"/>
            <w:gridSpan w:val="3"/>
            <w:vMerge w:val="continue"/>
          </w:tcPr>
          <w:p>
            <w:pPr>
              <w:spacing w:after="0"/>
              <w:rPr>
                <w:sz w:val="10"/>
                <w:szCs w:val="10"/>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(32.41)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220" w:type="dxa"/>
            <w:vAlign w:val="bottom"/>
            <w:gridSpan w:val="4"/>
          </w:tcPr>
          <w:p>
            <w:pPr>
              <w:spacing w:after="0" w:line="189" w:lineRule="exact"/>
              <w:rPr>
                <w:sz w:val="20"/>
                <w:szCs w:val="20"/>
                <w:color w:val="auto"/>
              </w:rPr>
            </w:pPr>
            <w:r>
              <w:rPr>
                <w:rFonts w:ascii="Arial" w:cs="Arial" w:eastAsia="Arial" w:hAnsi="Arial"/>
                <w:sz w:val="18"/>
                <w:szCs w:val="18"/>
                <w:color w:val="auto"/>
              </w:rPr>
              <w:t>basic and diluted(1)</w:t>
            </w:r>
          </w:p>
        </w:tc>
        <w:tc>
          <w:tcPr>
            <w:tcW w:w="2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Borders>
              <w:top w:val="single" w:sz="8" w:color="CCEEFF"/>
            </w:tcBorders>
            <w:gridSpan w:val="3"/>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9"/>
              </w:rPr>
              <w:t>loss per share applicable to common stockholders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43,867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27,492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bottom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basic and diluted(1)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40" w:hanging="333"/>
        <w:spacing w:after="0" w:line="237" w:lineRule="auto"/>
        <w:tabs>
          <w:tab w:leader="none" w:pos="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See Note 11, “Net Loss per Share” in the accompanying notes to our audited consolidated financial statements appearing elsewhere in this Annual Report on Form 10-K for further details on the calculation of basic and diluted net loss per share applicable to common stockholders.</w:t>
      </w:r>
    </w:p>
    <w:tbl>
      <w:tblPr>
        <w:tblLayout w:type="fixed"/>
        <w:tblInd w:w="0" w:type="dxa"/>
        <w:tblCellMar>
          <w:top w:w="0" w:type="dxa"/>
          <w:left w:w="0" w:type="dxa"/>
          <w:bottom w:w="0" w:type="dxa"/>
          <w:right w:w="0" w:type="dxa"/>
        </w:tblCellMar>
      </w:tblPr>
      <w:tr>
        <w:trPr>
          <w:trHeight w:val="129"/>
        </w:trPr>
        <w:tc>
          <w:tcPr>
            <w:tcW w:w="4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jc w:val="center"/>
              <w:ind w:left="36"/>
              <w:spacing w:after="0" w:line="129" w:lineRule="exact"/>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4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4460" w:type="dxa"/>
            <w:vAlign w:val="bottom"/>
          </w:tcPr>
          <w:p>
            <w:pPr>
              <w:spacing w:after="0"/>
              <w:rPr>
                <w:sz w:val="11"/>
                <w:szCs w:val="11"/>
                <w:color w:val="auto"/>
              </w:rPr>
            </w:pPr>
          </w:p>
        </w:tc>
        <w:tc>
          <w:tcPr>
            <w:tcW w:w="78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99"/>
              </w:rPr>
              <w:t>2015 (1)</w:t>
            </w:r>
          </w:p>
        </w:tc>
        <w:tc>
          <w:tcPr>
            <w:tcW w:w="94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1"/>
                <w:szCs w:val="11"/>
                <w:color w:val="auto"/>
              </w:rPr>
            </w:pPr>
          </w:p>
        </w:tc>
      </w:tr>
      <w:tr>
        <w:trPr>
          <w:trHeight w:val="129"/>
        </w:trPr>
        <w:tc>
          <w:tcPr>
            <w:tcW w:w="4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jc w:val="center"/>
              <w:ind w:left="36"/>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ind w:right="12"/>
              <w:spacing w:after="0" w:line="176" w:lineRule="exact"/>
              <w:rPr>
                <w:sz w:val="20"/>
                <w:szCs w:val="20"/>
                <w:color w:val="auto"/>
              </w:rPr>
            </w:pPr>
            <w:r>
              <w:rPr>
                <w:rFonts w:ascii="Arial" w:cs="Arial" w:eastAsia="Arial" w:hAnsi="Arial"/>
                <w:sz w:val="18"/>
                <w:szCs w:val="18"/>
                <w:color w:val="auto"/>
                <w:w w:val="94"/>
              </w:rPr>
              <w:t>$ 68,064</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$ 400,304</w:t>
            </w:r>
          </w:p>
        </w:tc>
        <w:tc>
          <w:tcPr>
            <w:tcW w:w="1000" w:type="dxa"/>
            <w:vAlign w:val="bottom"/>
          </w:tcPr>
          <w:p>
            <w:pPr>
              <w:jc w:val="right"/>
              <w:ind w:right="16"/>
              <w:spacing w:after="0" w:line="176" w:lineRule="exact"/>
              <w:rPr>
                <w:sz w:val="20"/>
                <w:szCs w:val="20"/>
                <w:color w:val="auto"/>
              </w:rPr>
            </w:pPr>
            <w:r>
              <w:rPr>
                <w:rFonts w:ascii="Arial" w:cs="Arial" w:eastAsia="Arial" w:hAnsi="Arial"/>
                <w:sz w:val="18"/>
                <w:szCs w:val="18"/>
                <w:color w:val="auto"/>
              </w:rPr>
              <w:t>$   52,069</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line="176" w:lineRule="exact"/>
              <w:rPr>
                <w:sz w:val="20"/>
                <w:szCs w:val="20"/>
                <w:color w:val="auto"/>
              </w:rPr>
            </w:pPr>
            <w:r>
              <w:rPr>
                <w:rFonts w:ascii="Arial" w:cs="Arial" w:eastAsia="Arial" w:hAnsi="Arial"/>
                <w:sz w:val="18"/>
                <w:szCs w:val="18"/>
                <w:color w:val="auto"/>
                <w:w w:val="98"/>
              </w:rPr>
              <w:t>162,707</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  47,240</w:t>
            </w:r>
          </w:p>
        </w:tc>
        <w:tc>
          <w:tcPr>
            <w:tcW w:w="40" w:type="dxa"/>
            <w:vAlign w:val="bottom"/>
          </w:tcPr>
          <w:p>
            <w:pPr>
              <w:spacing w:after="0"/>
              <w:rPr>
                <w:sz w:val="15"/>
                <w:szCs w:val="15"/>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w:t>
            </w:r>
          </w:p>
        </w:tc>
        <w:tc>
          <w:tcPr>
            <w:tcW w:w="7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425,948</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273,052</w:t>
            </w:r>
          </w:p>
        </w:tc>
        <w:tc>
          <w:tcPr>
            <w:tcW w:w="1000" w:type="dxa"/>
            <w:vAlign w:val="bottom"/>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216,149</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color w:val="auto"/>
              </w:rPr>
              <w:t>Working capital(2)</w:t>
            </w:r>
          </w:p>
        </w:tc>
        <w:tc>
          <w:tcPr>
            <w:tcW w:w="7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439,464</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642,615</w:t>
            </w:r>
          </w:p>
        </w:tc>
        <w:tc>
          <w:tcPr>
            <w:tcW w:w="1000" w:type="dxa"/>
            <w:vAlign w:val="bottom"/>
          </w:tcPr>
          <w:p>
            <w:pPr>
              <w:jc w:val="right"/>
              <w:ind w:right="16"/>
              <w:spacing w:after="0" w:line="176" w:lineRule="exact"/>
              <w:rPr>
                <w:sz w:val="20"/>
                <w:szCs w:val="20"/>
                <w:color w:val="auto"/>
              </w:rPr>
            </w:pPr>
            <w:r>
              <w:rPr>
                <w:rFonts w:ascii="Arial" w:cs="Arial" w:eastAsia="Arial" w:hAnsi="Arial"/>
                <w:sz w:val="18"/>
                <w:szCs w:val="18"/>
                <w:color w:val="auto"/>
              </w:rPr>
              <w:t>191,913</w:t>
            </w:r>
          </w:p>
        </w:tc>
        <w:tc>
          <w:tcPr>
            <w:tcW w:w="140" w:type="dxa"/>
            <w:vAlign w:val="bottom"/>
          </w:tcPr>
          <w:p>
            <w:pPr>
              <w:spacing w:after="0"/>
              <w:rPr>
                <w:sz w:val="15"/>
                <w:szCs w:val="15"/>
                <w:color w:val="auto"/>
              </w:rPr>
            </w:pPr>
          </w:p>
        </w:tc>
        <w:tc>
          <w:tcPr>
            <w:tcW w:w="760" w:type="dxa"/>
            <w:vAlign w:val="bottom"/>
          </w:tcPr>
          <w:p>
            <w:pPr>
              <w:jc w:val="right"/>
              <w:ind w:right="12"/>
              <w:spacing w:after="0" w:line="176" w:lineRule="exact"/>
              <w:rPr>
                <w:sz w:val="20"/>
                <w:szCs w:val="20"/>
                <w:color w:val="auto"/>
              </w:rPr>
            </w:pPr>
            <w:r>
              <w:rPr>
                <w:rFonts w:ascii="Arial" w:cs="Arial" w:eastAsia="Arial" w:hAnsi="Arial"/>
                <w:sz w:val="18"/>
                <w:szCs w:val="18"/>
                <w:color w:val="auto"/>
                <w:w w:val="98"/>
              </w:rPr>
              <w:t>151,776</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41,510</w:t>
            </w:r>
          </w:p>
        </w:tc>
        <w:tc>
          <w:tcPr>
            <w:tcW w:w="40" w:type="dxa"/>
            <w:vAlign w:val="bottom"/>
          </w:tcPr>
          <w:p>
            <w:pPr>
              <w:spacing w:after="0"/>
              <w:rPr>
                <w:sz w:val="15"/>
                <w:szCs w:val="15"/>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540,124</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715,737</w:t>
            </w:r>
          </w:p>
        </w:tc>
        <w:tc>
          <w:tcPr>
            <w:tcW w:w="1000" w:type="dxa"/>
            <w:vAlign w:val="bottom"/>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282,795</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w w:val="98"/>
              </w:rPr>
              <w:t>178,898</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49,925</w:t>
            </w:r>
          </w:p>
        </w:tc>
        <w:tc>
          <w:tcPr>
            <w:tcW w:w="40" w:type="dxa"/>
            <w:vAlign w:val="bottom"/>
            <w:shd w:val="clear" w:color="auto" w:fill="CCEEFF"/>
          </w:tcPr>
          <w:p>
            <w:pPr>
              <w:spacing w:after="0"/>
              <w:rPr>
                <w:sz w:val="15"/>
                <w:szCs w:val="15"/>
                <w:color w:val="auto"/>
              </w:rPr>
            </w:pP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color w:val="auto"/>
              </w:rPr>
              <w:t>Deferred revenue</w:t>
            </w:r>
          </w:p>
        </w:tc>
        <w:tc>
          <w:tcPr>
            <w:tcW w:w="7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46,167</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35,373</w:t>
            </w:r>
          </w:p>
        </w:tc>
        <w:tc>
          <w:tcPr>
            <w:tcW w:w="1000" w:type="dxa"/>
            <w:vAlign w:val="bottom"/>
          </w:tcPr>
          <w:p>
            <w:pPr>
              <w:jc w:val="right"/>
              <w:ind w:right="16"/>
              <w:spacing w:after="0" w:line="176" w:lineRule="exact"/>
              <w:rPr>
                <w:sz w:val="20"/>
                <w:szCs w:val="20"/>
                <w:color w:val="auto"/>
              </w:rPr>
            </w:pPr>
            <w:r>
              <w:rPr>
                <w:rFonts w:ascii="Arial" w:cs="Arial" w:eastAsia="Arial" w:hAnsi="Arial"/>
                <w:sz w:val="18"/>
                <w:szCs w:val="18"/>
                <w:color w:val="auto"/>
              </w:rPr>
              <w:t>47,235</w:t>
            </w:r>
          </w:p>
        </w:tc>
        <w:tc>
          <w:tcPr>
            <w:tcW w:w="140" w:type="dxa"/>
            <w:vAlign w:val="bottom"/>
          </w:tcPr>
          <w:p>
            <w:pPr>
              <w:spacing w:after="0"/>
              <w:rPr>
                <w:sz w:val="15"/>
                <w:szCs w:val="15"/>
                <w:color w:val="auto"/>
              </w:rPr>
            </w:pPr>
          </w:p>
        </w:tc>
        <w:tc>
          <w:tcPr>
            <w:tcW w:w="76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13,640</w:t>
            </w: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Term loan payable</w:t>
            </w:r>
          </w:p>
        </w:tc>
        <w:tc>
          <w:tcPr>
            <w:tcW w:w="7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1,518</w:t>
            </w:r>
          </w:p>
        </w:tc>
        <w:tc>
          <w:tcPr>
            <w:tcW w:w="1000" w:type="dxa"/>
            <w:vAlign w:val="bottom"/>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4,069</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7,338</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9,042</w:t>
            </w:r>
          </w:p>
        </w:tc>
        <w:tc>
          <w:tcPr>
            <w:tcW w:w="40" w:type="dxa"/>
            <w:vAlign w:val="bottom"/>
            <w:shd w:val="clear" w:color="auto" w:fill="CCEEFF"/>
          </w:tcPr>
          <w:p>
            <w:pPr>
              <w:spacing w:after="0"/>
              <w:rPr>
                <w:sz w:val="15"/>
                <w:szCs w:val="15"/>
                <w:color w:val="auto"/>
              </w:rPr>
            </w:pP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color w:val="auto"/>
              </w:rPr>
              <w:t>Warrant liability</w:t>
            </w:r>
          </w:p>
        </w:tc>
        <w:tc>
          <w:tcPr>
            <w:tcW w:w="7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365</w:t>
            </w:r>
          </w:p>
        </w:tc>
        <w:tc>
          <w:tcPr>
            <w:tcW w:w="40" w:type="dxa"/>
            <w:vAlign w:val="bottom"/>
          </w:tcPr>
          <w:p>
            <w:pPr>
              <w:spacing w:after="0"/>
              <w:rPr>
                <w:sz w:val="15"/>
                <w:szCs w:val="15"/>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114,811</w:t>
            </w:r>
          </w:p>
        </w:tc>
        <w:tc>
          <w:tcPr>
            <w:tcW w:w="40" w:type="dxa"/>
            <w:vAlign w:val="bottom"/>
            <w:shd w:val="clear" w:color="auto" w:fill="CCEEFF"/>
          </w:tcPr>
          <w:p>
            <w:pPr>
              <w:spacing w:after="0"/>
              <w:rPr>
                <w:sz w:val="15"/>
                <w:szCs w:val="15"/>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419,009</w:t>
            </w:r>
          </w:p>
        </w:tc>
        <w:tc>
          <w:tcPr>
            <w:tcW w:w="940" w:type="dxa"/>
            <w:vAlign w:val="bottom"/>
          </w:tcPr>
          <w:p>
            <w:pPr>
              <w:jc w:val="right"/>
              <w:spacing w:after="0"/>
              <w:rPr>
                <w:sz w:val="20"/>
                <w:szCs w:val="20"/>
                <w:color w:val="auto"/>
              </w:rPr>
            </w:pPr>
            <w:r>
              <w:rPr>
                <w:rFonts w:ascii="Arial" w:cs="Arial" w:eastAsia="Arial" w:hAnsi="Arial"/>
                <w:sz w:val="18"/>
                <w:szCs w:val="18"/>
                <w:color w:val="auto"/>
              </w:rPr>
              <w:t>623,970</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213,078</w:t>
            </w: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143,979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4408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36" w:lineRule="exact"/>
        <w:rPr>
          <w:sz w:val="20"/>
          <w:szCs w:val="20"/>
          <w:color w:val="auto"/>
        </w:rPr>
      </w:pPr>
    </w:p>
    <w:p>
      <w:pPr>
        <w:ind w:left="660" w:right="100" w:hanging="333"/>
        <w:spacing w:after="0" w:line="224"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Upon the closing of our IPO in May 2015, all outstanding shares of our convertible preferred stock were converted into 15,467,479 shares of common stock, and warrants exercisable for convertible preferred stock were automatically converted into warrants exercisable for 42,423 shares of common stock.</w:t>
      </w:r>
    </w:p>
    <w:p>
      <w:pPr>
        <w:spacing w:after="0" w:line="170" w:lineRule="exact"/>
        <w:rPr>
          <w:rFonts w:ascii="Arial" w:cs="Arial" w:eastAsia="Arial" w:hAnsi="Arial"/>
          <w:sz w:val="14"/>
          <w:szCs w:val="14"/>
          <w:color w:val="auto"/>
        </w:rPr>
      </w:pPr>
    </w:p>
    <w:p>
      <w:pPr>
        <w:ind w:left="660" w:hanging="333"/>
        <w:spacing w:after="0"/>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w:t>
      </w:r>
    </w:p>
    <w:p>
      <w:pPr>
        <w:spacing w:after="0" w:line="162" w:lineRule="exact"/>
        <w:rPr>
          <w:sz w:val="20"/>
          <w:szCs w:val="20"/>
          <w:color w:val="auto"/>
        </w:rPr>
      </w:pPr>
    </w:p>
    <w:p>
      <w:pPr>
        <w:ind w:right="340" w:firstLine="648"/>
        <w:spacing w:after="0" w:line="237" w:lineRule="auto"/>
        <w:rPr>
          <w:sz w:val="20"/>
          <w:szCs w:val="20"/>
          <w:color w:val="auto"/>
        </w:rPr>
      </w:pPr>
      <w:r>
        <w:rPr>
          <w:rFonts w:ascii="Arial" w:cs="Arial" w:eastAsia="Arial" w:hAnsi="Arial"/>
          <w:sz w:val="16"/>
          <w:szCs w:val="16"/>
          <w:color w:val="auto"/>
        </w:rPr>
        <w:t>Our most advanced drug candidates are avapritinib, BLU-667, BLU-554 and BLU-782. Our lead drug candidate, 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are currently evaluating avapritinib for the treatment of GIST in an ongoing Phase 1 clinical trial in advanced GIST, which we refer to</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20"/>
          </w:cols>
          <w:pgMar w:left="1420" w:top="95" w:right="135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our NAVIGATOR trial, and an ongoing global, randomized Phase 3 clinical trial comparing avapritinib to regorafenib in third-line GIST, which we refer to as our VOYAGER trial. We have completed enrollment of the NAVIGATOR trial, and we plan to present additional data from this trial in the second quarter of 2019. We expect to complete enrollment of the VOYAGER trial in the second half of 2019. We plan to initiate a Phase 3 precision medicine trial in second-line GIST in the second half of 2019, which we refer to as our COMPASS-2L trial. In addition, we plan to submit a new drug application, or NDA, for avapritinib for the treatment of PDGFRA Exon 18 mutant GIST and fourth-line GIST in the second quarter of 2019, and we plan to submit a supplemental NDA for the treatment of third-line GIST in 2020. We are currently evaluating avapritinib for the treatment of SM in an ongoing Phase 1 clinical trial in advanced SM, which we refer to as our EXPLORER trial, an ongoing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in advanced SM, which we refer to as our PATHFINDER trial, and an ongoing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in indolent and smoldering SM, which we refer to as our PIONEER trial. We plan to present updated data from the EXPLORER trial in advanced SM in the second quarter of 2019, and we plan to present initial data from the PIONEER trial in indolent and smoldering SM in the second half of 2019. We expect to complete enrollment of the PATHFINDER trial in the second half of 2019. We plan to submit an NDA for advanced SM in 2020. The U.S. Food and Drug Administration, or FDA, has granted orphan drug designation to avapritinib for the treatment of GIST and the treatment of mastocytosis, and the European Commission has granted orphan medicinal product designation to avapritinib for the treatment of GIST and the treatment of mastocytosis. 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 and to avapritinib for the treatment of advanced SM, including the subtypes of aggressive SM, SM with an associated hematologic neoplasm and mast cell leukemia.</w:t>
      </w:r>
    </w:p>
    <w:p>
      <w:pPr>
        <w:spacing w:after="0" w:line="215"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BLU-667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 We are currently evaluating BLU-667 in an ongoing Phase 1 clinical trial in patients with RET-altered NSCLC, MTC and other advanced solid tumors, which we refer to as our ARROW trial. We expect to complete enrollment of the previously treated NSCLC and MTC cohorts in the ARROW trial in the second quarter of 2019. In addition, we plan to present updated data from the ongoing ARROW trial in the second quarter of 2019. We plan to submit an NDA for BLU-667 in the first half of 2020 based on additional data from the ongoing ARROW trial and currently expect the NDA submission will be for separate potential indications: (1) patients with RET-fusion positive NSCLC who have progressed following prior systemic therapy and (2) patients with RET-mutant MTC who have progressed following treatment with a tyrosine kinase inhibitor, or TKI. In addition, in the second half of 2019, we plan to initiate a Phase 3 clinical trial evaluating BLU-667 in first-line RET-altered NSCLC and plan to initiate a Phase 2 clinical trial evaluating BLU-667 in combination with osimertinib in treatment-resistant, EGFR-mutant NSCLC harboring an acquired RET alteration. The FDA has granted orphan drug designation to BLU-667 for the treatment of RET-rearranged NSCLC, JAK1/2-positive NSCLC or TRKC-positive NSCLC, and the FDA has granted breakthrough therapy designation to BLU-667 for the treatment of patients with RET mutation-positive MTC that requires systemic treatment and for which there are no acceptable alternative treatments.</w:t>
      </w:r>
    </w:p>
    <w:p>
      <w:pPr>
        <w:spacing w:after="0" w:line="17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We and CStone Pharmaceuticals, or CStone, plan to expand our ongoing Phase 1 clinical trial of BLU-554 to include clinical sites in Mainland China by the middle of 2019. In addition, we and CStone plan to initiate a proof-of-concept clinical trial in the second half of 2019 in the CStone territory evaluating BLU-554 in combination with CS1001, a clinical stage anti-programmed death ligand-1 immunotherapy being developed by CStone, as a first-line therapy for the treatment of patients with HCC. The FDA has granted orphan drug designation to BLU-554 for the treatment of HCC.</w:t>
      </w:r>
    </w:p>
    <w:p>
      <w:pPr>
        <w:spacing w:after="0" w:line="167"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BLU-782 is an orally available, potent and highly selective inhibitor that targets mutant activin-like kinase 2, or ALK2. We are developing BLU-782 for the treatment of fibrodysplasia ossificans progressiva, or FOP, a rare, severely disabling genetic disease caused by mutations in the ALK2 gene, ACVR1. FOP is characterized by progressive heterotopic ossification, which is the abnormal transformation of muscle, ligaments and tendons into bone. Heterotopic</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ossification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Currently, there are no approved therapies for FOP. We initiated a Phase 1 clinical trial in healthy volunteers in the first quarter of 2019, and we plan to initiate a Phase 2 clinical trial evaluating BLU-782 in patients with FOP in the first half of 2020. The FDA has granted fast track designation to BLU-782 for the treatment of fibrodysplasia ossificans progressiva.</w:t>
      </w:r>
    </w:p>
    <w:p>
      <w:pPr>
        <w:spacing w:after="0" w:line="165"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for undisclosed kinase targets, and we anticipate nominating at least one additional wholly-owned discovery program in 2019.</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In addition, we entered into collaborations with F. Hoffmann La Roche Ltd and Hoffmann La Roche Inc., which we collectively refer to as Roche, and CStone in March 2016 and June 2018, respectively. Under our collaboration agreement with Roche, we are seeking to discover, develop and commercialize up to five small molecule therapeutics targeting kinases believed to be important in cancer immunotherapy, as single products or possibly in combination with other therapeutics. Under our collaboration agreement with CStone, we are seeking to develop and commercialize BLU-554, avapritinib and BLU-667, including back-up forms and certain other forms, in Mainland China, Hong Kong, Macau and Taiwan, or the CStone territory, either as a monotherapy or as part of a combination therapy.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4"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We currently have worldwide development and commercialization rights to avapritinib, BLU-667 and BLU-554 other than the rights licensed to CStone in the CStone territory. We currently have worldwide development and commercialization rights to BLU-782 and all of our discovery programs other than the discovery-stage programs under the Roche collaboration.</w:t>
      </w:r>
    </w:p>
    <w:p>
      <w:pPr>
        <w:spacing w:after="0" w:line="163"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stock, collaborations and a debt financing. Through December 31, 2018,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6"/>
          <w:szCs w:val="16"/>
          <w:color w:val="auto"/>
        </w:rPr>
        <w:t>‑</w:t>
      </w:r>
      <w:r>
        <w:rPr>
          <w:rFonts w:ascii="Arial" w:cs="Arial" w:eastAsia="Arial" w:hAnsi="Arial"/>
          <w:sz w:val="16"/>
          <w:szCs w:val="16"/>
          <w:color w:val="auto"/>
        </w:rPr>
        <w:t>on public offerings, $115.1 million in gross proceeds from the issuance of convertible preferred stock, $18.8 million of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w:t>
      </w:r>
    </w:p>
    <w:p>
      <w:pPr>
        <w:spacing w:after="0" w:line="16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Since inception, we have incurred significant operating losses. Our net losses were $236.6 million, $148.1 million and $72.5 million for the years ended December 31, 2018, 2017 and 2016. As of December 31, 2018, we had an accumulated deficit of $597.5 million. We expect to continue to incur significant expenses and operating losses over the next several years. We anticipate that our expenses will increase significantly in connection with our ongoing activities, particularly as we:</w:t>
      </w:r>
    </w:p>
    <w:p>
      <w:pPr>
        <w:spacing w:after="0" w:line="155" w:lineRule="exact"/>
        <w:rPr>
          <w:sz w:val="20"/>
          <w:szCs w:val="20"/>
          <w:color w:val="auto"/>
        </w:rPr>
      </w:pPr>
    </w:p>
    <w:p>
      <w:pPr>
        <w:ind w:left="1300" w:right="120" w:hanging="325"/>
        <w:spacing w:after="0" w:line="258"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continue to advance and initiate clinical development activities for our lead drug candidate, avapritinib, as well as our other most advanced drug candidates, BLU-667, BLU-554 and BLU-782;</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marketing approvals for our drug candidates that successfully complete clinical trials;</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1300" w:right="200" w:hanging="325"/>
        <w:spacing w:after="0" w:line="235"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for any potential commercialization;</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current or future drug candidates;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184" w:lineRule="exact"/>
        <w:rPr>
          <w:rFonts w:ascii="Arial" w:cs="Arial" w:eastAsia="Arial" w:hAnsi="Arial"/>
          <w:sz w:val="18"/>
          <w:szCs w:val="18"/>
          <w:color w:val="auto"/>
        </w:rPr>
      </w:pPr>
    </w:p>
    <w:p>
      <w:pPr>
        <w:ind w:left="1300" w:right="800" w:hanging="325"/>
        <w:spacing w:after="0" w:line="235"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To date, we have not generated any revenue from drug sales. Our revenue consists of collaboration revenue under our former collaboration with Alexion, which was terminated in October 2017, and our existing collaborations with Roche and CStone, including amounts that are recognized related to upfront payments, milestone payments and amounts due to us for research and development services. In the future, revenue may include revenues related to the supply of our drug candidates or products to CStone for development and commercialization activities in the CStone territory and additional milestone payments and royalties on any net product sales under our collaborations with Roche and CStone. We do not expect to generate any revenue from the sale of avapritinib until 2020, assuming we are able to file for regulatory approval for avapritinib in the United States in the second quarter of 2019 and receive marketing approval by 2020. We expect that any revenue we generate will fluctuate from quarter to quarter as a result of the timing and amount of product sales, if any, license fees, research and development services and related reimbursements, payments for manufacturing services, and milestone and other payments.</w:t>
      </w:r>
    </w:p>
    <w:p>
      <w:pPr>
        <w:spacing w:after="0" w:line="167"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In the future, subject to obtaining marketing approval for one or more of our drug candidates, we expect to generate revenue from a combination of product sales, royalties on product sales and cost reimbursements, as well as upfront, milestone and royalty payments, if any, under any current or future collaborations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6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25"/>
        <w:spacing w:after="0" w:line="207" w:lineRule="exact"/>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300" w:right="500" w:hanging="325"/>
        <w:spacing w:after="0" w:line="23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184"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400" w:hanging="325"/>
        <w:spacing w:after="0" w:line="22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hanging="325"/>
        <w:spacing w:after="0" w:line="207" w:lineRule="exact"/>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300" w:right="1060" w:hanging="325"/>
        <w:spacing w:after="0" w:line="203" w:lineRule="exact"/>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1"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expenses are 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stock-based compensation expense. Except for internal research and development expenses related to collaboration agreements, we do not track our internal research and development 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7"/>
          <w:szCs w:val="17"/>
          <w:color w:val="auto"/>
        </w:rPr>
        <w:t>The following table summarizes our external research and development expenses by program for the years ended December 31, 2018, 2017 and 2016. Other development and pre</w:t>
      </w:r>
      <w:r>
        <w:rPr>
          <w:rFonts w:ascii="MS PGothic" w:cs="MS PGothic" w:eastAsia="MS PGothic" w:hAnsi="MS PGothic"/>
          <w:sz w:val="17"/>
          <w:szCs w:val="17"/>
          <w:color w:val="auto"/>
        </w:rPr>
        <w:t>‑</w:t>
      </w:r>
      <w:r>
        <w:rPr>
          <w:rFonts w:ascii="Arial" w:cs="Arial" w:eastAsia="Arial" w:hAnsi="Arial"/>
          <w:sz w:val="17"/>
          <w:szCs w:val="17"/>
          <w:color w:val="auto"/>
        </w:rPr>
        <w:t>development candidate expenses, unallocated expenses and internal research and development expenses have been classified separately.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12"/>
              <w:spacing w:after="0" w:line="129"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74"/>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32"/>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Avapritinib external expenses</w:t>
            </w:r>
          </w:p>
        </w:tc>
        <w:tc>
          <w:tcPr>
            <w:tcW w:w="540" w:type="dxa"/>
            <w:vAlign w:val="bottom"/>
            <w:gridSpan w:val="2"/>
            <w:shd w:val="clear" w:color="auto" w:fill="CCEEFF"/>
          </w:tcPr>
          <w:p>
            <w:pPr>
              <w:jc w:val="right"/>
              <w:ind w:right="185"/>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83,417</w:t>
            </w:r>
          </w:p>
        </w:tc>
        <w:tc>
          <w:tcPr>
            <w:tcW w:w="4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46,851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tcBorders>
              <w:right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176"/>
        </w:trPr>
        <w:tc>
          <w:tcPr>
            <w:tcW w:w="390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10,167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15,078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13,160</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44,099</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13,512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tcBorders>
              <w:right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176"/>
        </w:trPr>
        <w:tc>
          <w:tcPr>
            <w:tcW w:w="3900" w:type="dxa"/>
            <w:vAlign w:val="bottom"/>
          </w:tcPr>
          <w:p>
            <w:pPr>
              <w:spacing w:after="0" w:line="176" w:lineRule="exact"/>
              <w:rPr>
                <w:sz w:val="20"/>
                <w:szCs w:val="20"/>
                <w:color w:val="auto"/>
              </w:rPr>
            </w:pPr>
            <w:r>
              <w:rPr>
                <w:rFonts w:ascii="Arial" w:cs="Arial" w:eastAsia="Arial" w:hAnsi="Arial"/>
                <w:sz w:val="18"/>
                <w:szCs w:val="18"/>
                <w:color w:val="auto"/>
              </w:rPr>
              <w:t>BLU-782 external expenses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9,720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1,114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9"/>
              </w:rPr>
              <w:t>Other development and pre-development candidate</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46,988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32,232</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 and unallocated expenses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Internal research and development expenses</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49,230</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28,151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2"/>
              <w:spacing w:after="0" w:line="176" w:lineRule="exact"/>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243,621</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144,687</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ind w:right="12"/>
              <w:spacing w:after="0" w:line="170" w:lineRule="exact"/>
              <w:rPr>
                <w:sz w:val="20"/>
                <w:szCs w:val="20"/>
                <w:color w:val="auto"/>
              </w:rPr>
            </w:pPr>
            <w:r>
              <w:rPr>
                <w:rFonts w:ascii="Arial" w:cs="Arial" w:eastAsia="Arial" w:hAnsi="Arial"/>
                <w:sz w:val="18"/>
                <w:szCs w:val="18"/>
                <w:color w:val="auto"/>
              </w:rPr>
              <w:t>81,131</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drug product and drug substance manufacturing expenses for current and future clinical trials.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for current and future drug candidates.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in executive, finance, accounting, commercial, business development, information technology, legal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61"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Interest expense consists primarily of interest expense on amounts outstanding under a loan and security agreement that we entered into with Silicon Valley Bank in May 2013 and amortization of debt discount. We made our final loan payment in 2018, and as of December 31, 2018, we had no outstanding principal and interest under the loan and security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20" w:firstLine="693"/>
        <w:spacing w:after="0" w:line="232" w:lineRule="auto"/>
        <w:rPr>
          <w:sz w:val="20"/>
          <w:szCs w:val="20"/>
          <w:color w:val="auto"/>
        </w:rPr>
      </w:pPr>
      <w:r>
        <w:rPr>
          <w:rFonts w:ascii="Arial" w:cs="Arial" w:eastAsia="Arial" w:hAnsi="Arial"/>
          <w:sz w:val="16"/>
          <w:szCs w:val="16"/>
          <w:color w:val="auto"/>
        </w:rPr>
        <w:t xml:space="preserve">Effective January 1, 2018, we adopted Accounting Standards Codification, or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which we refer to as ASC 606, using the modified retrospective transition method.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only applied the modified retrospective transition method to contracts that were not completed as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We enter into licensing agreements that are within the scope of ASC 606, under which we may exclusively license rights to research, develop, manufacture and commercialize our product candidates to third parties. The terms of these arrangements typically include payment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our agreements,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w:t>
      </w:r>
    </w:p>
    <w:p>
      <w:pPr>
        <w:ind w:firstLine="3"/>
        <w:spacing w:after="0" w:line="225" w:lineRule="auto"/>
        <w:tabs>
          <w:tab w:leader="none" w:pos="3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above; and (c) the stand-alone selling price for each performance obligation identified in the contract for the allocation of transaction price in step (iv) above. We use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w:t>
      </w:r>
    </w:p>
    <w:p>
      <w:pPr>
        <w:spacing w:after="0" w:line="162"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i w:val="1"/>
          <w:iCs w:val="1"/>
          <w:color w:val="auto"/>
        </w:rPr>
        <w:t xml:space="preserve">Exclusive Licenses. </w:t>
      </w:r>
      <w:r>
        <w:rPr>
          <w:rFonts w:ascii="Arial" w:cs="Arial" w:eastAsia="Arial" w:hAnsi="Arial"/>
          <w:sz w:val="17"/>
          <w:szCs w:val="17"/>
          <w:color w:val="auto"/>
        </w:rPr>
        <w:t>If the license to our intellectual property is determined to be distinct from the other promises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identified in the arrangement, we recognize revenue from non-refundable, upfront fees allocated to the license when the license is transferred to the customer and the customer is able to use and benefit from the license. In assessing whether a promise or performance obligation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7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i w:val="1"/>
          <w:iCs w:val="1"/>
          <w:color w:val="auto"/>
        </w:rPr>
        <w:t xml:space="preserve">Research and Development Services. </w:t>
      </w:r>
      <w:r>
        <w:rPr>
          <w:rFonts w:ascii="Arial" w:cs="Arial" w:eastAsia="Arial" w:hAnsi="Arial"/>
          <w:sz w:val="17"/>
          <w:szCs w:val="17"/>
          <w:color w:val="auto"/>
        </w:rPr>
        <w:t>The promises under our collaboration agreements may include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services to be performed by our employees on behalf of the partner. Payments or reimbursements resulting from our research and development efforts are recognized as the services are performed and presented on a gross basis because we are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research or development milestone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upon first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milestone payments based on a level of sales,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62"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i w:val="1"/>
          <w:iCs w:val="1"/>
          <w:color w:val="auto"/>
        </w:rPr>
        <w:t xml:space="preserve">Collaborative Arrangements. </w:t>
      </w:r>
      <w:r>
        <w:rPr>
          <w:rFonts w:ascii="Arial" w:cs="Arial" w:eastAsia="Arial" w:hAnsi="Arial"/>
          <w:sz w:val="16"/>
          <w:szCs w:val="16"/>
          <w:color w:val="auto"/>
        </w:rPr>
        <w:t>We analyze our collaboration arrangements to assess whether such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involve joint operating activities performed by parties that are both active participants in the activities and exposed to significant risks and rewards dependent on the commercial success of such activities and therefore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which we refer to as ASC 808. This assessment is performed throughout the life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w:t>
      </w:r>
    </w:p>
    <w:p>
      <w:pPr>
        <w:spacing w:after="0" w:line="1" w:lineRule="exact"/>
        <w:rPr>
          <w:sz w:val="20"/>
          <w:szCs w:val="20"/>
          <w:color w:val="auto"/>
        </w:rPr>
      </w:pPr>
    </w:p>
    <w:p>
      <w:pPr>
        <w:ind w:right="140" w:firstLine="3"/>
        <w:spacing w:after="0" w:line="242" w:lineRule="auto"/>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Amounts that are owed to collaboration partners are recognized as an offset to collaboration revenues as such amounts are incurred by the collaboration partner. Where amounts owed to a collaboration partner exceed our collaboration revenues in each quarterly period, such amounts are classified as research and development expense. For those elements of the arrangement that are accounted for pursuant to ASC 606, we apply the five-step model described above under ASC 606.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68"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8"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we consider all available evidence to evaluate the extent to which the decline is “other-than-temporary” and, if so, mark the investment to market through a charge to our consolidated statement of operations and comprehensive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6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xml:space="preserve">We account for stock-based compensation awards in accordance with ASC 718, </w:t>
      </w:r>
      <w:r>
        <w:rPr>
          <w:rFonts w:ascii="Arial" w:cs="Arial" w:eastAsia="Arial" w:hAnsi="Arial"/>
          <w:sz w:val="18"/>
          <w:szCs w:val="18"/>
          <w:i w:val="1"/>
          <w:iCs w:val="1"/>
          <w:color w:val="auto"/>
        </w:rPr>
        <w:t>Compensation –Stock</w:t>
      </w:r>
    </w:p>
    <w:p>
      <w:pPr>
        <w:jc w:val="center"/>
        <w:ind w:right="440"/>
        <w:spacing w:after="0"/>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or ASC 718. We expense the fair value of stock awards granted to employees and members of the board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9"/>
        <w:spacing w:after="0" w:line="184" w:lineRule="exact"/>
        <w:rPr>
          <w:sz w:val="20"/>
          <w:szCs w:val="20"/>
          <w:color w:val="auto"/>
        </w:rPr>
      </w:pPr>
      <w:r>
        <w:rPr>
          <w:rFonts w:ascii="Arial" w:cs="Arial" w:eastAsia="Arial" w:hAnsi="Arial"/>
          <w:sz w:val="16"/>
          <w:szCs w:val="16"/>
          <w:color w:val="auto"/>
        </w:rPr>
        <w:t xml:space="preserve">of directors over the requisite service period, which is typically the vesting period. Prior to 2017, expense was recognized net of estimated forfeitures and adjusted to reflect actual forfeitures. Effective January 1, 2017, upon adoption of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under the modified retrospective approach, we began recognizing gross stock compensation expense with actual forfeitures recognized as they occur. Compensation cost for restricted stock awards issued to employees is measured using the grant date intrinsic value of the award and is adjusted to reflect actual forfeitures. We estimate the fair value of options granted to employees at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requires management to apply judgment and make estimates, including:</w:t>
      </w:r>
    </w:p>
    <w:p>
      <w:pPr>
        <w:spacing w:after="0" w:line="163" w:lineRule="exact"/>
        <w:rPr>
          <w:sz w:val="20"/>
          <w:szCs w:val="20"/>
          <w:color w:val="auto"/>
        </w:rPr>
      </w:pPr>
    </w:p>
    <w:p>
      <w:pPr>
        <w:ind w:left="1300" w:right="59" w:hanging="325"/>
        <w:spacing w:after="0" w:line="237"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expected volatility, which is calculated based on reported volatility data for a representative group of publicly traded companies for which historical information is available. For these analyses, we select companies with comparable characteristics to ours including enterprise value, risk profiles,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intend to consistently apply this process using representative companies until a sufficient amount of historical information regarding the volatility of our own share price becomes available;</w:t>
      </w:r>
    </w:p>
    <w:p>
      <w:pPr>
        <w:spacing w:after="0" w:line="167" w:lineRule="exact"/>
        <w:rPr>
          <w:rFonts w:ascii="Arial" w:cs="Arial" w:eastAsia="Arial" w:hAnsi="Arial"/>
          <w:sz w:val="16"/>
          <w:szCs w:val="16"/>
          <w:color w:val="auto"/>
        </w:rPr>
      </w:pPr>
    </w:p>
    <w:p>
      <w:pPr>
        <w:ind w:left="1300" w:right="659" w:hanging="325"/>
        <w:spacing w:after="0" w:line="203" w:lineRule="exact"/>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term assumption;</w:t>
      </w:r>
    </w:p>
    <w:p>
      <w:pPr>
        <w:spacing w:after="0" w:line="161" w:lineRule="exact"/>
        <w:rPr>
          <w:rFonts w:ascii="Arial" w:cs="Arial" w:eastAsia="Arial" w:hAnsi="Arial"/>
          <w:sz w:val="18"/>
          <w:szCs w:val="18"/>
          <w:color w:val="auto"/>
        </w:rPr>
      </w:pPr>
    </w:p>
    <w:p>
      <w:pPr>
        <w:ind w:left="1300" w:right="19" w:hanging="325"/>
        <w:spacing w:after="0" w:line="187" w:lineRule="exact"/>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expected term, which we calculate using the simplified method, as prescribed by the Securities and Exchange Commission Staff Accounting Bulletin No. 107, </w:t>
      </w:r>
      <w:r>
        <w:rPr>
          <w:rFonts w:ascii="Arial" w:cs="Arial" w:eastAsia="Arial" w:hAnsi="Arial"/>
          <w:sz w:val="16"/>
          <w:szCs w:val="16"/>
          <w:i w:val="1"/>
          <w:iCs w:val="1"/>
          <w:color w:val="auto"/>
        </w:rPr>
        <w:t>Share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Payment,</w:t>
      </w:r>
      <w:r>
        <w:rPr>
          <w:rFonts w:ascii="Arial" w:cs="Arial" w:eastAsia="Arial" w:hAnsi="Arial"/>
          <w:sz w:val="16"/>
          <w:szCs w:val="16"/>
          <w:color w:val="auto"/>
        </w:rPr>
        <w:t xml:space="preserve"> as we have insufficient historical information regarding our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w:t>
      </w:r>
    </w:p>
    <w:p>
      <w:pPr>
        <w:spacing w:after="0" w:line="162" w:lineRule="exact"/>
        <w:rPr>
          <w:rFonts w:ascii="Arial" w:cs="Arial" w:eastAsia="Arial" w:hAnsi="Arial"/>
          <w:sz w:val="16"/>
          <w:szCs w:val="16"/>
          <w:color w:val="auto"/>
        </w:rPr>
      </w:pPr>
    </w:p>
    <w:p>
      <w:pPr>
        <w:ind w:left="1300" w:right="99" w:hanging="325"/>
        <w:spacing w:after="0" w:line="235"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we never paid cash dividends and do not expect to pay any cash dividends in the foreseeable future.</w:t>
      </w:r>
    </w:p>
    <w:p>
      <w:pPr>
        <w:spacing w:after="0" w:line="162" w:lineRule="exact"/>
        <w:rPr>
          <w:sz w:val="20"/>
          <w:szCs w:val="20"/>
          <w:color w:val="auto"/>
        </w:rPr>
      </w:pPr>
    </w:p>
    <w:p>
      <w:pPr>
        <w:ind w:right="79" w:firstLine="693"/>
        <w:spacing w:after="0" w:line="18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awards issued to non</w:t>
      </w:r>
      <w:r>
        <w:rPr>
          <w:rFonts w:ascii="MS PGothic" w:cs="MS PGothic" w:eastAsia="MS PGothic" w:hAnsi="MS PGothic"/>
          <w:sz w:val="18"/>
          <w:szCs w:val="18"/>
          <w:color w:val="auto"/>
        </w:rPr>
        <w:t>‑</w:t>
      </w:r>
      <w:r>
        <w:rPr>
          <w:rFonts w:ascii="Arial" w:cs="Arial" w:eastAsia="Arial" w:hAnsi="Arial"/>
          <w:sz w:val="18"/>
          <w:szCs w:val="18"/>
          <w:color w:val="auto"/>
        </w:rPr>
        <w:t>employees, including directors for non</w:t>
      </w:r>
      <w:r>
        <w:rPr>
          <w:rFonts w:ascii="MS PGothic" w:cs="MS PGothic" w:eastAsia="MS PGothic" w:hAnsi="MS PGothic"/>
          <w:sz w:val="18"/>
          <w:szCs w:val="18"/>
          <w:color w:val="auto"/>
        </w:rPr>
        <w:t>‑</w:t>
      </w:r>
      <w:r>
        <w:rPr>
          <w:rFonts w:ascii="Arial" w:cs="Arial" w:eastAsia="Arial" w:hAnsi="Arial"/>
          <w:sz w:val="18"/>
          <w:szCs w:val="18"/>
          <w:color w:val="auto"/>
        </w:rPr>
        <w:t>board</w:t>
      </w:r>
      <w:r>
        <w:rPr>
          <w:rFonts w:ascii="MS PGothic" w:cs="MS PGothic" w:eastAsia="MS PGothic" w:hAnsi="MS PGothic"/>
          <w:sz w:val="18"/>
          <w:szCs w:val="18"/>
          <w:color w:val="auto"/>
        </w:rPr>
        <w:t>‑</w:t>
      </w:r>
      <w:r>
        <w:rPr>
          <w:rFonts w:ascii="Arial" w:cs="Arial" w:eastAsia="Arial" w:hAnsi="Arial"/>
          <w:sz w:val="18"/>
          <w:szCs w:val="18"/>
          <w:color w:val="auto"/>
        </w:rPr>
        <w:t>related services, are accounted for based on the fair value of such services received or of the intrinsic value of equity instruments issued, whichever is more reliably measured. The measurement date for non-employee awards is the date of grant without changes in the fair value of the award. Stock</w:t>
      </w:r>
      <w:r>
        <w:rPr>
          <w:rFonts w:ascii="MS PGothic" w:cs="MS PGothic" w:eastAsia="MS PGothic" w:hAnsi="MS PGothic"/>
          <w:sz w:val="18"/>
          <w:szCs w:val="18"/>
          <w:color w:val="auto"/>
        </w:rPr>
        <w:t>‑</w:t>
      </w:r>
      <w:r>
        <w:rPr>
          <w:rFonts w:ascii="Arial" w:cs="Arial" w:eastAsia="Arial" w:hAnsi="Arial"/>
          <w:sz w:val="18"/>
          <w:szCs w:val="18"/>
          <w:color w:val="auto"/>
        </w:rPr>
        <w:t>based awards subject to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are expensed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purchase price of common stock under our 2015 employee stock purchase plan, or 2015 ESPP, is equal</w:t>
      </w:r>
    </w:p>
    <w:p>
      <w:pPr>
        <w:jc w:val="both"/>
        <w:ind w:right="59"/>
        <w:spacing w:after="0" w:line="242" w:lineRule="auto"/>
        <w:rPr>
          <w:sz w:val="20"/>
          <w:szCs w:val="20"/>
          <w:color w:val="auto"/>
        </w:rPr>
      </w:pPr>
      <w:r>
        <w:rPr>
          <w:rFonts w:ascii="Arial" w:cs="Arial" w:eastAsia="Arial" w:hAnsi="Arial"/>
          <w:sz w:val="16"/>
          <w:szCs w:val="16"/>
          <w:color w:val="auto"/>
        </w:rPr>
        <w:t>to 85% of the lesser of (i) the fair market value per share of the common stock on the first business day of an offering period and (ii) the fair market value per share of the common stock on the purchase date. The fair value of the discounted purchases made under our 2015 ESPP is calculated using the Black-Scholes valuation model. The fair value of the look-back provision plus the 15% discount is recognized as compensation expense over the 180-day purchase period.</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2018 and 2017, together with the changes in those items in dollars and as a percentage: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3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44,521</w:t>
            </w:r>
          </w:p>
        </w:tc>
        <w:tc>
          <w:tcPr>
            <w:tcW w:w="3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21,426</w:t>
            </w:r>
          </w:p>
        </w:tc>
        <w:tc>
          <w:tcPr>
            <w:tcW w:w="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23,095</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243,621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144,687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98,934</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47,928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27,986</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19,942</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291,549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172,673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118,876</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10,459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7,110</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13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10,386</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3,128</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7,258</w:t>
            </w:r>
          </w:p>
        </w:tc>
        <w:tc>
          <w:tcPr>
            <w:tcW w:w="1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(236,642)</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(148,119)</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(88,523)</w:t>
            </w:r>
          </w:p>
        </w:tc>
        <w:tc>
          <w:tcPr>
            <w:tcW w:w="16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60</w:t>
            </w:r>
          </w:p>
        </w:tc>
        <w:tc>
          <w:tcPr>
            <w:tcW w:w="18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Collaboration revenue increased by $23.1 million from $21.4 million for the year ended December 31, 2017 to $44.5 million for the year ended December 31, 2018. Collaboration revenue for the year ended December 31, 2018 was related to the CStone and Roche agreements. Collaboration revenue for the year ended December 31, 2017 was related to the Roche and Alexion agreements. We recorded $4.5 million and $5.2 million in collaboration revenue under the Roche agreement for the years ended December 31, 2018 and December 31, 2017, respectively. The decrease was primarily due to the adoption of ASC 606 on January 1, 2018 and the resulting change in the revenue recognition pattern. We entered into the CStone agreement on June 1, 2018 and recorded collaboration revenue of $40.0 million under the CStone agreement for the year ended December 31, 2018. We recorded collaboration revenue of $16.2 million under the Alexion agreement for the year ended December 31, 2017. As a result of the termination of the agreement during 2017, we did not recognize any revenue under the Alexion agreement for the year ended December 31, 2018.</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Research and development expense increased by $98.9 million from $144.7 million for the year ended December 31, 2017 to $243.6 million for the year ended December 31, 2018. The increase in research and development expense was primarily related to the following:</w:t>
      </w:r>
    </w:p>
    <w:p>
      <w:pPr>
        <w:spacing w:after="0" w:line="163" w:lineRule="exact"/>
        <w:rPr>
          <w:sz w:val="20"/>
          <w:szCs w:val="20"/>
          <w:color w:val="auto"/>
        </w:rPr>
      </w:pPr>
    </w:p>
    <w:p>
      <w:pPr>
        <w:ind w:left="1300" w:right="100" w:hanging="325"/>
        <w:spacing w:after="0" w:line="23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$35.3 million in increased expenses for external clinical activities related to avapritinib and BLU-667;</w:t>
      </w:r>
    </w:p>
    <w:p>
      <w:pPr>
        <w:spacing w:after="0" w:line="161" w:lineRule="exact"/>
        <w:rPr>
          <w:rFonts w:ascii="Arial" w:cs="Arial" w:eastAsia="Arial" w:hAnsi="Arial"/>
          <w:sz w:val="18"/>
          <w:szCs w:val="18"/>
          <w:color w:val="auto"/>
        </w:rPr>
      </w:pPr>
    </w:p>
    <w:p>
      <w:pPr>
        <w:ind w:left="1300" w:right="180" w:hanging="325"/>
        <w:spacing w:after="0" w:line="259"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approximately $27.5 million in increased personnel expense, primarily due to an increase in headcount, which was driven by growth in the clinical and manufacturing organizations as we advance our lead drug candidates, and an increase of $10.7 million in stock-based compensation expense;</w:t>
      </w:r>
    </w:p>
    <w:p>
      <w:pPr>
        <w:spacing w:after="0" w:line="147" w:lineRule="exact"/>
        <w:rPr>
          <w:rFonts w:ascii="Arial" w:cs="Arial" w:eastAsia="Arial" w:hAnsi="Arial"/>
          <w:sz w:val="16"/>
          <w:szCs w:val="16"/>
          <w:color w:val="auto"/>
        </w:rPr>
      </w:pPr>
    </w:p>
    <w:p>
      <w:pPr>
        <w:ind w:left="1300" w:right="80" w:hanging="325"/>
        <w:spacing w:after="0" w:line="23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$27.3 million in increased expenses associated with clinical and commercial manufacturing activities;</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$5.6 million in increased expenses associated with continuing to build our discovery platform and advance our discovery pipeline; and</w:t>
      </w:r>
    </w:p>
    <w:p>
      <w:pPr>
        <w:spacing w:after="0" w:line="16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$2.8 million in increased toxicology studies, including IND-enabling pre-clinical studies related to BLU-782.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General and administrative expense increased by $19.9 million from $28.0 million for the year ended December 31, 2017 to $47.9 million for the year ended December 31, 2018. The increase in general and administrative expense was primarily related to the following:</w:t>
      </w:r>
    </w:p>
    <w:p>
      <w:pPr>
        <w:spacing w:after="0" w:line="163" w:lineRule="exact"/>
        <w:rPr>
          <w:sz w:val="20"/>
          <w:szCs w:val="20"/>
          <w:color w:val="auto"/>
        </w:rPr>
      </w:pPr>
    </w:p>
    <w:p>
      <w:pPr>
        <w:ind w:left="1300" w:right="260" w:hanging="325"/>
        <w:spacing w:after="0" w:line="22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$11.1 million in increased personnel expenses, primarily due to an increase in general and administrative headcount to support our overall growth as a publicly traded company and an increase of $7.3 million in stock-based compensation expense;</w:t>
      </w:r>
    </w:p>
    <w:p>
      <w:pPr>
        <w:spacing w:after="0" w:line="163"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$6.1 million in increased professional fees including pre-commercial planning activities;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$2.1 million in increased facility costs related to our new headquarters in 2018.</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increased by $7.1 million from $3.3 million for the year ended December 31, 2017 to</w:t>
      </w:r>
    </w:p>
    <w:p>
      <w:pPr>
        <w:spacing w:after="0" w:line="215" w:lineRule="auto"/>
        <w:rPr>
          <w:sz w:val="20"/>
          <w:szCs w:val="20"/>
          <w:color w:val="auto"/>
        </w:rPr>
      </w:pPr>
      <w:r>
        <w:rPr>
          <w:rFonts w:ascii="Arial" w:cs="Arial" w:eastAsia="Arial" w:hAnsi="Arial"/>
          <w:sz w:val="17"/>
          <w:szCs w:val="17"/>
          <w:color w:val="auto"/>
        </w:rPr>
        <w:t>$10.5 million for the year ended December 31, 2018. The increase was primarily related to higher average investment</w:t>
      </w:r>
    </w:p>
    <w:p>
      <w:pPr>
        <w:spacing w:after="0"/>
        <w:rPr>
          <w:sz w:val="20"/>
          <w:szCs w:val="20"/>
          <w:color w:val="auto"/>
        </w:rPr>
      </w:pPr>
      <w:r>
        <w:rPr>
          <w:rFonts w:ascii="Arial" w:cs="Arial" w:eastAsia="Arial" w:hAnsi="Arial"/>
          <w:sz w:val="18"/>
          <w:szCs w:val="18"/>
          <w:color w:val="auto"/>
        </w:rPr>
        <w:t>balances and a higher rate of return on investments.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Interest expense decreased by $0.1 million from $0.2 million for the year ended December 31, 2017 to $0.1 million for the year ended December 31, 2018. The decrease was primarily related to a decrease in the average outstanding principle balance under the loan and security agreement with Silicon Valley Bank for the year ended December 31, 2018. We made our final loan payment in 2018, and as of December 31, 2018, we had no outstanding principal and interest under the loan and security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2017 and 2016,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4"/>
                <w:szCs w:val="14"/>
                <w:b w:val="1"/>
                <w:bCs w:val="1"/>
                <w:color w:val="auto"/>
                <w:w w:val="89"/>
              </w:rPr>
              <w:t>(in thousands)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line="176" w:lineRule="exact"/>
              <w:rPr>
                <w:sz w:val="20"/>
                <w:szCs w:val="20"/>
                <w:color w:val="auto"/>
              </w:rPr>
            </w:pPr>
            <w:r>
              <w:rPr>
                <w:rFonts w:ascii="Arial" w:cs="Arial" w:eastAsia="Arial" w:hAnsi="Arial"/>
                <w:sz w:val="18"/>
                <w:szCs w:val="18"/>
                <w:color w:val="auto"/>
              </w:rPr>
              <w:t>Collaboration revenue</w:t>
            </w:r>
          </w:p>
        </w:tc>
        <w:tc>
          <w:tcPr>
            <w:tcW w:w="1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21,426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27,772</w:t>
            </w:r>
          </w:p>
        </w:tc>
        <w:tc>
          <w:tcPr>
            <w:tcW w:w="60" w:type="dxa"/>
            <w:vAlign w:val="bottom"/>
          </w:tcPr>
          <w:p>
            <w:pPr>
              <w:spacing w:after="0"/>
              <w:rPr>
                <w:sz w:val="15"/>
                <w:szCs w:val="15"/>
                <w:color w:val="auto"/>
              </w:rPr>
            </w:pPr>
          </w:p>
        </w:tc>
        <w:tc>
          <w:tcPr>
            <w:tcW w:w="3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(6,346)</w:t>
            </w:r>
          </w:p>
        </w:tc>
        <w:tc>
          <w:tcPr>
            <w:tcW w:w="140" w:type="dxa"/>
            <w:vAlign w:val="bottom"/>
          </w:tcPr>
          <w:p>
            <w:pPr>
              <w:spacing w:after="0"/>
              <w:rPr>
                <w:sz w:val="15"/>
                <w:szCs w:val="15"/>
                <w:color w:val="auto"/>
              </w:rPr>
            </w:pPr>
          </w:p>
        </w:tc>
        <w:tc>
          <w:tcPr>
            <w:tcW w:w="8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144,687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81,131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63,556</w:t>
            </w: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27,986</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19,218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8,768</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line="170" w:lineRule="exact"/>
              <w:rPr>
                <w:sz w:val="20"/>
                <w:szCs w:val="20"/>
                <w:color w:val="auto"/>
              </w:rPr>
            </w:pPr>
            <w:r>
              <w:rPr>
                <w:rFonts w:ascii="Arial" w:cs="Arial" w:eastAsia="Arial" w:hAnsi="Arial"/>
                <w:sz w:val="18"/>
                <w:szCs w:val="18"/>
                <w:color w:val="auto"/>
              </w:rPr>
              <w:t>Total operating expenses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172,673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w w:val="95"/>
              </w:rPr>
              <w:t>100,349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rPr>
              <w:t>72,324</w:t>
            </w: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72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w:t>
            </w: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3,349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551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2,798</w:t>
            </w: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508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other income (expense)</w:t>
            </w:r>
          </w:p>
        </w:tc>
        <w:tc>
          <w:tcPr>
            <w:tcW w:w="1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3,128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3,046</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3,715</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Borders>
              <w:bottom w:val="single" w:sz="8" w:color="CCEEFF"/>
            </w:tcBorders>
            <w:shd w:val="clear" w:color="auto" w:fill="CCEEFF"/>
          </w:tcPr>
          <w:p>
            <w:pPr>
              <w:ind w:left="1300"/>
              <w:spacing w:after="0" w:line="170" w:lineRule="exact"/>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(148,119)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(72,495)</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(75,624)</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Collaboration revenue decreased by $6.3 million from $27.8 million for the year ended December 31, 2016 to $21.4</w:t>
      </w:r>
    </w:p>
    <w:p>
      <w:pPr>
        <w:spacing w:after="0"/>
        <w:rPr>
          <w:sz w:val="20"/>
          <w:szCs w:val="20"/>
          <w:color w:val="auto"/>
        </w:rPr>
      </w:pPr>
      <w:r>
        <w:rPr>
          <w:rFonts w:ascii="Arial" w:cs="Arial" w:eastAsia="Arial" w:hAnsi="Arial"/>
          <w:sz w:val="16"/>
          <w:szCs w:val="16"/>
          <w:color w:val="auto"/>
        </w:rPr>
        <w:t>million for the year ended December 31, 2017. Collaboration revenue for the year ended December 31, 2017 was related to</w:t>
      </w:r>
    </w:p>
    <w:p>
      <w:pPr>
        <w:spacing w:after="0" w:line="215" w:lineRule="auto"/>
        <w:rPr>
          <w:sz w:val="20"/>
          <w:szCs w:val="20"/>
          <w:color w:val="auto"/>
        </w:rPr>
      </w:pPr>
      <w:r>
        <w:rPr>
          <w:rFonts w:ascii="Arial" w:cs="Arial" w:eastAsia="Arial" w:hAnsi="Arial"/>
          <w:sz w:val="17"/>
          <w:szCs w:val="17"/>
          <w:color w:val="auto"/>
        </w:rPr>
        <w:t>the former collaboration with Alexion and the existing collaboration with Roche. We recorded collaboration revenue of</w:t>
      </w:r>
    </w:p>
    <w:p>
      <w:pPr>
        <w:spacing w:after="0" w:line="229" w:lineRule="auto"/>
        <w:rPr>
          <w:sz w:val="20"/>
          <w:szCs w:val="20"/>
          <w:color w:val="auto"/>
        </w:rPr>
      </w:pPr>
      <w:r>
        <w:rPr>
          <w:rFonts w:ascii="Arial" w:cs="Arial" w:eastAsia="Arial" w:hAnsi="Arial"/>
          <w:sz w:val="16"/>
          <w:szCs w:val="16"/>
          <w:color w:val="auto"/>
        </w:rPr>
        <w:t>$16.2 million and $23.3 million under the Alexion collaboration for the years ended December 31, 2017 and December 31,</w:t>
      </w:r>
    </w:p>
    <w:p>
      <w:pPr>
        <w:spacing w:after="0"/>
        <w:rPr>
          <w:sz w:val="20"/>
          <w:szCs w:val="20"/>
          <w:color w:val="auto"/>
        </w:rPr>
      </w:pPr>
      <w:r>
        <w:rPr>
          <w:rFonts w:ascii="Arial" w:cs="Arial" w:eastAsia="Arial" w:hAnsi="Arial"/>
          <w:sz w:val="18"/>
          <w:szCs w:val="18"/>
          <w:color w:val="auto"/>
        </w:rPr>
        <w:t>2016, respectively. Collaboration revenue under our former collaboration with Alexion began in March</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11" w:right="135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2015 upon the execution of the Alexion collaboration agreement. The decrease was primarily due to lower reimbursable research and development expenses as a result of the termination of the agreement and the impact of the recognition of two milestone payments upon achievement included in the year ended December 31, 2016. As a result of the termination of the Alexion collaboration, we recognized the remaining deferred revenue balance related to the upfront payment and non-substantive milestone payment previously received under the collaboration utilizing the proportional performance model over the remaining period of performance, which ended October 24, 2017. We entered into the Roche agreement in March 2016 and recorded $5.2 million and $4.5 million in collaboration revenue under the Roche collaboration for the year ended December 31, 2017 and December 31, 2016,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Research and development expense increased by $63.6 million from $81.1 million for the year ended December 31, 2016 to $144.7 million for the year ended December 31, 2017. The increase in research and development expense was primarily related to the following:</w:t>
      </w:r>
    </w:p>
    <w:p>
      <w:pPr>
        <w:spacing w:after="0" w:line="163" w:lineRule="exact"/>
        <w:rPr>
          <w:sz w:val="20"/>
          <w:szCs w:val="20"/>
          <w:color w:val="auto"/>
        </w:rPr>
      </w:pPr>
    </w:p>
    <w:p>
      <w:pPr>
        <w:ind w:left="1300" w:right="80" w:hanging="325"/>
        <w:spacing w:after="0" w:line="235"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$24.7 million in increased expenses associated with clinical and commercial manufacturing activities;</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$20.3 million in increased expenses for external clinical activities related to avapritinib, BLU-667 and BLU-554, further through Phase 1 clinical trials;</w:t>
      </w:r>
    </w:p>
    <w:p>
      <w:pPr>
        <w:spacing w:after="0" w:line="161" w:lineRule="exact"/>
        <w:rPr>
          <w:rFonts w:ascii="Arial" w:cs="Arial" w:eastAsia="Arial" w:hAnsi="Arial"/>
          <w:sz w:val="18"/>
          <w:szCs w:val="18"/>
          <w:color w:val="auto"/>
        </w:rPr>
      </w:pPr>
    </w:p>
    <w:p>
      <w:pPr>
        <w:jc w:val="both"/>
        <w:ind w:left="1300" w:right="120" w:hanging="325"/>
        <w:spacing w:after="0" w:line="224"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$15.0 million in increased personnel expense primarily due to a 35% increase in headcount and an increase of $3.6 million in stock-based compensation expense, which were driven by growth in the clinical and manufacturing organizations; and</w:t>
      </w:r>
    </w:p>
    <w:p>
      <w:pPr>
        <w:spacing w:after="0" w:line="163"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$0.9 million in increased expenses associated with continuing to build our discovery platform and advance our discovery pipeline.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General and administrative expense increased by $8.8 million from $19.2 million for the year ended December 31, 2016 to $28.0 million for the year ended December 31, 2017. The increase in general and administrative expense was primarily related to the following:</w:t>
      </w:r>
    </w:p>
    <w:p>
      <w:pPr>
        <w:spacing w:after="0" w:line="163" w:lineRule="exact"/>
        <w:rPr>
          <w:sz w:val="20"/>
          <w:szCs w:val="20"/>
          <w:color w:val="auto"/>
        </w:rPr>
      </w:pPr>
    </w:p>
    <w:p>
      <w:pPr>
        <w:ind w:left="1300" w:right="280" w:hanging="325"/>
        <w:spacing w:after="0" w:line="22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$5.1 million in increased personnel expenses due to an increase of 35% in general and administrative headcount to support our overall growth as a publicly traded company and an increase of $2.8 million in stock-based compensation expense; and</w:t>
      </w:r>
    </w:p>
    <w:p>
      <w:pPr>
        <w:spacing w:after="0" w:line="163"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$2.8 million in increased professional fees including market research and public relations costs.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right="160" w:firstLine="648"/>
        <w:spacing w:after="0" w:line="238" w:lineRule="auto"/>
        <w:rPr>
          <w:sz w:val="20"/>
          <w:szCs w:val="20"/>
          <w:color w:val="auto"/>
        </w:rPr>
      </w:pPr>
      <w:r>
        <w:rPr>
          <w:rFonts w:ascii="Arial" w:cs="Arial" w:eastAsia="Arial" w:hAnsi="Arial"/>
          <w:sz w:val="17"/>
          <w:szCs w:val="17"/>
          <w:color w:val="auto"/>
        </w:rPr>
        <w:t>Other income (expense), net, increased by $2.8 million from $0.6 million of expense for the year ended December 31, 2016 to $3.3 million of income for the year ended December 31, 2017. The increase in other income, net, was primarily related to an increase in investment income during the year ended December 31, 2017.</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Interest expense decreased by $0.2 million from $0.5 million for the year ended December 31, 2016 to $0.2 million for the year ended December 31, 2017. The decrease was primarily related to a decrease in the average outstanding principle balance under the loan and security agreement with Silicon Valley Bank for the year ended December 31, 2017. We made our final loan payment in 2018, and as of December 31, 2018, we had no outstanding principal and interest under the loan and security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Through December 31, 2018, we have received an aggregate of $1.1 billion from such transactions, including</w:t>
      </w:r>
    </w:p>
    <w:p>
      <w:pPr>
        <w:spacing w:after="0" w:line="229" w:lineRule="auto"/>
        <w:rPr>
          <w:sz w:val="20"/>
          <w:szCs w:val="20"/>
          <w:color w:val="auto"/>
        </w:rPr>
      </w:pPr>
      <w:r>
        <w:rPr>
          <w:rFonts w:ascii="Arial" w:cs="Arial" w:eastAsia="Arial" w:hAnsi="Arial"/>
          <w:sz w:val="16"/>
          <w:szCs w:val="16"/>
          <w:color w:val="auto"/>
        </w:rPr>
        <w:t>$887.4 million in aggregate gross proceeds from the sale of common stock in our May 2015 IPO and December 2016, April</w:t>
      </w:r>
    </w:p>
    <w:p>
      <w:pPr>
        <w:spacing w:after="0" w:line="176" w:lineRule="exact"/>
        <w:rPr>
          <w:sz w:val="20"/>
          <w:szCs w:val="20"/>
          <w:color w:val="auto"/>
        </w:rPr>
      </w:pPr>
      <w:r>
        <w:rPr>
          <w:rFonts w:ascii="Arial" w:cs="Arial" w:eastAsia="Arial" w:hAnsi="Arial"/>
          <w:sz w:val="17"/>
          <w:szCs w:val="17"/>
          <w:color w:val="auto"/>
        </w:rPr>
        <w:t>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w:t>
      </w:r>
    </w:p>
    <w:p>
      <w:pPr>
        <w:spacing w:after="0" w:line="216" w:lineRule="auto"/>
        <w:rPr>
          <w:sz w:val="20"/>
          <w:szCs w:val="20"/>
          <w:color w:val="auto"/>
        </w:rPr>
      </w:pPr>
      <w:r>
        <w:rPr>
          <w:rFonts w:ascii="Arial" w:cs="Arial" w:eastAsia="Arial" w:hAnsi="Arial"/>
          <w:sz w:val="17"/>
          <w:szCs w:val="17"/>
          <w:color w:val="auto"/>
        </w:rPr>
        <w:t>preferred stock, $18.8 million of upfront and milestone payments from Alexion, $55.0 million in upfront and milestone</w:t>
      </w:r>
    </w:p>
    <w:p>
      <w:pPr>
        <w:spacing w:after="0" w:line="215" w:lineRule="auto"/>
        <w:rPr>
          <w:sz w:val="20"/>
          <w:szCs w:val="20"/>
          <w:color w:val="auto"/>
        </w:rPr>
      </w:pPr>
      <w:r>
        <w:rPr>
          <w:rFonts w:ascii="Arial" w:cs="Arial" w:eastAsia="Arial" w:hAnsi="Arial"/>
          <w:sz w:val="17"/>
          <w:szCs w:val="17"/>
          <w:color w:val="auto"/>
        </w:rPr>
        <w:t>payments from Roche, a $40.0 million upfront payment under our existing collaboration with CStone and $10.0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proceeds from the debt financing.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had cash, cash equivalents and investments of $494.0 million.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2018, 2017 and 2016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80" w:type="dxa"/>
            <w:vAlign w:val="bottom"/>
            <w:tcBorders>
              <w:bottom w:val="single" w:sz="8" w:color="CCEEFF"/>
            </w:tcBorders>
            <w:vMerge w:val="continue"/>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(175,009)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(119,865)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(24,513)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w w:val="95"/>
              </w:rPr>
              <w:t>(161,088)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(72,347)</w:t>
            </w:r>
          </w:p>
        </w:tc>
        <w:tc>
          <w:tcPr>
            <w:tcW w:w="160" w:type="dxa"/>
            <w:vAlign w:val="bottom"/>
          </w:tcPr>
          <w:p>
            <w:pPr>
              <w:spacing w:after="0"/>
              <w:rPr>
                <w:sz w:val="15"/>
                <w:szCs w:val="15"/>
                <w:color w:val="auto"/>
              </w:rPr>
            </w:pPr>
          </w:p>
        </w:tc>
        <w:tc>
          <w:tcPr>
            <w:tcW w:w="8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8"/>
              </w:rPr>
              <w:t>(218,821)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543,948</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132,577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114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(331,643)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351,736</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(110,757)</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For the year ended December 31, 2018,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$55.1 million increase in net cash used in operating was primarily due to the increase in net loss during this period of $88.5 million, which was driven by increased payroll and payroll-related expenses and spending on pre-clinical, clinical and pre-commercial activities, partially offset by upfront and milestone payments received during year ended December 31, 2018. The net cash flows provided by operating activities for year ended December 31, 2018 reflect a $40.0 million upfront payment received under the CStone agreement and a $10.0 milestone payment received under the Roche agreement. We did not receive any upfront payments or milestones during year ended December 31, 2017.</w:t>
      </w:r>
    </w:p>
    <w:p>
      <w:pPr>
        <w:spacing w:after="0" w:line="109"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For the year ended December 31, 2017, compared to the same period in 2016, the $95.4 million increase in net cash used in operating activities was primarily due to an increase in net loss of $75.6 million for the year end December 31, 2017 as compared to the year ended December 31, 2016 as well as changes in deferred revenue related to the timing and amount of upfront payment from Roche. In the year ended December 31, 2016, we received a $45.0 million upfront payment from Roche compared to no upfront payments received during the year ended December 31, 2017.</w:t>
      </w:r>
    </w:p>
    <w:p>
      <w:pPr>
        <w:spacing w:after="0" w:line="107"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For the year ended December 31, 2018, compared to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$88.7 million increase in net cash used in investing activities was primarily due to an increase in net purchases of available-for-sale investments.</w:t>
      </w:r>
    </w:p>
    <w:p>
      <w:pPr>
        <w:spacing w:after="0" w:line="163"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For the year ended December 31, 2017, compared to the same period in 2016, the $146.5 million decrease in net cash used in investing activities was primarily due to a decrease in net purchases of available-for-sale investments which was partially offset by purchases of property and equipment that mainly related to the relocation of our headquarters.</w:t>
      </w:r>
    </w:p>
    <w:p>
      <w:pPr>
        <w:spacing w:after="0" w:line="147"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year ended December 31, 2018,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$539.5 million decrease in net cash provided by financing activities was primarily due to a total of $541.5 million decrease in net proceeds received from our April 2017 and December 2017 follow-on underwritten public offerings, after deducting underwriting discounts and commissions and offering expenses paid by us, partially offset by proceeds received from stock option exercises.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93"/>
        <w:spacing w:after="0" w:line="219" w:lineRule="auto"/>
        <w:rPr>
          <w:sz w:val="20"/>
          <w:szCs w:val="20"/>
          <w:color w:val="auto"/>
        </w:rPr>
      </w:pPr>
      <w:r>
        <w:rPr>
          <w:rFonts w:ascii="Arial" w:cs="Arial" w:eastAsia="Arial" w:hAnsi="Arial"/>
          <w:sz w:val="18"/>
          <w:szCs w:val="18"/>
          <w:color w:val="auto"/>
        </w:rPr>
        <w:t>For the year ended December 31, 2017, compared to the same period in 2016, the $411.4 million increase in net cash provided by financing activities was primarily due to $406.3 million increase in net proceeds from public offerings, after deducting underwriting discounts and commissions and offering expenses payable by us, and $4.3 million increase in proceeds received for the issuance of common stock.</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 May 2013, we entered into the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During the years ended December 31, 2018, 2017, and 2016, we paid principal payments of $1.5 million, $2.6 million, and $3.3 million, respectively, on the $10.0 million of advances. We were required to pay a fee of 4% of the total loan advances at the end of the term of the loan. There were no financial covenants associated with the loan and security agreement. As of December 31, 2018, we had no outstanding principal and interest under the loan and security agreement.</w:t>
      </w:r>
    </w:p>
    <w:p>
      <w:pPr>
        <w:spacing w:after="0" w:line="168"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See Note 9, “Term Loan,” in the accompanying notes to our audited consolidated financial statements for additional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As of December 31, 2018, we had cash, cash equivalents and investments of $494.0 million. Based on our current plans, we believe that our existing cash, cash equivalents and investments, excluding any potential option fees and milestone payments under our existing collaborations with Roche and CStone, will be sufficient to enable us to fund our operating expenses and capital expenditure requirements into the second half of 2020. Our future capital requirements will depend on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84" w:lineRule="exact"/>
        <w:rPr>
          <w:rFonts w:ascii="Arial" w:cs="Arial" w:eastAsia="Arial" w:hAnsi="Arial"/>
          <w:sz w:val="18"/>
          <w:szCs w:val="18"/>
          <w:color w:val="auto"/>
        </w:rPr>
      </w:pPr>
    </w:p>
    <w:p>
      <w:pPr>
        <w:ind w:left="1300" w:right="380" w:hanging="325"/>
        <w:spacing w:after="0" w:line="235"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our current or future companion diagnostic test collaborations for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line="224"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and CStone or any collaboration agreements that we may enter into in the future;</w:t>
      </w:r>
    </w:p>
    <w:p>
      <w:pPr>
        <w:spacing w:after="0" w:line="163"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03" w:lineRule="exact"/>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1300" w:hanging="325"/>
        <w:spacing w:after="0" w:line="207" w:lineRule="exact"/>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6"/>
          <w:szCs w:val="16"/>
          <w:color w:val="auto"/>
        </w:rPr>
        <w:t>Identifying potential drug candidates and conducting pre-clinical development and testing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other than potential funds to be earned under our collaborations with Roche and CStone.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700" w:type="dxa"/>
            <w:vAlign w:val="bottom"/>
            <w:tcBorders>
              <w:top w:val="single" w:sz="8" w:color="auto"/>
              <w:bottom w:val="single" w:sz="8" w:color="auto"/>
            </w:tcBorders>
            <w:gridSpan w:val="8"/>
          </w:tcPr>
          <w:p>
            <w:pPr>
              <w:jc w:val="center"/>
              <w:spacing w:after="0" w:line="189" w:lineRule="exact"/>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340"/>
              <w:spacing w:after="0" w:line="155"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3"/>
                <w:szCs w:val="13"/>
                <w:color w:val="auto"/>
              </w:rPr>
            </w:pPr>
          </w:p>
        </w:tc>
        <w:tc>
          <w:tcPr>
            <w:tcW w:w="12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w w:val="94"/>
              </w:rPr>
              <w:t>Less than 1 Year</w:t>
            </w:r>
          </w:p>
        </w:tc>
        <w:tc>
          <w:tcPr>
            <w:tcW w:w="120" w:type="dxa"/>
            <w:vAlign w:val="bottom"/>
          </w:tcPr>
          <w:p>
            <w:pPr>
              <w:spacing w:after="0"/>
              <w:rPr>
                <w:sz w:val="13"/>
                <w:szCs w:val="13"/>
                <w:color w:val="auto"/>
              </w:rPr>
            </w:pPr>
          </w:p>
        </w:tc>
        <w:tc>
          <w:tcPr>
            <w:tcW w:w="1100" w:type="dxa"/>
            <w:vAlign w:val="bottom"/>
            <w:gridSpan w:val="2"/>
          </w:tcPr>
          <w:p>
            <w:pPr>
              <w:jc w:val="center"/>
              <w:ind w:right="60"/>
              <w:spacing w:after="0" w:line="155" w:lineRule="exact"/>
              <w:rPr>
                <w:sz w:val="20"/>
                <w:szCs w:val="20"/>
                <w:color w:val="auto"/>
              </w:rPr>
            </w:pPr>
            <w:r>
              <w:rPr>
                <w:rFonts w:ascii="Arial" w:cs="Arial" w:eastAsia="Arial" w:hAnsi="Arial"/>
                <w:sz w:val="16"/>
                <w:szCs w:val="16"/>
                <w:b w:val="1"/>
                <w:bCs w:val="1"/>
                <w:color w:val="auto"/>
                <w:w w:val="89"/>
              </w:rPr>
              <w:t>1 to 3 Years</w:t>
            </w:r>
          </w:p>
        </w:tc>
        <w:tc>
          <w:tcPr>
            <w:tcW w:w="120" w:type="dxa"/>
            <w:vAlign w:val="bottom"/>
          </w:tcPr>
          <w:p>
            <w:pPr>
              <w:spacing w:after="0"/>
              <w:rPr>
                <w:sz w:val="13"/>
                <w:szCs w:val="13"/>
                <w:color w:val="auto"/>
              </w:rPr>
            </w:pPr>
          </w:p>
        </w:tc>
        <w:tc>
          <w:tcPr>
            <w:tcW w:w="110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3 to 5 Years</w:t>
            </w:r>
          </w:p>
        </w:tc>
        <w:tc>
          <w:tcPr>
            <w:tcW w:w="12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92"/>
              </w:rPr>
              <w:t>More than 5 Years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Operating lease obligations (1)</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154,358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9,822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27,628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28,635</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88,273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154,494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9,958</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27,628</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28,635</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88,273</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7"/>
        <w:spacing w:after="0" w:line="224"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non-cancelable operating leases, net of payments under our sublease for the office and laboratory space located at 38 Sidney Street, Cambridge, Massachusetts. The minimum lease payments above do not include any related common area maintenance charges or real estate taxes.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the normal course of business, we enter into agreements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6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We also have obligations to make future payments to third parties that become due and payable on the achievement of certain milestones, including future payments to third parties with whom we have entered into agreements to develop and commercialize companion diagnostic tests for certain of our lead drug candidates. We have not included these commitments on our balance sheet or in the table above because the achievement and timing of these milestones is not fixed and determinable.</w:t>
      </w:r>
    </w:p>
    <w:p>
      <w:pPr>
        <w:spacing w:after="0" w:line="1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of December 31, 2018 and December 31, 2017, we had cash, cash equivalents and investments of $494.0 million and $673.4 million, respectively, consisting primarily of money market funds and investments in U.S. treasury obligations.</w:t>
      </w:r>
    </w:p>
    <w:p>
      <w:pPr>
        <w:spacing w:after="0" w:line="84"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0"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December 31, 2018 and December 31, 2017, we had minimal or no liabilities denominated in foreign currencies.</w:t>
      </w:r>
    </w:p>
    <w:p>
      <w:pPr>
        <w:spacing w:after="0" w:line="135"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2018 and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of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color w:val="auto"/>
        </w:rPr>
        <w:t>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5"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2018. Based upon such evaluation, our Chief Executive Officer and Chief Financial Officer have concluded that, as of December 31, 2018,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980" w:right="120" w:hanging="329"/>
        <w:spacing w:after="0" w:line="235" w:lineRule="auto"/>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61" w:lineRule="exact"/>
        <w:rPr>
          <w:rFonts w:ascii="Arial" w:cs="Arial" w:eastAsia="Arial" w:hAnsi="Arial"/>
          <w:sz w:val="18"/>
          <w:szCs w:val="18"/>
          <w:b w:val="1"/>
          <w:bCs w:val="1"/>
          <w:color w:val="auto"/>
        </w:rPr>
      </w:pPr>
    </w:p>
    <w:p>
      <w:pPr>
        <w:ind w:left="980" w:right="400" w:hanging="329"/>
        <w:spacing w:after="0" w:line="219" w:lineRule="auto"/>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62" w:lineRule="exact"/>
        <w:rPr>
          <w:rFonts w:ascii="Arial" w:cs="Arial" w:eastAsia="Arial" w:hAnsi="Arial"/>
          <w:sz w:val="18"/>
          <w:szCs w:val="18"/>
          <w:b w:val="1"/>
          <w:bCs w:val="1"/>
          <w:color w:val="auto"/>
        </w:rPr>
      </w:pPr>
    </w:p>
    <w:p>
      <w:pPr>
        <w:ind w:left="980" w:right="460" w:hanging="329"/>
        <w:spacing w:after="0" w:line="258" w:lineRule="auto"/>
        <w:tabs>
          <w:tab w:leader="none" w:pos="98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Under the supervision of and with the participation of our principal executive officer and principal financial officer, our management assessed the effectiveness of our internal control over financial reporting as of December 31, 2018 based on the criteria set forth by the Committee of Sponsoring Organizations of the Treadway Commission in Internal Control— Integrated Framework (2013 framework). Based on this assessment, management concluded that our internal control over financial reporting was effective as of December 31, 2018.</w:t>
      </w:r>
    </w:p>
    <w:p>
      <w:pPr>
        <w:spacing w:after="0" w:line="162"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Our independent registered public accounting firm has issued an attestation report of our internal control over financial reporting. This report appears below.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Blueprint Medicines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have audited Blueprint Medicines Corporation’s internal control over financial reporting as of December 31, 2018,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2018, based on the COSO criteria.</w:t>
      </w:r>
    </w:p>
    <w:p>
      <w:pPr>
        <w:spacing w:after="0" w:line="16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Blueprint Medicines Corporation as of December 31, 2018 and 2017, the related consolidated statements of operations and comprehensive loss, stockholders’ equity, and cash flows for each of the three years in the period ended December 31, 2018, and the related notes and our report dated February 26, 2019 expressed an unqualified opinion thereon.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3" w:lineRule="auto"/>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26,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2018 that has materially affected, or is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On February 25, 2019, we entered into a fourth amendment to our collaboration and license agreement, as amended, with F. Hoffmann-La Roche Ltd and Hoffmann-La Roche Inc., which we refer to collectively as Roche, pursuant to which we and Roche agreed to modify certain time periods related to Roche’s option rights for one of the collaboration programs and to modify certain time periods related to the screening activities under the collaboration.</w:t>
      </w:r>
    </w:p>
    <w:p>
      <w:pPr>
        <w:spacing w:after="0" w:line="163"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The foregoing description of the fourth amendment to the collaboration and license agreement with Roche is qualified in its entirety by reference to the complete text of such agreement, a copy of which is attached as Exhibit 10.26 to this Annual Report on Form 10-K.</w:t>
      </w:r>
    </w:p>
    <w:p>
      <w:pPr>
        <w:spacing w:after="0" w:line="15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2019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2019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2019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2019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2019 Annual Meeting of Stockholders and is incorporated herein by reference.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ind w:left="1220" w:hanging="569"/>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documents are included on pages F-1 through F-33 attached hereto and are filed as part of this</w:t>
      </w:r>
    </w:p>
    <w:tbl>
      <w:tblPr>
        <w:tblLayout w:type="fixed"/>
        <w:tblInd w:w="0" w:type="dxa"/>
        <w:tblCellMar>
          <w:top w:w="0" w:type="dxa"/>
          <w:left w:w="0" w:type="dxa"/>
          <w:bottom w:w="0" w:type="dxa"/>
          <w:right w:w="0" w:type="dxa"/>
        </w:tblCellMar>
      </w:tblPr>
      <w:tr>
        <w:trPr>
          <w:trHeight w:val="230"/>
        </w:trPr>
        <w:tc>
          <w:tcPr>
            <w:tcW w:w="6740" w:type="dxa"/>
            <w:vAlign w:val="bottom"/>
            <w:gridSpan w:val="8"/>
          </w:tcPr>
          <w:p>
            <w:pPr>
              <w:spacing w:after="0"/>
              <w:rPr>
                <w:sz w:val="20"/>
                <w:szCs w:val="20"/>
                <w:color w:val="auto"/>
              </w:rPr>
            </w:pPr>
            <w:r>
              <w:rPr>
                <w:rFonts w:ascii="Arial" w:cs="Arial" w:eastAsia="Arial" w:hAnsi="Arial"/>
                <w:sz w:val="18"/>
                <w:szCs w:val="18"/>
                <w:color w:val="auto"/>
              </w:rPr>
              <w:t>Annual Report on Form 10-K.</w:t>
            </w:r>
          </w:p>
        </w:tc>
        <w:tc>
          <w:tcPr>
            <w:tcW w:w="2320" w:type="dxa"/>
            <w:vAlign w:val="bottom"/>
          </w:tcPr>
          <w:p>
            <w:pPr>
              <w:spacing w:after="0"/>
              <w:rPr>
                <w:sz w:val="20"/>
                <w:szCs w:val="20"/>
                <w:color w:val="auto"/>
              </w:rPr>
            </w:pPr>
          </w:p>
        </w:tc>
      </w:tr>
      <w:tr>
        <w:trPr>
          <w:trHeight w:val="349"/>
        </w:trPr>
        <w:tc>
          <w:tcPr>
            <w:tcW w:w="6740" w:type="dxa"/>
            <w:vAlign w:val="bottom"/>
            <w:gridSpan w:val="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Report of Independent Registered Public Accounting Firm</w:t>
              </w:r>
            </w:hyperlink>
          </w:p>
        </w:tc>
        <w:tc>
          <w:tcPr>
            <w:tcW w:w="2320" w:type="dxa"/>
            <w:vAlign w:val="bottom"/>
          </w:tcPr>
          <w:p>
            <w:pPr>
              <w:ind w:left="2080"/>
              <w:spacing w:after="0"/>
              <w:rPr>
                <w:sz w:val="20"/>
                <w:szCs w:val="20"/>
                <w:color w:val="auto"/>
              </w:rPr>
            </w:pPr>
            <w:r>
              <w:rPr>
                <w:rFonts w:ascii="Arial" w:cs="Arial" w:eastAsia="Arial" w:hAnsi="Arial"/>
                <w:sz w:val="18"/>
                <w:szCs w:val="18"/>
                <w:color w:val="auto"/>
                <w:w w:val="81"/>
              </w:rPr>
              <w:t>F-2</w:t>
            </w:r>
          </w:p>
        </w:tc>
      </w:tr>
      <w:tr>
        <w:trPr>
          <w:trHeight w:val="156"/>
        </w:trPr>
        <w:tc>
          <w:tcPr>
            <w:tcW w:w="422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Balance Sheets</w:t>
              </w:r>
            </w:hyperlink>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20" w:type="dxa"/>
            <w:vAlign w:val="bottom"/>
          </w:tcPr>
          <w:p>
            <w:pPr>
              <w:ind w:left="2080"/>
              <w:spacing w:after="0" w:line="156" w:lineRule="exact"/>
              <w:rPr>
                <w:sz w:val="20"/>
                <w:szCs w:val="20"/>
                <w:color w:val="auto"/>
              </w:rPr>
            </w:pPr>
            <w:r>
              <w:rPr>
                <w:rFonts w:ascii="Arial" w:cs="Arial" w:eastAsia="Arial" w:hAnsi="Arial"/>
                <w:sz w:val="18"/>
                <w:szCs w:val="18"/>
                <w:color w:val="auto"/>
                <w:w w:val="81"/>
              </w:rPr>
              <w:t>F-3</w:t>
            </w:r>
          </w:p>
        </w:tc>
      </w:tr>
      <w:tr>
        <w:trPr>
          <w:trHeight w:val="156"/>
        </w:trPr>
        <w:tc>
          <w:tcPr>
            <w:tcW w:w="2100" w:type="dxa"/>
            <w:vAlign w:val="bottom"/>
            <w:tcBorders>
              <w:top w:val="single" w:sz="8" w:color="0000EE"/>
            </w:tcBorders>
            <w:gridSpan w:val="2"/>
          </w:tcPr>
          <w:p>
            <w:pPr>
              <w:spacing w:after="0" w:line="156" w:lineRule="exact"/>
              <w:rPr>
                <w:rFonts w:ascii="Arial" w:cs="Arial" w:eastAsia="Arial" w:hAnsi="Arial"/>
                <w:sz w:val="18"/>
                <w:szCs w:val="18"/>
                <w:color w:val="0000EE"/>
                <w:w w:val="94"/>
              </w:rPr>
            </w:pPr>
            <w:hyperlink w:anchor="page118">
              <w:r>
                <w:rPr>
                  <w:rFonts w:ascii="Arial" w:cs="Arial" w:eastAsia="Arial" w:hAnsi="Arial"/>
                  <w:sz w:val="18"/>
                  <w:szCs w:val="18"/>
                  <w:color w:val="0000EE"/>
                  <w:w w:val="94"/>
                </w:rPr>
                <w:t>Consolidated Statements of</w:t>
              </w:r>
            </w:hyperlink>
          </w:p>
        </w:tc>
        <w:tc>
          <w:tcPr>
            <w:tcW w:w="4640" w:type="dxa"/>
            <w:vAlign w:val="bottom"/>
            <w:gridSpan w:val="6"/>
          </w:tcPr>
          <w:p>
            <w:pPr>
              <w:spacing w:after="0" w:line="156" w:lineRule="exact"/>
              <w:rPr>
                <w:rFonts w:ascii="Arial" w:cs="Arial" w:eastAsia="Arial" w:hAnsi="Arial"/>
                <w:sz w:val="18"/>
                <w:szCs w:val="18"/>
                <w:color w:val="0000EE"/>
              </w:rPr>
            </w:pPr>
            <w:hyperlink w:anchor="page118">
              <w:r>
                <w:rPr>
                  <w:rFonts w:ascii="Arial" w:cs="Arial" w:eastAsia="Arial" w:hAnsi="Arial"/>
                  <w:sz w:val="18"/>
                  <w:szCs w:val="18"/>
                  <w:color w:val="0000EE"/>
                </w:rPr>
                <w:t>Operations and Comprehensive Loss</w:t>
              </w:r>
            </w:hyperlink>
          </w:p>
        </w:tc>
        <w:tc>
          <w:tcPr>
            <w:tcW w:w="2320" w:type="dxa"/>
            <w:vAlign w:val="bottom"/>
          </w:tcPr>
          <w:p>
            <w:pPr>
              <w:ind w:left="2080"/>
              <w:spacing w:after="0" w:line="156" w:lineRule="exact"/>
              <w:rPr>
                <w:sz w:val="20"/>
                <w:szCs w:val="20"/>
                <w:color w:val="auto"/>
              </w:rPr>
            </w:pPr>
            <w:r>
              <w:rPr>
                <w:rFonts w:ascii="Arial" w:cs="Arial" w:eastAsia="Arial" w:hAnsi="Arial"/>
                <w:sz w:val="18"/>
                <w:szCs w:val="18"/>
                <w:color w:val="auto"/>
                <w:w w:val="81"/>
              </w:rPr>
              <w:t>F-4</w:t>
            </w:r>
          </w:p>
        </w:tc>
      </w:tr>
      <w:tr>
        <w:trPr>
          <w:trHeight w:val="156"/>
        </w:trPr>
        <w:tc>
          <w:tcPr>
            <w:tcW w:w="468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Stockholders’ Equity</w:t>
              </w:r>
            </w:hyperlink>
          </w:p>
        </w:tc>
        <w:tc>
          <w:tcPr>
            <w:tcW w:w="2060" w:type="dxa"/>
            <w:vAlign w:val="bottom"/>
          </w:tcPr>
          <w:p>
            <w:pPr>
              <w:spacing w:after="0"/>
              <w:rPr>
                <w:sz w:val="13"/>
                <w:szCs w:val="13"/>
                <w:color w:val="auto"/>
              </w:rPr>
            </w:pPr>
          </w:p>
        </w:tc>
        <w:tc>
          <w:tcPr>
            <w:tcW w:w="2320" w:type="dxa"/>
            <w:vAlign w:val="bottom"/>
          </w:tcPr>
          <w:p>
            <w:pPr>
              <w:ind w:left="2080"/>
              <w:spacing w:after="0" w:line="156" w:lineRule="exact"/>
              <w:rPr>
                <w:sz w:val="20"/>
                <w:szCs w:val="20"/>
                <w:color w:val="auto"/>
              </w:rPr>
            </w:pPr>
            <w:r>
              <w:rPr>
                <w:rFonts w:ascii="Arial" w:cs="Arial" w:eastAsia="Arial" w:hAnsi="Arial"/>
                <w:sz w:val="18"/>
                <w:szCs w:val="18"/>
                <w:color w:val="auto"/>
                <w:w w:val="81"/>
              </w:rPr>
              <w:t>F-5</w:t>
            </w:r>
          </w:p>
        </w:tc>
      </w:tr>
      <w:tr>
        <w:trPr>
          <w:trHeight w:val="156"/>
        </w:trPr>
        <w:tc>
          <w:tcPr>
            <w:tcW w:w="28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Consolidated Statements of Cash Flows</w:t>
              </w:r>
            </w:hyperlink>
          </w:p>
        </w:tc>
        <w:tc>
          <w:tcPr>
            <w:tcW w:w="680" w:type="dxa"/>
            <w:vAlign w:val="bottom"/>
            <w:tcBorders>
              <w:top w:val="single" w:sz="8" w:color="0000EE"/>
            </w:tcBorders>
            <w:gridSpan w:val="2"/>
          </w:tcPr>
          <w:p>
            <w:pPr>
              <w:spacing w:after="0"/>
              <w:rPr>
                <w:sz w:val="13"/>
                <w:szCs w:val="13"/>
                <w:color w:val="auto"/>
              </w:rPr>
            </w:pPr>
          </w:p>
        </w:tc>
        <w:tc>
          <w:tcPr>
            <w:tcW w:w="3180" w:type="dxa"/>
            <w:vAlign w:val="bottom"/>
            <w:gridSpan w:val="3"/>
          </w:tcPr>
          <w:p>
            <w:pPr>
              <w:spacing w:after="0"/>
              <w:rPr>
                <w:sz w:val="13"/>
                <w:szCs w:val="13"/>
                <w:color w:val="auto"/>
              </w:rPr>
            </w:pPr>
          </w:p>
        </w:tc>
        <w:tc>
          <w:tcPr>
            <w:tcW w:w="2320" w:type="dxa"/>
            <w:vAlign w:val="bottom"/>
          </w:tcPr>
          <w:p>
            <w:pPr>
              <w:ind w:left="2080"/>
              <w:spacing w:after="0" w:line="156" w:lineRule="exact"/>
              <w:rPr>
                <w:sz w:val="20"/>
                <w:szCs w:val="20"/>
                <w:color w:val="auto"/>
              </w:rPr>
            </w:pPr>
            <w:r>
              <w:rPr>
                <w:rFonts w:ascii="Arial" w:cs="Arial" w:eastAsia="Arial" w:hAnsi="Arial"/>
                <w:sz w:val="18"/>
                <w:szCs w:val="18"/>
                <w:color w:val="auto"/>
                <w:w w:val="81"/>
              </w:rPr>
              <w:t>F-6</w:t>
            </w:r>
          </w:p>
        </w:tc>
      </w:tr>
      <w:tr>
        <w:trPr>
          <w:trHeight w:val="156"/>
        </w:trPr>
        <w:tc>
          <w:tcPr>
            <w:tcW w:w="3160" w:type="dxa"/>
            <w:vAlign w:val="bottom"/>
            <w:tcBorders>
              <w:bottom w:val="single" w:sz="8" w:color="0000EE"/>
            </w:tcBorders>
            <w:gridSpan w:val="4"/>
          </w:tcPr>
          <w:p>
            <w:pPr>
              <w:spacing w:after="0" w:line="15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Notes to Consolidated Financial Statements</w:t>
              </w:r>
            </w:hyperlink>
          </w:p>
        </w:tc>
        <w:tc>
          <w:tcPr>
            <w:tcW w:w="3580" w:type="dxa"/>
            <w:vAlign w:val="bottom"/>
            <w:gridSpan w:val="4"/>
          </w:tcPr>
          <w:p>
            <w:pPr>
              <w:spacing w:after="0"/>
              <w:rPr>
                <w:sz w:val="13"/>
                <w:szCs w:val="13"/>
                <w:color w:val="auto"/>
              </w:rPr>
            </w:pPr>
          </w:p>
        </w:tc>
        <w:tc>
          <w:tcPr>
            <w:tcW w:w="2320" w:type="dxa"/>
            <w:vAlign w:val="bottom"/>
          </w:tcPr>
          <w:p>
            <w:pPr>
              <w:ind w:left="2080"/>
              <w:spacing w:after="0" w:line="156" w:lineRule="exact"/>
              <w:rPr>
                <w:sz w:val="20"/>
                <w:szCs w:val="20"/>
                <w:color w:val="auto"/>
              </w:rPr>
            </w:pPr>
            <w:r>
              <w:rPr>
                <w:rFonts w:ascii="Arial" w:cs="Arial" w:eastAsia="Arial" w:hAnsi="Arial"/>
                <w:sz w:val="18"/>
                <w:szCs w:val="18"/>
                <w:color w:val="auto"/>
                <w:w w:val="81"/>
              </w:rPr>
              <w:t>F-7</w:t>
            </w:r>
          </w:p>
        </w:tc>
      </w:tr>
      <w:tr>
        <w:trPr>
          <w:trHeight w:val="372"/>
        </w:trPr>
        <w:tc>
          <w:tcPr>
            <w:tcW w:w="1040" w:type="dxa"/>
            <w:vAlign w:val="bottom"/>
          </w:tcPr>
          <w:p>
            <w:pPr>
              <w:ind w:left="660"/>
              <w:spacing w:after="0"/>
              <w:rPr>
                <w:sz w:val="20"/>
                <w:szCs w:val="20"/>
                <w:color w:val="auto"/>
              </w:rPr>
            </w:pPr>
            <w:r>
              <w:rPr>
                <w:rFonts w:ascii="Arial" w:cs="Arial" w:eastAsia="Arial" w:hAnsi="Arial"/>
                <w:sz w:val="18"/>
                <w:szCs w:val="18"/>
                <w:color w:val="auto"/>
              </w:rPr>
              <w:t>(2)</w:t>
            </w:r>
          </w:p>
        </w:tc>
        <w:tc>
          <w:tcPr>
            <w:tcW w:w="5700" w:type="dxa"/>
            <w:vAlign w:val="bottom"/>
            <w:gridSpan w:val="7"/>
          </w:tcPr>
          <w:p>
            <w:pPr>
              <w:ind w:left="180"/>
              <w:spacing w:after="0"/>
              <w:rPr>
                <w:sz w:val="20"/>
                <w:szCs w:val="20"/>
                <w:color w:val="auto"/>
              </w:rPr>
            </w:pPr>
            <w:r>
              <w:rPr>
                <w:rFonts w:ascii="Arial" w:cs="Arial" w:eastAsia="Arial" w:hAnsi="Arial"/>
                <w:sz w:val="18"/>
                <w:szCs w:val="18"/>
                <w:color w:val="auto"/>
              </w:rPr>
              <w:t>Financial Statement Schedules</w:t>
            </w:r>
          </w:p>
        </w:tc>
        <w:tc>
          <w:tcPr>
            <w:tcW w:w="2320" w:type="dxa"/>
            <w:vAlign w:val="bottom"/>
          </w:tcPr>
          <w:p>
            <w:pPr>
              <w:spacing w:after="0"/>
              <w:rPr>
                <w:sz w:val="24"/>
                <w:szCs w:val="24"/>
                <w:color w:val="auto"/>
              </w:rPr>
            </w:pPr>
          </w:p>
        </w:tc>
      </w:tr>
    </w:tbl>
    <w:p>
      <w:pPr>
        <w:spacing w:after="0" w:line="121"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121" w:lineRule="exact"/>
        <w:rPr>
          <w:sz w:val="20"/>
          <w:szCs w:val="20"/>
          <w:color w:val="auto"/>
        </w:rPr>
      </w:pPr>
    </w:p>
    <w:p>
      <w:pPr>
        <w:ind w:left="1220" w:hanging="569"/>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40" w:type="dxa"/>
            <w:vAlign w:val="bottom"/>
            <w:gridSpan w:val="18"/>
            <w:vMerge w:val="restart"/>
          </w:tcPr>
          <w:p>
            <w:pPr>
              <w:ind w:left="30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Exhibit</w:t>
            </w:r>
          </w:p>
        </w:tc>
        <w:tc>
          <w:tcPr>
            <w:tcW w:w="160" w:type="dxa"/>
            <w:vAlign w:val="bottom"/>
            <w:vMerge w:val="continue"/>
          </w:tcPr>
          <w:p>
            <w:pPr>
              <w:spacing w:after="0"/>
              <w:rPr>
                <w:sz w:val="8"/>
                <w:szCs w:val="8"/>
                <w:color w:val="auto"/>
              </w:rPr>
            </w:pPr>
          </w:p>
        </w:tc>
        <w:tc>
          <w:tcPr>
            <w:tcW w:w="15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40" w:type="dxa"/>
            <w:vAlign w:val="bottom"/>
            <w:gridSpan w:val="18"/>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0" w:type="dxa"/>
            <w:vAlign w:val="bottom"/>
          </w:tcPr>
          <w:p>
            <w:pPr>
              <w:spacing w:after="0" w:line="156" w:lineRule="exact"/>
              <w:rPr>
                <w:sz w:val="20"/>
                <w:szCs w:val="20"/>
                <w:color w:val="auto"/>
              </w:rPr>
            </w:pPr>
            <w:r>
              <w:rPr>
                <w:rFonts w:ascii="Arial" w:cs="Arial" w:eastAsia="Arial" w:hAnsi="Arial"/>
                <w:sz w:val="18"/>
                <w:szCs w:val="18"/>
                <w:color w:val="auto"/>
              </w:rPr>
              <w:t>3.1</w:t>
            </w: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960" w:type="dxa"/>
            <w:vAlign w:val="bottom"/>
            <w:gridSpan w:val="19"/>
          </w:tcPr>
          <w:p>
            <w:pPr>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Fifth Amended and Restated Certificate of</w:t>
              </w:r>
            </w:hyperlink>
          </w:p>
        </w:tc>
        <w:tc>
          <w:tcPr>
            <w:tcW w:w="160" w:type="dxa"/>
            <w:vAlign w:val="bottom"/>
            <w:vMerge w:val="continue"/>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89"/>
              </w:rPr>
              <w:t>10-Q</w:t>
            </w:r>
          </w:p>
        </w:tc>
        <w:tc>
          <w:tcPr>
            <w:tcW w:w="140" w:type="dxa"/>
            <w:vAlign w:val="bottom"/>
            <w:vMerge w:val="continue"/>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001-37359</w:t>
            </w:r>
          </w:p>
        </w:tc>
        <w:tc>
          <w:tcPr>
            <w:tcW w:w="140" w:type="dxa"/>
            <w:vAlign w:val="bottom"/>
            <w:vMerge w:val="continue"/>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60" w:type="dxa"/>
            <w:vAlign w:val="bottom"/>
            <w:vMerge w:val="continue"/>
          </w:tcPr>
          <w:p>
            <w:pPr>
              <w:spacing w:after="0"/>
              <w:rPr>
                <w:sz w:val="13"/>
                <w:szCs w:val="13"/>
                <w:color w:val="auto"/>
              </w:rPr>
            </w:pPr>
          </w:p>
        </w:tc>
        <w:tc>
          <w:tcPr>
            <w:tcW w:w="1500" w:type="dxa"/>
            <w:vAlign w:val="bottom"/>
            <w:gridSpan w:val="2"/>
          </w:tcPr>
          <w:p>
            <w:pPr>
              <w:jc w:val="center"/>
              <w:spacing w:after="0" w:line="156" w:lineRule="exact"/>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Incorporation of the Registrant</w:t>
              </w:r>
            </w:hyperlink>
          </w:p>
        </w:tc>
        <w:tc>
          <w:tcPr>
            <w:tcW w:w="840" w:type="dxa"/>
            <w:vAlign w:val="bottom"/>
            <w:tcBorders>
              <w:top w:val="single" w:sz="8" w:color="0000EE"/>
            </w:tcBorders>
            <w:gridSpan w:val="3"/>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2"/>
                <w:szCs w:val="22"/>
                <w:color w:val="auto"/>
              </w:rPr>
            </w:pPr>
          </w:p>
        </w:tc>
        <w:tc>
          <w:tcPr>
            <w:tcW w:w="3480" w:type="dxa"/>
            <w:vAlign w:val="bottom"/>
            <w:tcBorders>
              <w:bottom w:val="single" w:sz="8" w:color="0000EE"/>
            </w:tcBorders>
            <w:gridSpan w:val="9"/>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Amended and Restated Bylaws of the Registrant</w:t>
              </w:r>
            </w:hyperlink>
          </w:p>
        </w:tc>
        <w:tc>
          <w:tcPr>
            <w:tcW w:w="660" w:type="dxa"/>
            <w:vAlign w:val="bottom"/>
            <w:gridSpan w:val="12"/>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2"/>
                <w:szCs w:val="22"/>
                <w:color w:val="auto"/>
              </w:rPr>
            </w:pPr>
          </w:p>
        </w:tc>
        <w:tc>
          <w:tcPr>
            <w:tcW w:w="2660" w:type="dxa"/>
            <w:vAlign w:val="bottom"/>
            <w:tcBorders>
              <w:bottom w:val="single" w:sz="8" w:color="0000EE"/>
            </w:tcBorders>
            <w:gridSpan w:val="6"/>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Specimen Common Stock Certificate</w:t>
              </w:r>
            </w:hyperlink>
          </w:p>
        </w:tc>
        <w:tc>
          <w:tcPr>
            <w:tcW w:w="1480" w:type="dxa"/>
            <w:vAlign w:val="bottom"/>
            <w:gridSpan w:val="15"/>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April 20, 2015</w:t>
            </w: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3500" w:type="dxa"/>
            <w:vAlign w:val="bottom"/>
            <w:tcBorders>
              <w:bottom w:val="single" w:sz="8" w:color="0000EE"/>
            </w:tcBorders>
            <w:gridSpan w:val="10"/>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Second Amended and Restated Investors’ Rights</w:t>
              </w:r>
            </w:hyperlink>
          </w:p>
        </w:tc>
        <w:tc>
          <w:tcPr>
            <w:tcW w:w="640" w:type="dxa"/>
            <w:vAlign w:val="bottom"/>
            <w:gridSpan w:val="11"/>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21"/>
          </w:tcPr>
          <w:p>
            <w:pPr>
              <w:spacing w:after="0" w:line="156" w:lineRule="exact"/>
              <w:rPr>
                <w:rFonts w:ascii="Arial" w:cs="Arial" w:eastAsia="Arial" w:hAnsi="Arial"/>
                <w:sz w:val="18"/>
                <w:szCs w:val="18"/>
                <w:color w:val="0000EE"/>
              </w:rPr>
            </w:pPr>
            <w:hyperlink r:id="rId138">
              <w:r>
                <w:rPr>
                  <w:rFonts w:ascii="Arial" w:cs="Arial" w:eastAsia="Arial" w:hAnsi="Arial"/>
                  <w:sz w:val="18"/>
                  <w:szCs w:val="18"/>
                  <w:color w:val="0000EE"/>
                </w:rPr>
                <w:t>Agreement, dated as of November 7, 2014, by and</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21"/>
          </w:tcPr>
          <w:p>
            <w:pPr>
              <w:spacing w:after="0" w:line="156" w:lineRule="exact"/>
              <w:rPr>
                <w:rFonts w:ascii="Arial" w:cs="Arial" w:eastAsia="Arial" w:hAnsi="Arial"/>
                <w:sz w:val="18"/>
                <w:szCs w:val="18"/>
                <w:color w:val="0000EE"/>
                <w:w w:val="97"/>
              </w:rPr>
            </w:pPr>
            <w:hyperlink r:id="rId138">
              <w:r>
                <w:rPr>
                  <w:rFonts w:ascii="Arial" w:cs="Arial" w:eastAsia="Arial" w:hAnsi="Arial"/>
                  <w:sz w:val="18"/>
                  <w:szCs w:val="18"/>
                  <w:color w:val="0000EE"/>
                  <w:w w:val="97"/>
                </w:rPr>
                <w:t>among the Registrant and the Investors listed therein</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2"/>
                <w:szCs w:val="22"/>
                <w:color w:val="auto"/>
              </w:rPr>
            </w:pPr>
          </w:p>
        </w:tc>
        <w:tc>
          <w:tcPr>
            <w:tcW w:w="3760" w:type="dxa"/>
            <w:vAlign w:val="bottom"/>
            <w:tcBorders>
              <w:top w:val="single" w:sz="8" w:color="0000EE"/>
            </w:tcBorders>
            <w:gridSpan w:val="18"/>
          </w:tcPr>
          <w:p>
            <w:pPr>
              <w:spacing w:after="0"/>
              <w:rPr>
                <w:rFonts w:ascii="Arial" w:cs="Arial" w:eastAsia="Arial" w:hAnsi="Arial"/>
                <w:sz w:val="18"/>
                <w:szCs w:val="18"/>
                <w:color w:val="0000EE"/>
                <w:w w:val="88"/>
              </w:rPr>
            </w:pPr>
            <w:hyperlink r:id="rId139">
              <w:r>
                <w:rPr>
                  <w:rFonts w:ascii="Arial" w:cs="Arial" w:eastAsia="Arial" w:hAnsi="Arial"/>
                  <w:sz w:val="18"/>
                  <w:szCs w:val="18"/>
                  <w:color w:val="0000EE"/>
                  <w:w w:val="88"/>
                </w:rPr>
                <w:t>2011 Stock Option and Grant Plan, as amended, and</w:t>
              </w:r>
            </w:hyperlink>
          </w:p>
        </w:tc>
        <w:tc>
          <w:tcPr>
            <w:tcW w:w="380" w:type="dxa"/>
            <w:vAlign w:val="bottom"/>
            <w:gridSpan w:val="3"/>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forms of award agreements thereunder</w:t>
              </w:r>
            </w:hyperlink>
          </w:p>
        </w:tc>
        <w:tc>
          <w:tcPr>
            <w:tcW w:w="980" w:type="dxa"/>
            <w:vAlign w:val="bottom"/>
            <w:tcBorders>
              <w:top w:val="single" w:sz="8" w:color="0000EE"/>
            </w:tcBorders>
            <w:gridSpan w:val="10"/>
          </w:tcPr>
          <w:p>
            <w:pPr>
              <w:spacing w:after="0"/>
              <w:rPr>
                <w:sz w:val="13"/>
                <w:szCs w:val="13"/>
                <w:color w:val="auto"/>
              </w:rPr>
            </w:pPr>
          </w:p>
        </w:tc>
        <w:tc>
          <w:tcPr>
            <w:tcW w:w="2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2"/>
                <w:szCs w:val="22"/>
                <w:color w:val="auto"/>
              </w:rPr>
            </w:pPr>
          </w:p>
        </w:tc>
        <w:tc>
          <w:tcPr>
            <w:tcW w:w="4140" w:type="dxa"/>
            <w:vAlign w:val="bottom"/>
            <w:gridSpan w:val="21"/>
          </w:tcPr>
          <w:p>
            <w:pPr>
              <w:spacing w:after="0"/>
              <w:rPr>
                <w:rFonts w:ascii="Arial" w:cs="Arial" w:eastAsia="Arial" w:hAnsi="Arial"/>
                <w:sz w:val="18"/>
                <w:szCs w:val="18"/>
                <w:color w:val="0000EE"/>
              </w:rPr>
            </w:pPr>
            <w:hyperlink r:id="rId140">
              <w:r>
                <w:rPr>
                  <w:rFonts w:ascii="Arial" w:cs="Arial" w:eastAsia="Arial" w:hAnsi="Arial"/>
                  <w:sz w:val="18"/>
                  <w:szCs w:val="18"/>
                  <w:color w:val="0000EE"/>
                </w:rPr>
                <w:t>2015 Stock Option and Incentive Plan and forms of</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86"/>
              </w:rPr>
            </w:pPr>
            <w:hyperlink r:id="rId140">
              <w:r>
                <w:rPr>
                  <w:rFonts w:ascii="Arial" w:cs="Arial" w:eastAsia="Arial" w:hAnsi="Arial"/>
                  <w:sz w:val="18"/>
                  <w:szCs w:val="18"/>
                  <w:color w:val="0000EE"/>
                  <w:w w:val="86"/>
                </w:rPr>
                <w:t>award agreements thereunder</w:t>
              </w:r>
            </w:hyperlink>
          </w:p>
        </w:tc>
        <w:tc>
          <w:tcPr>
            <w:tcW w:w="1580" w:type="dxa"/>
            <w:vAlign w:val="bottom"/>
            <w:tcBorders>
              <w:top w:val="single" w:sz="8" w:color="0000EE"/>
            </w:tcBorders>
            <w:gridSpan w:val="12"/>
          </w:tcPr>
          <w:p>
            <w:pPr>
              <w:spacing w:after="0"/>
              <w:rPr>
                <w:sz w:val="13"/>
                <w:szCs w:val="13"/>
                <w:color w:val="auto"/>
              </w:rPr>
            </w:pPr>
          </w:p>
        </w:tc>
        <w:tc>
          <w:tcPr>
            <w:tcW w:w="26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2"/>
                <w:szCs w:val="22"/>
                <w:color w:val="auto"/>
              </w:rPr>
            </w:pPr>
          </w:p>
        </w:tc>
        <w:tc>
          <w:tcPr>
            <w:tcW w:w="4140" w:type="dxa"/>
            <w:vAlign w:val="bottom"/>
            <w:gridSpan w:val="21"/>
          </w:tcPr>
          <w:p>
            <w:pPr>
              <w:spacing w:after="0"/>
              <w:rPr>
                <w:rFonts w:ascii="Arial" w:cs="Arial" w:eastAsia="Arial" w:hAnsi="Arial"/>
                <w:sz w:val="18"/>
                <w:szCs w:val="18"/>
                <w:color w:val="0000EE"/>
              </w:rPr>
            </w:pPr>
            <w:hyperlink r:id="rId141">
              <w:r>
                <w:rPr>
                  <w:rFonts w:ascii="Arial" w:cs="Arial" w:eastAsia="Arial" w:hAnsi="Arial"/>
                  <w:sz w:val="18"/>
                  <w:szCs w:val="18"/>
                  <w:color w:val="0000EE"/>
                </w:rPr>
                <w:t>Form of non-qualified stock option agreement for</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August 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7"/>
              </w:rPr>
            </w:pPr>
            <w:hyperlink r:id="rId141">
              <w:r>
                <w:rPr>
                  <w:rFonts w:ascii="Arial" w:cs="Arial" w:eastAsia="Arial" w:hAnsi="Arial"/>
                  <w:sz w:val="18"/>
                  <w:szCs w:val="18"/>
                  <w:color w:val="0000EE"/>
                  <w:w w:val="87"/>
                </w:rPr>
                <w:t>employees under 2015 Stock Option and Incentive</w:t>
              </w:r>
            </w:hyperlink>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0000EE"/>
            </w:tcBorders>
            <w:gridSpan w:val="2"/>
          </w:tcPr>
          <w:p>
            <w:pPr>
              <w:spacing w:after="0" w:line="156" w:lineRule="exact"/>
              <w:rPr>
                <w:rFonts w:ascii="Arial" w:cs="Arial" w:eastAsia="Arial" w:hAnsi="Arial"/>
                <w:sz w:val="18"/>
                <w:szCs w:val="18"/>
                <w:color w:val="0000EE"/>
                <w:w w:val="77"/>
              </w:rPr>
            </w:pPr>
            <w:hyperlink r:id="rId141">
              <w:r>
                <w:rPr>
                  <w:rFonts w:ascii="Arial" w:cs="Arial" w:eastAsia="Arial" w:hAnsi="Arial"/>
                  <w:sz w:val="18"/>
                  <w:szCs w:val="18"/>
                  <w:color w:val="0000EE"/>
                  <w:w w:val="77"/>
                </w:rPr>
                <w:t>Plan</w:t>
              </w:r>
            </w:hyperlink>
          </w:p>
        </w:tc>
        <w:tc>
          <w:tcPr>
            <w:tcW w:w="3320" w:type="dxa"/>
            <w:vAlign w:val="bottom"/>
            <w:gridSpan w:val="12"/>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2"/>
                <w:szCs w:val="22"/>
                <w:color w:val="auto"/>
              </w:rPr>
            </w:pPr>
          </w:p>
        </w:tc>
        <w:tc>
          <w:tcPr>
            <w:tcW w:w="4140" w:type="dxa"/>
            <w:vAlign w:val="bottom"/>
            <w:gridSpan w:val="21"/>
          </w:tcPr>
          <w:p>
            <w:pPr>
              <w:spacing w:after="0"/>
              <w:rPr>
                <w:rFonts w:ascii="Arial" w:cs="Arial" w:eastAsia="Arial" w:hAnsi="Arial"/>
                <w:sz w:val="18"/>
                <w:szCs w:val="18"/>
                <w:color w:val="0000EE"/>
              </w:rPr>
            </w:pPr>
            <w:hyperlink r:id="rId142">
              <w:r>
                <w:rPr>
                  <w:rFonts w:ascii="Arial" w:cs="Arial" w:eastAsia="Arial" w:hAnsi="Arial"/>
                  <w:sz w:val="18"/>
                  <w:szCs w:val="18"/>
                  <w:color w:val="0000EE"/>
                </w:rPr>
                <w:t>Form of non-qualified stock option agreement for</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August 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6"/>
              </w:rPr>
            </w:pPr>
            <w:hyperlink r:id="rId142">
              <w:r>
                <w:rPr>
                  <w:rFonts w:ascii="Arial" w:cs="Arial" w:eastAsia="Arial" w:hAnsi="Arial"/>
                  <w:sz w:val="18"/>
                  <w:szCs w:val="18"/>
                  <w:color w:val="0000EE"/>
                  <w:w w:val="86"/>
                </w:rPr>
                <w:t>consultants under 2015 Stock Option and Incentive</w:t>
              </w:r>
            </w:hyperlink>
          </w:p>
        </w:tc>
        <w:tc>
          <w:tcPr>
            <w:tcW w:w="40" w:type="dxa"/>
            <w:vAlign w:val="bottom"/>
            <w:tcBorders>
              <w:bottom w:val="single" w:sz="8" w:color="0000EE"/>
            </w:tcBorders>
          </w:tcPr>
          <w:p>
            <w:pPr>
              <w:spacing w:after="0"/>
              <w:rPr>
                <w:sz w:val="13"/>
                <w:szCs w:val="13"/>
                <w:color w:val="auto"/>
              </w:rPr>
            </w:pPr>
          </w:p>
        </w:tc>
        <w:tc>
          <w:tcPr>
            <w:tcW w:w="60" w:type="dxa"/>
            <w:vAlign w:val="bottom"/>
            <w:tcBorders>
              <w:bottom w:val="single" w:sz="8" w:color="0000EE"/>
            </w:tcBorders>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0000EE"/>
            </w:tcBorders>
            <w:gridSpan w:val="2"/>
          </w:tcPr>
          <w:p>
            <w:pPr>
              <w:spacing w:after="0" w:line="156" w:lineRule="exact"/>
              <w:rPr>
                <w:rFonts w:ascii="Arial" w:cs="Arial" w:eastAsia="Arial" w:hAnsi="Arial"/>
                <w:sz w:val="18"/>
                <w:szCs w:val="18"/>
                <w:color w:val="0000EE"/>
                <w:w w:val="77"/>
              </w:rPr>
            </w:pPr>
            <w:hyperlink r:id="rId142">
              <w:r>
                <w:rPr>
                  <w:rFonts w:ascii="Arial" w:cs="Arial" w:eastAsia="Arial" w:hAnsi="Arial"/>
                  <w:sz w:val="18"/>
                  <w:szCs w:val="18"/>
                  <w:color w:val="0000EE"/>
                  <w:w w:val="77"/>
                </w:rPr>
                <w:t>Plan</w:t>
              </w:r>
            </w:hyperlink>
          </w:p>
        </w:tc>
        <w:tc>
          <w:tcPr>
            <w:tcW w:w="3360" w:type="dxa"/>
            <w:vAlign w:val="bottom"/>
            <w:gridSpan w:val="13"/>
          </w:tcPr>
          <w:p>
            <w:pPr>
              <w:spacing w:after="0"/>
              <w:rPr>
                <w:sz w:val="13"/>
                <w:szCs w:val="13"/>
                <w:color w:val="auto"/>
              </w:rPr>
            </w:pPr>
          </w:p>
        </w:tc>
        <w:tc>
          <w:tcPr>
            <w:tcW w:w="2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2"/>
                <w:szCs w:val="22"/>
                <w:color w:val="auto"/>
              </w:rPr>
            </w:pPr>
          </w:p>
        </w:tc>
        <w:tc>
          <w:tcPr>
            <w:tcW w:w="4140" w:type="dxa"/>
            <w:vAlign w:val="bottom"/>
            <w:gridSpan w:val="21"/>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Form of restricted stock unit award agreement for</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August 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0" w:type="dxa"/>
            <w:vAlign w:val="bottom"/>
            <w:tcBorders>
              <w:top w:val="single" w:sz="8" w:color="0000EE"/>
            </w:tcBorders>
            <w:gridSpan w:val="13"/>
          </w:tcPr>
          <w:p>
            <w:pPr>
              <w:spacing w:after="0" w:line="15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employees under 2015 Stock Option and Incentive</w:t>
              </w:r>
            </w:hyperlink>
          </w:p>
        </w:tc>
        <w:tc>
          <w:tcPr>
            <w:tcW w:w="340" w:type="dxa"/>
            <w:vAlign w:val="bottom"/>
            <w:gridSpan w:val="6"/>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77"/>
              </w:rPr>
            </w:pPr>
            <w:hyperlink r:id="rId143">
              <w:r>
                <w:rPr>
                  <w:rFonts w:ascii="Arial" w:cs="Arial" w:eastAsia="Arial" w:hAnsi="Arial"/>
                  <w:sz w:val="18"/>
                  <w:szCs w:val="18"/>
                  <w:color w:val="0000EE"/>
                  <w:w w:val="77"/>
                </w:rPr>
                <w:t>Plan</w:t>
              </w:r>
            </w:hyperlink>
          </w:p>
        </w:tc>
        <w:tc>
          <w:tcPr>
            <w:tcW w:w="3320" w:type="dxa"/>
            <w:vAlign w:val="bottom"/>
            <w:tcBorders>
              <w:top w:val="single" w:sz="8" w:color="0000EE"/>
            </w:tcBorders>
            <w:gridSpan w:val="12"/>
          </w:tcPr>
          <w:p>
            <w:pPr>
              <w:spacing w:after="0"/>
              <w:rPr>
                <w:sz w:val="13"/>
                <w:szCs w:val="13"/>
                <w:color w:val="auto"/>
              </w:rPr>
            </w:pPr>
          </w:p>
        </w:tc>
        <w:tc>
          <w:tcPr>
            <w:tcW w:w="32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2"/>
                <w:szCs w:val="22"/>
                <w:color w:val="auto"/>
              </w:rPr>
            </w:pPr>
          </w:p>
        </w:tc>
        <w:tc>
          <w:tcPr>
            <w:tcW w:w="4140" w:type="dxa"/>
            <w:vAlign w:val="bottom"/>
            <w:gridSpan w:val="21"/>
          </w:tcPr>
          <w:p>
            <w:pPr>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Form of restricted stock unit award agreement for non-</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August 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4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r:id="rId144">
              <w:r>
                <w:rPr>
                  <w:rFonts w:ascii="Arial" w:cs="Arial" w:eastAsia="Arial" w:hAnsi="Arial"/>
                  <w:sz w:val="18"/>
                  <w:szCs w:val="18"/>
                  <w:color w:val="0000EE"/>
                </w:rPr>
                <w:t>employee directors under 2015 Stock Option and</w:t>
              </w:r>
            </w:hyperlink>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2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r:id="rId144">
              <w:r>
                <w:rPr>
                  <w:rFonts w:ascii="Arial" w:cs="Arial" w:eastAsia="Arial" w:hAnsi="Arial"/>
                  <w:sz w:val="18"/>
                  <w:szCs w:val="18"/>
                  <w:color w:val="0000EE"/>
                </w:rPr>
                <w:t>Incentive Plan</w:t>
              </w:r>
            </w:hyperlink>
          </w:p>
        </w:tc>
        <w:tc>
          <w:tcPr>
            <w:tcW w:w="620" w:type="dxa"/>
            <w:vAlign w:val="bottom"/>
            <w:gridSpan w:val="10"/>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top w:val="single" w:sz="8" w:color="0000EE"/>
            </w:tcBorders>
            <w:gridSpan w:val="3"/>
          </w:tcPr>
          <w:p>
            <w:pPr>
              <w:spacing w:after="0"/>
              <w:rPr>
                <w:sz w:val="24"/>
                <w:szCs w:val="24"/>
                <w:color w:val="auto"/>
              </w:rPr>
            </w:pPr>
          </w:p>
        </w:tc>
        <w:tc>
          <w:tcPr>
            <w:tcW w:w="2940" w:type="dxa"/>
            <w:vAlign w:val="bottom"/>
            <w:gridSpan w:val="16"/>
          </w:tcPr>
          <w:p>
            <w:pPr>
              <w:jc w:val="right"/>
              <w:ind w:right="16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11" w:right="137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40" w:type="dxa"/>
            <w:vAlign w:val="bottom"/>
            <w:gridSpan w:val="30"/>
            <w:vMerge w:val="restart"/>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4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0" w:type="dxa"/>
            <w:vAlign w:val="bottom"/>
          </w:tcPr>
          <w:p>
            <w:pPr>
              <w:spacing w:after="0" w:line="156" w:lineRule="exact"/>
              <w:rPr>
                <w:sz w:val="20"/>
                <w:szCs w:val="20"/>
                <w:color w:val="auto"/>
              </w:rPr>
            </w:pPr>
            <w:r>
              <w:rPr>
                <w:rFonts w:ascii="Arial" w:cs="Arial" w:eastAsia="Arial" w:hAnsi="Arial"/>
                <w:sz w:val="18"/>
                <w:szCs w:val="18"/>
                <w:color w:val="auto"/>
              </w:rPr>
              <w:t>10.7#</w:t>
            </w: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980" w:type="dxa"/>
            <w:vAlign w:val="bottom"/>
            <w:gridSpan w:val="34"/>
          </w:tcPr>
          <w:p>
            <w:pPr>
              <w:spacing w:after="0" w:line="156" w:lineRule="exact"/>
              <w:rPr>
                <w:rFonts w:ascii="Arial" w:cs="Arial" w:eastAsia="Arial" w:hAnsi="Arial"/>
                <w:sz w:val="18"/>
                <w:szCs w:val="18"/>
                <w:color w:val="0000EE"/>
              </w:rPr>
            </w:pPr>
            <w:hyperlink r:id="rId145">
              <w:r>
                <w:rPr>
                  <w:rFonts w:ascii="Arial" w:cs="Arial" w:eastAsia="Arial" w:hAnsi="Arial"/>
                  <w:sz w:val="18"/>
                  <w:szCs w:val="18"/>
                  <w:color w:val="0000EE"/>
                </w:rPr>
                <w:t>Form of restricted stock unit award agreement for</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consultants under 2015 Stock Option and Incentive</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0000EE"/>
            </w:tcBorders>
            <w:gridSpan w:val="2"/>
          </w:tcPr>
          <w:p>
            <w:pPr>
              <w:spacing w:after="0" w:line="156" w:lineRule="exact"/>
              <w:rPr>
                <w:rFonts w:ascii="Arial" w:cs="Arial" w:eastAsia="Arial" w:hAnsi="Arial"/>
                <w:sz w:val="18"/>
                <w:szCs w:val="18"/>
                <w:color w:val="0000EE"/>
                <w:w w:val="77"/>
              </w:rPr>
            </w:pPr>
            <w:hyperlink r:id="rId145">
              <w:r>
                <w:rPr>
                  <w:rFonts w:ascii="Arial" w:cs="Arial" w:eastAsia="Arial" w:hAnsi="Arial"/>
                  <w:sz w:val="18"/>
                  <w:szCs w:val="18"/>
                  <w:color w:val="0000EE"/>
                  <w:w w:val="77"/>
                </w:rPr>
                <w:t>Plan</w:t>
              </w:r>
            </w:hyperlink>
          </w:p>
        </w:tc>
        <w:tc>
          <w:tcPr>
            <w:tcW w:w="338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rPr>
            </w:pPr>
            <w:hyperlink r:id="rId146">
              <w:r>
                <w:rPr>
                  <w:rFonts w:ascii="Arial" w:cs="Arial" w:eastAsia="Arial" w:hAnsi="Arial"/>
                  <w:sz w:val="18"/>
                  <w:szCs w:val="18"/>
                  <w:color w:val="0000EE"/>
                </w:rPr>
                <w:t>2015 Employee Stock Purchase Plan</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6"/>
              </w:rPr>
            </w:pPr>
            <w:hyperlink r:id="rId147">
              <w:r>
                <w:rPr>
                  <w:rFonts w:ascii="Arial" w:cs="Arial" w:eastAsia="Arial" w:hAnsi="Arial"/>
                  <w:sz w:val="18"/>
                  <w:szCs w:val="18"/>
                  <w:color w:val="0000EE"/>
                  <w:w w:val="96"/>
                </w:rPr>
                <w:t>Lease Agreement, dated February 11, 2015, by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0000EE"/>
                <w:w w:val="86"/>
              </w:rPr>
            </w:pPr>
            <w:hyperlink r:id="rId147">
              <w:r>
                <w:rPr>
                  <w:rFonts w:ascii="Arial" w:cs="Arial" w:eastAsia="Arial" w:hAnsi="Arial"/>
                  <w:sz w:val="18"/>
                  <w:szCs w:val="18"/>
                  <w:color w:val="0000EE"/>
                  <w:w w:val="86"/>
                </w:rPr>
                <w:t>between the Registrant and 38 Sidney Street Limited</w:t>
              </w:r>
            </w:hyperlink>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0000EE"/>
            </w:tcBorders>
            <w:gridSpan w:val="4"/>
          </w:tcPr>
          <w:p>
            <w:pPr>
              <w:spacing w:after="0" w:line="156" w:lineRule="exact"/>
              <w:rPr>
                <w:rFonts w:ascii="Arial" w:cs="Arial" w:eastAsia="Arial" w:hAnsi="Arial"/>
                <w:sz w:val="18"/>
                <w:szCs w:val="18"/>
                <w:color w:val="0000EE"/>
                <w:w w:val="84"/>
              </w:rPr>
            </w:pPr>
            <w:hyperlink r:id="rId147">
              <w:r>
                <w:rPr>
                  <w:rFonts w:ascii="Arial" w:cs="Arial" w:eastAsia="Arial" w:hAnsi="Arial"/>
                  <w:sz w:val="18"/>
                  <w:szCs w:val="18"/>
                  <w:color w:val="0000EE"/>
                  <w:w w:val="84"/>
                </w:rPr>
                <w:t>Partnership</w:t>
              </w:r>
            </w:hyperlink>
          </w:p>
        </w:tc>
        <w:tc>
          <w:tcPr>
            <w:tcW w:w="300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2"/>
                <w:szCs w:val="22"/>
                <w:color w:val="auto"/>
              </w:rPr>
            </w:pPr>
          </w:p>
        </w:tc>
        <w:tc>
          <w:tcPr>
            <w:tcW w:w="38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First Amendment to Lease Agreement, dated January</w:t>
              </w:r>
            </w:hyperlink>
          </w:p>
        </w:tc>
        <w:tc>
          <w:tcPr>
            <w:tcW w:w="1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35"/>
          </w:tcPr>
          <w:p>
            <w:pPr>
              <w:spacing w:after="0" w:line="15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26, 2018, by and between the Registrant and 38 Sidney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Street Limited Partnership</w:t>
              </w:r>
            </w:hyperlink>
          </w:p>
        </w:tc>
        <w:tc>
          <w:tcPr>
            <w:tcW w:w="2060" w:type="dxa"/>
            <w:vAlign w:val="bottom"/>
            <w:tcBorders>
              <w:top w:val="single" w:sz="8" w:color="0000EE"/>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2"/>
                <w:szCs w:val="22"/>
                <w:color w:val="auto"/>
              </w:rPr>
            </w:pPr>
          </w:p>
        </w:tc>
        <w:tc>
          <w:tcPr>
            <w:tcW w:w="3420" w:type="dxa"/>
            <w:vAlign w:val="bottom"/>
            <w:tcBorders>
              <w:bottom w:val="single" w:sz="8" w:color="0000EE"/>
            </w:tcBorders>
            <w:gridSpan w:val="12"/>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Lease Agreement, dated April 28, 2017, by and</w:t>
              </w:r>
            </w:hyperlink>
          </w:p>
        </w:tc>
        <w:tc>
          <w:tcPr>
            <w:tcW w:w="58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35"/>
          </w:tcPr>
          <w:p>
            <w:pPr>
              <w:spacing w:after="0" w:line="156"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between the Registrant and UP 45/75 Sidney Street,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LLC</w:t>
              </w:r>
            </w:hyperlink>
          </w:p>
        </w:tc>
        <w:tc>
          <w:tcPr>
            <w:tcW w:w="342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First Amendment of Lease, dated September 19, 2018,</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Borders>
              <w:top w:val="single" w:sz="8" w:color="0000EE"/>
            </w:tcBorders>
            <w:gridSpan w:val="31"/>
          </w:tcPr>
          <w:p>
            <w:pPr>
              <w:spacing w:after="0" w:line="156" w:lineRule="exact"/>
              <w:rPr>
                <w:rFonts w:ascii="Arial" w:cs="Arial" w:eastAsia="Arial" w:hAnsi="Arial"/>
                <w:sz w:val="18"/>
                <w:szCs w:val="18"/>
                <w:color w:val="0000EE"/>
                <w:w w:val="98"/>
              </w:rPr>
            </w:pPr>
            <w:hyperlink r:id="rId150">
              <w:r>
                <w:rPr>
                  <w:rFonts w:ascii="Arial" w:cs="Arial" w:eastAsia="Arial" w:hAnsi="Arial"/>
                  <w:sz w:val="18"/>
                  <w:szCs w:val="18"/>
                  <w:color w:val="0000EE"/>
                  <w:w w:val="98"/>
                </w:rPr>
                <w:t>between Blueprint Medicines Corporation and UP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8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r:id="rId150">
              <w:r>
                <w:rPr>
                  <w:rFonts w:ascii="Arial" w:cs="Arial" w:eastAsia="Arial" w:hAnsi="Arial"/>
                  <w:sz w:val="18"/>
                  <w:szCs w:val="18"/>
                  <w:color w:val="0000EE"/>
                </w:rPr>
                <w:t>45/75 Sidney Street, LLC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Employment Agreement, dated November 6, 2015,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tcBorders>
              <w:top w:val="single" w:sz="8" w:color="0000EE"/>
            </w:tcBorders>
            <w:gridSpan w:val="29"/>
          </w:tcPr>
          <w:p>
            <w:pPr>
              <w:spacing w:after="0" w:line="15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and between the Registrant and Jeffrey W. Albers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Employment Agreement, dated November 6, 2015,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and between the Registrant and Anthony L. Boral</w:t>
              </w:r>
            </w:hyperlink>
          </w:p>
        </w:tc>
        <w:tc>
          <w:tcPr>
            <w:tcW w:w="32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7"/>
              </w:rPr>
            </w:pPr>
            <w:hyperlink r:id="rId153">
              <w:r>
                <w:rPr>
                  <w:rFonts w:ascii="Arial" w:cs="Arial" w:eastAsia="Arial" w:hAnsi="Arial"/>
                  <w:sz w:val="18"/>
                  <w:szCs w:val="18"/>
                  <w:color w:val="0000EE"/>
                  <w:w w:val="97"/>
                </w:rPr>
                <w:t>Employment Agreement, dated March 10, 2016,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8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and between the Registrant and Kathryn Haviland</w:t>
              </w:r>
            </w:hyperlink>
          </w:p>
        </w:tc>
        <w:tc>
          <w:tcPr>
            <w:tcW w:w="12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7"/>
              </w:rPr>
            </w:pPr>
            <w:hyperlink r:id="rId154">
              <w:r>
                <w:rPr>
                  <w:rFonts w:ascii="Arial" w:cs="Arial" w:eastAsia="Arial" w:hAnsi="Arial"/>
                  <w:sz w:val="18"/>
                  <w:szCs w:val="18"/>
                  <w:color w:val="0000EE"/>
                  <w:w w:val="97"/>
                </w:rPr>
                <w:t>First Amendment to Employment Agreement, dated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60" w:type="dxa"/>
            <w:vAlign w:val="bottom"/>
            <w:tcBorders>
              <w:top w:val="single" w:sz="8" w:color="0000EE"/>
              <w:bottom w:val="single" w:sz="8" w:color="0000EE"/>
            </w:tcBorders>
            <w:gridSpan w:val="23"/>
          </w:tcPr>
          <w:p>
            <w:pPr>
              <w:spacing w:after="0" w:line="156" w:lineRule="exact"/>
              <w:rPr>
                <w:rFonts w:ascii="Arial" w:cs="Arial" w:eastAsia="Arial" w:hAnsi="Arial"/>
                <w:sz w:val="18"/>
                <w:szCs w:val="18"/>
                <w:color w:val="0000EE"/>
                <w:w w:val="87"/>
              </w:rPr>
            </w:pPr>
            <w:hyperlink r:id="rId154">
              <w:r>
                <w:rPr>
                  <w:rFonts w:ascii="Arial" w:cs="Arial" w:eastAsia="Arial" w:hAnsi="Arial"/>
                  <w:sz w:val="18"/>
                  <w:szCs w:val="18"/>
                  <w:color w:val="0000EE"/>
                  <w:w w:val="87"/>
                </w:rPr>
                <w:t>January 30, 2019, by and between the Registrant and</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20" w:type="dxa"/>
            <w:vAlign w:val="bottom"/>
            <w:gridSpan w:val="26"/>
          </w:tcPr>
          <w:p>
            <w:pPr>
              <w:spacing w:after="0" w:line="156" w:lineRule="exact"/>
              <w:rPr>
                <w:rFonts w:ascii="Arial" w:cs="Arial" w:eastAsia="Arial" w:hAnsi="Arial"/>
                <w:sz w:val="18"/>
                <w:szCs w:val="18"/>
                <w:color w:val="0000EE"/>
              </w:rPr>
            </w:pPr>
            <w:hyperlink r:id="rId154">
              <w:r>
                <w:rPr>
                  <w:rFonts w:ascii="Arial" w:cs="Arial" w:eastAsia="Arial" w:hAnsi="Arial"/>
                  <w:sz w:val="18"/>
                  <w:szCs w:val="18"/>
                  <w:color w:val="0000EE"/>
                </w:rPr>
                <w:t>Kathryn Haviland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Employment Agreement, dated September 6, 2016,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0" w:type="dxa"/>
            <w:vAlign w:val="bottom"/>
            <w:tcBorders>
              <w:top w:val="single" w:sz="8" w:color="0000EE"/>
              <w:bottom w:val="single" w:sz="8" w:color="0000EE"/>
            </w:tcBorders>
            <w:gridSpan w:val="16"/>
          </w:tcPr>
          <w:p>
            <w:pPr>
              <w:spacing w:after="0" w:line="15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and between the Registrant and Tracey L. McCain</w:t>
              </w:r>
            </w:hyperlink>
          </w:p>
        </w:tc>
        <w:tc>
          <w:tcPr>
            <w:tcW w:w="300" w:type="dxa"/>
            <w:vAlign w:val="bottom"/>
            <w:tcBorders>
              <w:top w:val="single" w:sz="8" w:color="0000EE"/>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Employment Agreement, dated November 9, 2016,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8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and between the Registrant and Marion Dorsch</w:t>
              </w:r>
            </w:hyperlink>
          </w:p>
        </w:tc>
        <w:tc>
          <w:tcPr>
            <w:tcW w:w="500" w:type="dxa"/>
            <w:vAlign w:val="bottom"/>
            <w:tcBorders>
              <w:top w:val="single" w:sz="8" w:color="0000EE"/>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Employment Agreement, dated October 10, 2017,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20" w:type="dxa"/>
            <w:vAlign w:val="bottom"/>
            <w:tcBorders>
              <w:top w:val="single" w:sz="8" w:color="0000EE"/>
              <w:bottom w:val="single" w:sz="8" w:color="0000EE"/>
            </w:tcBorders>
            <w:gridSpan w:val="21"/>
          </w:tcPr>
          <w:p>
            <w:pPr>
              <w:spacing w:after="0" w:line="15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and between the Registrant and Christopher Murray</w:t>
              </w:r>
            </w:hyperlink>
          </w:p>
        </w:tc>
        <w:tc>
          <w:tcPr>
            <w:tcW w:w="120" w:type="dxa"/>
            <w:vAlign w:val="bottom"/>
            <w:tcBorders>
              <w:top w:val="single" w:sz="8" w:color="0000EE"/>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Employment Agreement, dated November 22, 2017,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4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and between the Registrant and Michael Landsittel</w:t>
              </w:r>
            </w:hyperlink>
          </w:p>
        </w:tc>
        <w:tc>
          <w:tcPr>
            <w:tcW w:w="34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7"/>
              </w:rPr>
            </w:pPr>
            <w:hyperlink r:id="rId159">
              <w:r>
                <w:rPr>
                  <w:rFonts w:ascii="Arial" w:cs="Arial" w:eastAsia="Arial" w:hAnsi="Arial"/>
                  <w:sz w:val="18"/>
                  <w:szCs w:val="18"/>
                  <w:color w:val="0000EE"/>
                  <w:w w:val="97"/>
                </w:rPr>
                <w:t>First Amendment to Employment Agreement, dated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60" w:type="dxa"/>
            <w:vAlign w:val="bottom"/>
            <w:tcBorders>
              <w:top w:val="single" w:sz="8" w:color="0000EE"/>
            </w:tcBorders>
            <w:gridSpan w:val="23"/>
          </w:tcPr>
          <w:p>
            <w:pPr>
              <w:spacing w:after="0" w:line="156" w:lineRule="exact"/>
              <w:rPr>
                <w:rFonts w:ascii="Arial" w:cs="Arial" w:eastAsia="Arial" w:hAnsi="Arial"/>
                <w:sz w:val="18"/>
                <w:szCs w:val="18"/>
                <w:color w:val="0000EE"/>
                <w:w w:val="87"/>
              </w:rPr>
            </w:pPr>
            <w:hyperlink r:id="rId159">
              <w:r>
                <w:rPr>
                  <w:rFonts w:ascii="Arial" w:cs="Arial" w:eastAsia="Arial" w:hAnsi="Arial"/>
                  <w:sz w:val="18"/>
                  <w:szCs w:val="18"/>
                  <w:color w:val="0000EE"/>
                  <w:w w:val="87"/>
                </w:rPr>
                <w:t>January 30, 2019, by and between the Registrant and</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2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59">
              <w:r>
                <w:rPr>
                  <w:rFonts w:ascii="Arial" w:cs="Arial" w:eastAsia="Arial" w:hAnsi="Arial"/>
                  <w:sz w:val="18"/>
                  <w:szCs w:val="18"/>
                  <w:color w:val="0000EE"/>
                </w:rPr>
                <w:t>Michael Landsittel</w:t>
              </w:r>
            </w:hyperlink>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Employment Agreement, dated October 29, 2018,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and between the Registrant and Christina Rossi</w:t>
              </w:r>
            </w:hyperlink>
          </w:p>
        </w:tc>
        <w:tc>
          <w:tcPr>
            <w:tcW w:w="440" w:type="dxa"/>
            <w:vAlign w:val="bottom"/>
            <w:tcBorders>
              <w:top w:val="single" w:sz="8" w:color="0000EE"/>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2"/>
                <w:szCs w:val="22"/>
                <w:color w:val="auto"/>
              </w:rPr>
            </w:pPr>
          </w:p>
        </w:tc>
        <w:tc>
          <w:tcPr>
            <w:tcW w:w="4000" w:type="dxa"/>
            <w:vAlign w:val="bottom"/>
            <w:gridSpan w:val="35"/>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Collaboration and License Agreement, effective March</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60" w:type="dxa"/>
            <w:vAlign w:val="bottom"/>
            <w:tcBorders>
              <w:top w:val="single" w:sz="8" w:color="0000EE"/>
            </w:tcBorders>
            <w:gridSpan w:val="33"/>
          </w:tcPr>
          <w:p>
            <w:pPr>
              <w:spacing w:after="0" w:line="15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14, 2016, by and among F. Hoffmann-La Roche Ltd,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80" w:type="dxa"/>
            <w:vAlign w:val="bottom"/>
            <w:tcBorders>
              <w:top w:val="single" w:sz="8" w:color="0000EE"/>
            </w:tcBorders>
            <w:gridSpan w:val="24"/>
          </w:tcPr>
          <w:p>
            <w:pPr>
              <w:spacing w:after="0" w:line="156"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Hoffmann-La Roche Inc. and the Registrant, as</w:t>
              </w:r>
            </w:hyperlink>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80" w:type="dxa"/>
            <w:vAlign w:val="bottom"/>
            <w:tcBorders>
              <w:top w:val="single" w:sz="8" w:color="0000EE"/>
            </w:tcBorders>
            <w:gridSpan w:val="10"/>
          </w:tcPr>
          <w:p>
            <w:pPr>
              <w:spacing w:after="0" w:line="15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amended by Amendment to Collaboration and</w:t>
              </w:r>
            </w:hyperlink>
          </w:p>
        </w:tc>
        <w:tc>
          <w:tcPr>
            <w:tcW w:w="620" w:type="dxa"/>
            <w:vAlign w:val="bottom"/>
            <w:gridSpan w:val="25"/>
          </w:tcPr>
          <w:p>
            <w:pPr>
              <w:jc w:val="center"/>
              <w:ind w:right="80"/>
              <w:spacing w:after="0" w:line="156" w:lineRule="exact"/>
              <w:rPr>
                <w:rFonts w:ascii="Arial" w:cs="Arial" w:eastAsia="Arial" w:hAnsi="Arial"/>
                <w:sz w:val="18"/>
                <w:szCs w:val="18"/>
                <w:color w:val="0000EE"/>
                <w:w w:val="86"/>
              </w:rPr>
            </w:pPr>
            <w:hyperlink r:id="rId161">
              <w:r>
                <w:rPr>
                  <w:rFonts w:ascii="Arial" w:cs="Arial" w:eastAsia="Arial" w:hAnsi="Arial"/>
                  <w:sz w:val="18"/>
                  <w:szCs w:val="18"/>
                  <w:color w:val="0000EE"/>
                  <w:w w:val="86"/>
                </w:rPr>
                <w:t>License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r:id="rId161">
              <w:r>
                <w:rPr>
                  <w:rFonts w:ascii="Arial" w:cs="Arial" w:eastAsia="Arial" w:hAnsi="Arial"/>
                  <w:sz w:val="18"/>
                  <w:szCs w:val="18"/>
                  <w:color w:val="0000EE"/>
                </w:rPr>
                <w:t>Agreement, effective April 15, 2016</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Borders>
              <w:top w:val="single" w:sz="8" w:color="0000EE"/>
            </w:tcBorders>
            <w:gridSpan w:val="9"/>
          </w:tcPr>
          <w:p>
            <w:pPr>
              <w:spacing w:after="0"/>
              <w:rPr>
                <w:sz w:val="24"/>
                <w:szCs w:val="24"/>
                <w:color w:val="auto"/>
              </w:rPr>
            </w:pPr>
          </w:p>
        </w:tc>
        <w:tc>
          <w:tcPr>
            <w:tcW w:w="1220" w:type="dxa"/>
            <w:vAlign w:val="bottom"/>
            <w:gridSpan w:val="18"/>
          </w:tcPr>
          <w:p>
            <w:pPr>
              <w:jc w:val="right"/>
              <w:ind w:right="6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Exhibit</w:t>
            </w:r>
          </w:p>
        </w:tc>
        <w:tc>
          <w:tcPr>
            <w:tcW w:w="160" w:type="dxa"/>
            <w:vAlign w:val="bottom"/>
            <w:vMerge w:val="continue"/>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7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vMerge w:val="continue"/>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August 1, 2018</w:t>
            </w:r>
          </w:p>
        </w:tc>
        <w:tc>
          <w:tcPr>
            <w:tcW w:w="0" w:type="dxa"/>
            <w:vAlign w:val="bottom"/>
          </w:tcPr>
          <w:p>
            <w:pPr>
              <w:spacing w:after="0"/>
              <w:rPr>
                <w:sz w:val="1"/>
                <w:szCs w:val="1"/>
                <w:color w:val="auto"/>
              </w:rPr>
            </w:pPr>
          </w:p>
        </w:tc>
      </w:tr>
      <w:tr>
        <w:trPr>
          <w:trHeight w:val="607"/>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333-203749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April 30, 2015</w:t>
            </w:r>
          </w:p>
        </w:tc>
        <w:tc>
          <w:tcPr>
            <w:tcW w:w="0" w:type="dxa"/>
            <w:vAlign w:val="bottom"/>
          </w:tcPr>
          <w:p>
            <w:pPr>
              <w:spacing w:after="0"/>
              <w:rPr>
                <w:sz w:val="1"/>
                <w:szCs w:val="1"/>
                <w:color w:val="auto"/>
              </w:rPr>
            </w:pPr>
          </w:p>
        </w:tc>
      </w:tr>
      <w:tr>
        <w:trPr>
          <w:trHeight w:val="284"/>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May 3, 2017</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September 25, 2018</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February 5, 2019</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10, 2016</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14, 2016</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October 31, 2017</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February 5, 2019</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October 29, 2018</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10-Q/A</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July 22, 2016</w:t>
            </w:r>
          </w:p>
        </w:tc>
        <w:tc>
          <w:tcPr>
            <w:tcW w:w="0" w:type="dxa"/>
            <w:vAlign w:val="bottom"/>
          </w:tcPr>
          <w:p>
            <w:pPr>
              <w:spacing w:after="0"/>
              <w:rPr>
                <w:sz w:val="1"/>
                <w:szCs w:val="1"/>
                <w:color w:val="auto"/>
              </w:rPr>
            </w:pPr>
          </w:p>
        </w:tc>
      </w:tr>
    </w:tbl>
    <w:p>
      <w:pPr>
        <w:sectPr>
          <w:pgSz w:w="11900" w:h="16838" w:orient="portrait"/>
          <w:cols w:equalWidth="0" w:num="2">
            <w:col w:w="4860" w:space="160"/>
            <w:col w:w="4080"/>
          </w:cols>
          <w:pgMar w:left="1420" w:top="111" w:right="137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0" w:type="dxa"/>
            <w:vAlign w:val="bottom"/>
          </w:tcPr>
          <w:p>
            <w:pPr>
              <w:spacing w:after="0" w:line="156" w:lineRule="exact"/>
              <w:rPr>
                <w:sz w:val="20"/>
                <w:szCs w:val="20"/>
                <w:color w:val="auto"/>
              </w:rPr>
            </w:pPr>
            <w:r>
              <w:rPr>
                <w:rFonts w:ascii="Arial" w:cs="Arial" w:eastAsia="Arial" w:hAnsi="Arial"/>
                <w:sz w:val="18"/>
                <w:szCs w:val="18"/>
                <w:color w:val="auto"/>
              </w:rPr>
              <w:t>10.24†</w:t>
            </w: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40" w:type="dxa"/>
            <w:vAlign w:val="bottom"/>
            <w:gridSpan w:val="28"/>
          </w:tcPr>
          <w:p>
            <w:pPr>
              <w:spacing w:after="0" w:line="156" w:lineRule="exact"/>
              <w:rPr>
                <w:rFonts w:ascii="Arial" w:cs="Arial" w:eastAsia="Arial" w:hAnsi="Arial"/>
                <w:sz w:val="18"/>
                <w:szCs w:val="18"/>
                <w:color w:val="0000EE"/>
              </w:rPr>
            </w:pPr>
            <w:hyperlink r:id="rId163">
              <w:r>
                <w:rPr>
                  <w:rFonts w:ascii="Arial" w:cs="Arial" w:eastAsia="Arial" w:hAnsi="Arial"/>
                  <w:sz w:val="18"/>
                  <w:szCs w:val="18"/>
                  <w:color w:val="0000EE"/>
                </w:rPr>
                <w:t>Second Amendment to Collaboration and License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00" w:type="dxa"/>
            <w:vAlign w:val="bottom"/>
            <w:tcBorders>
              <w:bottom w:val="single" w:sz="8" w:color="0000EE"/>
            </w:tcBorders>
            <w:gridSpan w:val="21"/>
          </w:tcPr>
          <w:p>
            <w:pPr>
              <w:spacing w:after="0" w:line="15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Agreement, effective April 27, 2016, by and among F.</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29"/>
          </w:tcPr>
          <w:p>
            <w:pPr>
              <w:spacing w:after="0" w:line="156" w:lineRule="exact"/>
              <w:rPr>
                <w:rFonts w:ascii="Arial" w:cs="Arial" w:eastAsia="Arial" w:hAnsi="Arial"/>
                <w:sz w:val="18"/>
                <w:szCs w:val="18"/>
                <w:color w:val="0000EE"/>
                <w:w w:val="93"/>
              </w:rPr>
            </w:pPr>
            <w:hyperlink r:id="rId163">
              <w:r>
                <w:rPr>
                  <w:rFonts w:ascii="Arial" w:cs="Arial" w:eastAsia="Arial" w:hAnsi="Arial"/>
                  <w:sz w:val="18"/>
                  <w:szCs w:val="18"/>
                  <w:color w:val="0000EE"/>
                  <w:w w:val="93"/>
                </w:rPr>
                <w:t>Hoffmann-La Roche Ltd, Hoffmann-La Roche Inc.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7"/>
              </w:rPr>
            </w:pPr>
            <w:hyperlink r:id="rId163">
              <w:r>
                <w:rPr>
                  <w:rFonts w:ascii="Arial" w:cs="Arial" w:eastAsia="Arial" w:hAnsi="Arial"/>
                  <w:sz w:val="18"/>
                  <w:szCs w:val="18"/>
                  <w:color w:val="0000EE"/>
                  <w:w w:val="87"/>
                </w:rPr>
                <w:t>the Registrant</w:t>
              </w:r>
            </w:hyperlink>
          </w:p>
        </w:tc>
        <w:tc>
          <w:tcPr>
            <w:tcW w:w="3000" w:type="dxa"/>
            <w:vAlign w:val="bottom"/>
            <w:tcBorders>
              <w:top w:val="single" w:sz="8" w:color="0000EE"/>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2"/>
                <w:szCs w:val="22"/>
                <w:color w:val="auto"/>
              </w:rPr>
            </w:pPr>
          </w:p>
        </w:tc>
        <w:tc>
          <w:tcPr>
            <w:tcW w:w="3460" w:type="dxa"/>
            <w:vAlign w:val="bottom"/>
            <w:tcBorders>
              <w:bottom w:val="single" w:sz="8" w:color="0000EE"/>
            </w:tcBorders>
            <w:gridSpan w:val="13"/>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Third Amendment to Collaboration and License</w:t>
              </w:r>
            </w:hyperlink>
          </w:p>
        </w:tc>
        <w:tc>
          <w:tcPr>
            <w:tcW w:w="60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29"/>
          </w:tcPr>
          <w:p>
            <w:pPr>
              <w:spacing w:after="0" w:line="15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Agreement, effective August 4, 2016, by and among 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tcBorders>
              <w:top w:val="single" w:sz="8" w:color="0000EE"/>
            </w:tcBorders>
            <w:gridSpan w:val="23"/>
          </w:tcPr>
          <w:p>
            <w:pPr>
              <w:spacing w:after="0" w:line="15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Hoffmann-La Roche Ltd, Hoffmann-La Roche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7"/>
              </w:rPr>
            </w:pPr>
            <w:hyperlink r:id="rId164">
              <w:r>
                <w:rPr>
                  <w:rFonts w:ascii="Arial" w:cs="Arial" w:eastAsia="Arial" w:hAnsi="Arial"/>
                  <w:sz w:val="18"/>
                  <w:szCs w:val="18"/>
                  <w:color w:val="0000EE"/>
                  <w:w w:val="87"/>
                </w:rPr>
                <w:t>the Registrant</w:t>
              </w:r>
            </w:hyperlink>
          </w:p>
        </w:tc>
        <w:tc>
          <w:tcPr>
            <w:tcW w:w="3000" w:type="dxa"/>
            <w:vAlign w:val="bottom"/>
            <w:tcBorders>
              <w:top w:val="single" w:sz="8" w:color="0000EE"/>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Fourth Amendment to Collaboration and License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80" w:type="dxa"/>
            <w:vAlign w:val="bottom"/>
            <w:tcBorders>
              <w:top w:val="single" w:sz="8" w:color="0000EE"/>
            </w:tcBorders>
            <w:gridSpan w:val="17"/>
          </w:tcPr>
          <w:p>
            <w:pPr>
              <w:spacing w:after="0" w:line="15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Agreement, effective February 25, 2019, by and</w:t>
              </w:r>
            </w:hyperlink>
          </w:p>
        </w:tc>
        <w:tc>
          <w:tcPr>
            <w:tcW w:w="480" w:type="dxa"/>
            <w:vAlign w:val="bottom"/>
            <w:gridSpan w:val="12"/>
          </w:tcPr>
          <w:p>
            <w:pPr>
              <w:spacing w:after="0" w:line="156" w:lineRule="exact"/>
              <w:rPr>
                <w:rFonts w:ascii="Arial" w:cs="Arial" w:eastAsia="Arial" w:hAnsi="Arial"/>
                <w:sz w:val="18"/>
                <w:szCs w:val="18"/>
                <w:color w:val="0000EE"/>
                <w:w w:val="83"/>
              </w:rPr>
            </w:pPr>
            <w:hyperlink w:anchor="page148">
              <w:r>
                <w:rPr>
                  <w:rFonts w:ascii="Arial" w:cs="Arial" w:eastAsia="Arial" w:hAnsi="Arial"/>
                  <w:sz w:val="18"/>
                  <w:szCs w:val="18"/>
                  <w:color w:val="0000EE"/>
                  <w:w w:val="83"/>
                </w:rPr>
                <w:t>among</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20" w:type="dxa"/>
            <w:vAlign w:val="bottom"/>
            <w:tcBorders>
              <w:top w:val="single" w:sz="8" w:color="0000EE"/>
            </w:tcBorders>
            <w:gridSpan w:val="27"/>
          </w:tcPr>
          <w:p>
            <w:pPr>
              <w:spacing w:after="0" w:line="15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F. Hoffmann-La Roche Ltd, Hoffmann-La Roche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148">
              <w:r>
                <w:rPr>
                  <w:rFonts w:ascii="Arial" w:cs="Arial" w:eastAsia="Arial" w:hAnsi="Arial"/>
                  <w:sz w:val="18"/>
                  <w:szCs w:val="18"/>
                  <w:color w:val="0000EE"/>
                </w:rPr>
                <w:t>and the Registrant</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w w:val="96"/>
              </w:rPr>
            </w:pPr>
            <w:hyperlink r:id="rId165">
              <w:r>
                <w:rPr>
                  <w:rFonts w:ascii="Arial" w:cs="Arial" w:eastAsia="Arial" w:hAnsi="Arial"/>
                  <w:sz w:val="18"/>
                  <w:szCs w:val="18"/>
                  <w:color w:val="0000EE"/>
                  <w:w w:val="96"/>
                </w:rPr>
                <w:t>License and Collaboration Agreement, dated June 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8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r:id="rId165">
              <w:r>
                <w:rPr>
                  <w:rFonts w:ascii="Arial" w:cs="Arial" w:eastAsia="Arial" w:hAnsi="Arial"/>
                  <w:sz w:val="18"/>
                  <w:szCs w:val="18"/>
                  <w:color w:val="0000EE"/>
                </w:rPr>
                <w:t>2018, between the Registrant and CStone</w:t>
              </w:r>
            </w:hyperlink>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7"/>
              </w:rPr>
            </w:pPr>
            <w:hyperlink r:id="rId165">
              <w:r>
                <w:rPr>
                  <w:rFonts w:ascii="Arial" w:cs="Arial" w:eastAsia="Arial" w:hAnsi="Arial"/>
                  <w:sz w:val="18"/>
                  <w:szCs w:val="18"/>
                  <w:color w:val="0000EE"/>
                  <w:w w:val="87"/>
                </w:rPr>
                <w:t>Pharmaceuticals</w:t>
              </w:r>
            </w:hyperlink>
          </w:p>
        </w:tc>
        <w:tc>
          <w:tcPr>
            <w:tcW w:w="1800" w:type="dxa"/>
            <w:vAlign w:val="bottom"/>
            <w:tcBorders>
              <w:top w:val="single" w:sz="8" w:color="0000EE"/>
            </w:tcBorders>
            <w:gridSpan w:val="8"/>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Indemnification Agreement entered into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between the Registrant and its directors</w:t>
              </w:r>
            </w:hyperlink>
          </w:p>
        </w:tc>
        <w:tc>
          <w:tcPr>
            <w:tcW w:w="68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Indemnification Agreement entered into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between the Registrant and its officers</w:t>
              </w:r>
            </w:hyperlink>
          </w:p>
        </w:tc>
        <w:tc>
          <w:tcPr>
            <w:tcW w:w="76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2"/>
                <w:szCs w:val="22"/>
                <w:color w:val="auto"/>
              </w:rPr>
            </w:pPr>
          </w:p>
        </w:tc>
        <w:tc>
          <w:tcPr>
            <w:tcW w:w="3220" w:type="dxa"/>
            <w:vAlign w:val="bottom"/>
            <w:tcBorders>
              <w:bottom w:val="single" w:sz="8" w:color="0000EE"/>
            </w:tcBorders>
            <w:gridSpan w:val="12"/>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Senior Executive Cash Incentive Bonus Plan</w:t>
              </w:r>
            </w:hyperlink>
          </w:p>
        </w:tc>
        <w:tc>
          <w:tcPr>
            <w:tcW w:w="84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2"/>
                <w:szCs w:val="22"/>
                <w:color w:val="auto"/>
              </w:rPr>
            </w:pPr>
          </w:p>
        </w:tc>
        <w:tc>
          <w:tcPr>
            <w:tcW w:w="2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Subsidiaries of the Registrant</w:t>
              </w:r>
            </w:hyperlink>
          </w:p>
        </w:tc>
        <w:tc>
          <w:tcPr>
            <w:tcW w:w="1940" w:type="dxa"/>
            <w:vAlign w:val="bottom"/>
            <w:gridSpan w:val="2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2"/>
                <w:szCs w:val="22"/>
                <w:color w:val="auto"/>
              </w:rPr>
            </w:pPr>
          </w:p>
        </w:tc>
        <w:tc>
          <w:tcPr>
            <w:tcW w:w="22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52">
              <w:r>
                <w:rPr>
                  <w:rFonts w:ascii="Arial" w:cs="Arial" w:eastAsia="Arial" w:hAnsi="Arial"/>
                  <w:sz w:val="18"/>
                  <w:szCs w:val="18"/>
                  <w:color w:val="0000EE"/>
                  <w:w w:val="92"/>
                </w:rPr>
                <w:t>Consent of Ernst &amp; Young LLP</w:t>
              </w:r>
            </w:hyperlink>
          </w:p>
        </w:tc>
        <w:tc>
          <w:tcPr>
            <w:tcW w:w="178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w w:val="95"/>
              </w:rPr>
            </w:pPr>
            <w:hyperlink w:anchor="page153">
              <w:r>
                <w:rPr>
                  <w:rFonts w:ascii="Arial" w:cs="Arial" w:eastAsia="Arial" w:hAnsi="Arial"/>
                  <w:sz w:val="18"/>
                  <w:szCs w:val="18"/>
                  <w:color w:val="0000EE"/>
                  <w:w w:val="95"/>
                </w:rPr>
                <w:t>Certification of Principal Executive Officer pursuant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60" w:type="dxa"/>
            <w:vAlign w:val="bottom"/>
            <w:tcBorders>
              <w:top w:val="single" w:sz="8" w:color="0000EE"/>
              <w:bottom w:val="single" w:sz="8" w:color="0000EE"/>
            </w:tcBorders>
            <w:gridSpan w:val="24"/>
          </w:tcPr>
          <w:p>
            <w:pPr>
              <w:spacing w:after="0" w:line="15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Rule 13a-14(a) or Rule 15d-14(a) of the Exchange Act,</w:t>
              </w:r>
            </w:hyperlink>
          </w:p>
        </w:tc>
        <w:tc>
          <w:tcPr>
            <w:tcW w:w="20" w:type="dxa"/>
            <w:vAlign w:val="bottom"/>
            <w:tcBorders>
              <w:bottom w:val="single" w:sz="8" w:color="0000EE"/>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gridSpan w:val="25"/>
          </w:tcPr>
          <w:p>
            <w:pPr>
              <w:spacing w:after="0" w:line="15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as adopted pursuant to Section 302 of the Sarbanes-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Oxley Act of 2002</w:t>
              </w:r>
            </w:hyperlink>
          </w:p>
        </w:tc>
        <w:tc>
          <w:tcPr>
            <w:tcW w:w="2380" w:type="dxa"/>
            <w:vAlign w:val="bottom"/>
            <w:tcBorders>
              <w:top w:val="single" w:sz="8" w:color="0000EE"/>
            </w:tcBorders>
            <w:gridSpan w:val="13"/>
          </w:tcPr>
          <w:p>
            <w:pPr>
              <w:spacing w:after="0"/>
              <w:rPr>
                <w:sz w:val="13"/>
                <w:szCs w:val="13"/>
                <w:color w:val="auto"/>
              </w:rPr>
            </w:pPr>
          </w:p>
        </w:tc>
        <w:tc>
          <w:tcPr>
            <w:tcW w:w="20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w w:val="96"/>
              </w:rPr>
            </w:pPr>
            <w:hyperlink w:anchor="page154">
              <w:r>
                <w:rPr>
                  <w:rFonts w:ascii="Arial" w:cs="Arial" w:eastAsia="Arial" w:hAnsi="Arial"/>
                  <w:sz w:val="18"/>
                  <w:szCs w:val="18"/>
                  <w:color w:val="0000EE"/>
                  <w:w w:val="96"/>
                </w:rPr>
                <w:t>Certification of Principal Financial Officer pursuant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20" w:type="dxa"/>
            <w:vAlign w:val="bottom"/>
            <w:tcBorders>
              <w:top w:val="single" w:sz="8" w:color="0000EE"/>
            </w:tcBorders>
            <w:gridSpan w:val="22"/>
          </w:tcPr>
          <w:p>
            <w:pPr>
              <w:spacing w:after="0" w:line="15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Rule 13a-14(a) or Rule 15d-14(a) of the Exchange Act,</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tcBorders>
              <w:top w:val="single" w:sz="8" w:color="0000EE"/>
            </w:tcBorders>
            <w:gridSpan w:val="25"/>
          </w:tcPr>
          <w:p>
            <w:pPr>
              <w:spacing w:after="0" w:line="15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as adopted pursuant to Section 302 of the Sarbanes-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Oxley Act of 2002</w:t>
              </w:r>
            </w:hyperlink>
          </w:p>
        </w:tc>
        <w:tc>
          <w:tcPr>
            <w:tcW w:w="2380" w:type="dxa"/>
            <w:vAlign w:val="bottom"/>
            <w:tcBorders>
              <w:top w:val="single" w:sz="8" w:color="0000EE"/>
            </w:tcBorders>
            <w:gridSpan w:val="13"/>
          </w:tcPr>
          <w:p>
            <w:pPr>
              <w:spacing w:after="0"/>
              <w:rPr>
                <w:sz w:val="13"/>
                <w:szCs w:val="13"/>
                <w:color w:val="auto"/>
              </w:rPr>
            </w:pPr>
          </w:p>
        </w:tc>
        <w:tc>
          <w:tcPr>
            <w:tcW w:w="32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2"/>
                <w:szCs w:val="22"/>
                <w:color w:val="auto"/>
              </w:rPr>
            </w:pPr>
          </w:p>
        </w:tc>
        <w:tc>
          <w:tcPr>
            <w:tcW w:w="4060" w:type="dxa"/>
            <w:vAlign w:val="bottom"/>
            <w:gridSpan w:val="29"/>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Certifications of Principal Executive Officer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Principal Financial Officer pursuant to 18 U.S.C.</w:t>
              </w:r>
            </w:hyperlink>
          </w:p>
        </w:tc>
        <w:tc>
          <w:tcPr>
            <w:tcW w:w="40" w:type="dxa"/>
            <w:vAlign w:val="bottom"/>
            <w:tcBorders>
              <w:bottom w:val="single" w:sz="8" w:color="0000EE"/>
            </w:tcBorders>
            <w:gridSpan w:val="2"/>
          </w:tcPr>
          <w:p>
            <w:pPr>
              <w:spacing w:after="0"/>
              <w:rPr>
                <w:sz w:val="13"/>
                <w:szCs w:val="13"/>
                <w:color w:val="auto"/>
              </w:rPr>
            </w:pPr>
          </w:p>
        </w:tc>
        <w:tc>
          <w:tcPr>
            <w:tcW w:w="520" w:type="dxa"/>
            <w:vAlign w:val="bottom"/>
            <w:gridSpan w:val="13"/>
            <w:vMerge w:val="restart"/>
          </w:tcPr>
          <w:p>
            <w:pPr>
              <w:ind w:left="40"/>
              <w:spacing w:after="0"/>
              <w:rPr>
                <w:rFonts w:ascii="Arial" w:cs="Arial" w:eastAsia="Arial" w:hAnsi="Arial"/>
                <w:sz w:val="18"/>
                <w:szCs w:val="18"/>
                <w:color w:val="0000EE"/>
              </w:rPr>
            </w:pPr>
            <w:hyperlink w:anchor="page155">
              <w:r>
                <w:rPr>
                  <w:rFonts w:ascii="Arial" w:cs="Arial" w:eastAsia="Arial" w:hAnsi="Arial"/>
                  <w:sz w:val="18"/>
                  <w:szCs w:val="18"/>
                  <w:color w:val="0000EE"/>
                </w:rPr>
                <w:t>of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40" w:type="dxa"/>
            <w:vAlign w:val="bottom"/>
            <w:gridSpan w:val="16"/>
          </w:tcPr>
          <w:p>
            <w:pPr>
              <w:spacing w:after="0" w:line="156"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Section 1350, as adopted pursuant to Section 906</w:t>
              </w:r>
            </w:hyperlink>
          </w:p>
        </w:tc>
        <w:tc>
          <w:tcPr>
            <w:tcW w:w="52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4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w:anchor="page155">
              <w:r>
                <w:rPr>
                  <w:rFonts w:ascii="Arial" w:cs="Arial" w:eastAsia="Arial" w:hAnsi="Arial"/>
                  <w:sz w:val="18"/>
                  <w:szCs w:val="18"/>
                  <w:color w:val="0000EE"/>
                </w:rPr>
                <w:t>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20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w w:val="97"/>
              </w:rPr>
              <w:t>XBRL Instance Document</w:t>
            </w:r>
          </w:p>
        </w:tc>
        <w:tc>
          <w:tcPr>
            <w:tcW w:w="20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19"/>
                <w:szCs w:val="19"/>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29"/>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19"/>
                <w:szCs w:val="19"/>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29"/>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19"/>
                <w:szCs w:val="19"/>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29"/>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19"/>
                <w:szCs w:val="19"/>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20" w:type="dxa"/>
            <w:vAlign w:val="bottom"/>
            <w:gridSpan w:val="21"/>
          </w:tcPr>
          <w:p>
            <w:pPr>
              <w:ind w:left="3700"/>
              <w:spacing w:after="0"/>
              <w:rPr>
                <w:sz w:val="20"/>
                <w:szCs w:val="20"/>
                <w:color w:val="auto"/>
              </w:rPr>
            </w:pPr>
            <w:r>
              <w:rPr>
                <w:rFonts w:ascii="Arial" w:cs="Arial" w:eastAsia="Arial" w:hAnsi="Arial"/>
                <w:sz w:val="18"/>
                <w:szCs w:val="18"/>
                <w:color w:val="auto"/>
                <w:w w:val="99"/>
              </w:rPr>
              <w:t>110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Exhibit</w:t>
            </w:r>
          </w:p>
        </w:tc>
        <w:tc>
          <w:tcPr>
            <w:tcW w:w="160" w:type="dxa"/>
            <w:vAlign w:val="bottom"/>
            <w:vMerge w:val="continue"/>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7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vMerge w:val="continue"/>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August 9, 2016</w:t>
            </w:r>
          </w:p>
        </w:tc>
        <w:tc>
          <w:tcPr>
            <w:tcW w:w="0" w:type="dxa"/>
            <w:vAlign w:val="bottom"/>
          </w:tcPr>
          <w:p>
            <w:pPr>
              <w:spacing w:after="0"/>
              <w:rPr>
                <w:sz w:val="1"/>
                <w:szCs w:val="1"/>
                <w:color w:val="auto"/>
              </w:rPr>
            </w:pPr>
          </w:p>
        </w:tc>
      </w:tr>
      <w:tr>
        <w:trPr>
          <w:trHeight w:val="782"/>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10, 2016</w:t>
            </w:r>
          </w:p>
        </w:tc>
        <w:tc>
          <w:tcPr>
            <w:tcW w:w="0" w:type="dxa"/>
            <w:vAlign w:val="bottom"/>
          </w:tcPr>
          <w:p>
            <w:pPr>
              <w:spacing w:after="0"/>
              <w:rPr>
                <w:sz w:val="1"/>
                <w:szCs w:val="1"/>
                <w:color w:val="auto"/>
              </w:rPr>
            </w:pPr>
          </w:p>
        </w:tc>
      </w:tr>
      <w:tr>
        <w:trPr>
          <w:trHeight w:val="810"/>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August 1, 2018</w:t>
            </w:r>
          </w:p>
        </w:tc>
        <w:tc>
          <w:tcPr>
            <w:tcW w:w="0" w:type="dxa"/>
            <w:vAlign w:val="bottom"/>
          </w:tcPr>
          <w:p>
            <w:pPr>
              <w:spacing w:after="0"/>
              <w:rPr>
                <w:sz w:val="1"/>
                <w:szCs w:val="1"/>
                <w:color w:val="auto"/>
              </w:rPr>
            </w:pPr>
          </w:p>
        </w:tc>
      </w:tr>
      <w:tr>
        <w:trPr>
          <w:trHeight w:val="635"/>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860" w:space="160"/>
            <w:col w:w="4080"/>
          </w:cols>
          <w:pgMar w:left="1420" w:top="112" w:right="137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14408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77" w:lineRule="exact"/>
        <w:rPr>
          <w:sz w:val="20"/>
          <w:szCs w:val="20"/>
          <w:color w:val="auto"/>
        </w:rPr>
      </w:pPr>
    </w:p>
    <w:p>
      <w:pPr>
        <w:ind w:left="200" w:right="99" w:hanging="197"/>
        <w:spacing w:after="0" w:line="235" w:lineRule="auto"/>
        <w:tabs>
          <w:tab w:leader="none" w:pos="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39" w:hanging="197"/>
        <w:spacing w:after="0" w:line="219" w:lineRule="auto"/>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18" w:lineRule="exact"/>
        <w:rPr>
          <w:sz w:val="20"/>
          <w:szCs w:val="20"/>
          <w:color w:val="auto"/>
        </w:rPr>
      </w:pPr>
    </w:p>
    <w:p>
      <w:pPr>
        <w:jc w:val="center"/>
        <w:ind w:right="6659"/>
        <w:spacing w:after="0"/>
        <w:rPr>
          <w:sz w:val="20"/>
          <w:szCs w:val="20"/>
          <w:color w:val="auto"/>
        </w:rPr>
      </w:pPr>
      <w:r>
        <w:rPr>
          <w:rFonts w:ascii="Arial" w:cs="Arial" w:eastAsia="Arial" w:hAnsi="Arial"/>
          <w:sz w:val="16"/>
          <w:szCs w:val="16"/>
          <w:b w:val="1"/>
          <w:bCs w:val="1"/>
          <w:color w:val="auto"/>
        </w:rPr>
        <w:t>Item 16. Form 10-K Summary.</w:t>
      </w:r>
    </w:p>
    <w:p>
      <w:pPr>
        <w:spacing w:after="0" w:line="104" w:lineRule="exact"/>
        <w:rPr>
          <w:sz w:val="20"/>
          <w:szCs w:val="20"/>
          <w:color w:val="auto"/>
        </w:rPr>
      </w:pPr>
    </w:p>
    <w:p>
      <w:pPr>
        <w:jc w:val="center"/>
        <w:ind w:right="663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860" w:val="left"/>
          <w:tab w:leader="none" w:pos="538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6350</wp:posOffset>
            </wp:positionV>
            <wp:extent cx="23241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Jeffrey W. Albers</w:t>
      </w: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44"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2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8"/>
                <w:szCs w:val="18"/>
                <w:color w:val="auto"/>
              </w:rPr>
              <w:t>/s/ Jeffrey W. Albers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5"/>
              </w:rPr>
              <w:t>President, Chief Executive Officer and 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Jeffrey W. Albers</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8"/>
                <w:szCs w:val="18"/>
                <w:color w:val="auto"/>
              </w:rPr>
              <w:t>/s/ Michael Landsittel</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Michael Landsittel</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Daniel S. Lynch</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Nicholas Lydon,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Alexis Borisy</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Mark Goldberg,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Charles A. Rowland, Jr.</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George Demetri,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Lonnel Coats</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Lynn Seely,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7520" w:type="dxa"/>
            <w:vAlign w:val="bottom"/>
            <w:gridSpan w:val="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540" w:type="dxa"/>
            <w:vAlign w:val="bottom"/>
          </w:tcPr>
          <w:p>
            <w:pPr>
              <w:spacing w:after="0"/>
              <w:rPr>
                <w:sz w:val="17"/>
                <w:szCs w:val="17"/>
                <w:color w:val="auto"/>
              </w:rPr>
            </w:pPr>
          </w:p>
        </w:tc>
      </w:tr>
      <w:tr>
        <w:trPr>
          <w:trHeight w:val="412"/>
        </w:trPr>
        <w:tc>
          <w:tcPr>
            <w:tcW w:w="1280" w:type="dxa"/>
            <w:vAlign w:val="bottom"/>
            <w:tcBorders>
              <w:top w:val="single" w:sz="8" w:color="0563C1"/>
            </w:tcBorders>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w w:val="92"/>
              </w:rPr>
              <w:t>Blueprint Medicines Corporation</w:t>
            </w:r>
          </w:p>
        </w:tc>
        <w:tc>
          <w:tcPr>
            <w:tcW w:w="15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540" w:type="dxa"/>
            <w:vAlign w:val="bottom"/>
          </w:tcPr>
          <w:p>
            <w:pPr>
              <w:spacing w:after="0"/>
              <w:rPr>
                <w:sz w:val="24"/>
                <w:szCs w:val="24"/>
                <w:color w:val="auto"/>
              </w:rPr>
            </w:pPr>
          </w:p>
        </w:tc>
      </w:tr>
      <w:tr>
        <w:trPr>
          <w:trHeight w:val="378"/>
        </w:trPr>
        <w:tc>
          <w:tcPr>
            <w:tcW w:w="7520" w:type="dxa"/>
            <w:vAlign w:val="bottom"/>
            <w:gridSpan w:val="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Report of Independent Registered Public Accounting Firm</w:t>
              </w:r>
            </w:hyperlink>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F-2</w:t>
            </w:r>
          </w:p>
        </w:tc>
      </w:tr>
      <w:tr>
        <w:trPr>
          <w:trHeight w:val="156"/>
        </w:trPr>
        <w:tc>
          <w:tcPr>
            <w:tcW w:w="422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Balance Sheets</w:t>
              </w:r>
            </w:hyperlink>
          </w:p>
        </w:tc>
        <w:tc>
          <w:tcPr>
            <w:tcW w:w="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40" w:type="dxa"/>
            <w:vAlign w:val="bottom"/>
          </w:tcPr>
          <w:p>
            <w:pPr>
              <w:ind w:left="1300"/>
              <w:spacing w:after="0" w:line="156" w:lineRule="exact"/>
              <w:rPr>
                <w:sz w:val="20"/>
                <w:szCs w:val="20"/>
                <w:color w:val="auto"/>
              </w:rPr>
            </w:pPr>
            <w:r>
              <w:rPr>
                <w:rFonts w:ascii="Arial" w:cs="Arial" w:eastAsia="Arial" w:hAnsi="Arial"/>
                <w:sz w:val="18"/>
                <w:szCs w:val="18"/>
                <w:color w:val="auto"/>
                <w:w w:val="81"/>
              </w:rPr>
              <w:t>F-3</w:t>
            </w:r>
          </w:p>
        </w:tc>
      </w:tr>
      <w:tr>
        <w:trPr>
          <w:trHeight w:val="156"/>
        </w:trPr>
        <w:tc>
          <w:tcPr>
            <w:tcW w:w="2100" w:type="dxa"/>
            <w:vAlign w:val="bottom"/>
            <w:tcBorders>
              <w:top w:val="single" w:sz="8" w:color="0000EE"/>
            </w:tcBorders>
            <w:gridSpan w:val="2"/>
          </w:tcPr>
          <w:p>
            <w:pPr>
              <w:spacing w:after="0" w:line="156" w:lineRule="exact"/>
              <w:rPr>
                <w:rFonts w:ascii="Arial" w:cs="Arial" w:eastAsia="Arial" w:hAnsi="Arial"/>
                <w:sz w:val="18"/>
                <w:szCs w:val="18"/>
                <w:color w:val="0000EE"/>
                <w:w w:val="94"/>
              </w:rPr>
            </w:pPr>
            <w:hyperlink w:anchor="page118">
              <w:r>
                <w:rPr>
                  <w:rFonts w:ascii="Arial" w:cs="Arial" w:eastAsia="Arial" w:hAnsi="Arial"/>
                  <w:sz w:val="18"/>
                  <w:szCs w:val="18"/>
                  <w:color w:val="0000EE"/>
                  <w:w w:val="94"/>
                </w:rPr>
                <w:t>Consolidated Statements of</w:t>
              </w:r>
            </w:hyperlink>
          </w:p>
        </w:tc>
        <w:tc>
          <w:tcPr>
            <w:tcW w:w="5420" w:type="dxa"/>
            <w:vAlign w:val="bottom"/>
            <w:gridSpan w:val="6"/>
          </w:tcPr>
          <w:p>
            <w:pPr>
              <w:spacing w:after="0" w:line="156" w:lineRule="exact"/>
              <w:rPr>
                <w:rFonts w:ascii="Arial" w:cs="Arial" w:eastAsia="Arial" w:hAnsi="Arial"/>
                <w:sz w:val="18"/>
                <w:szCs w:val="18"/>
                <w:color w:val="0000EE"/>
              </w:rPr>
            </w:pPr>
            <w:hyperlink w:anchor="page118">
              <w:r>
                <w:rPr>
                  <w:rFonts w:ascii="Arial" w:cs="Arial" w:eastAsia="Arial" w:hAnsi="Arial"/>
                  <w:sz w:val="18"/>
                  <w:szCs w:val="18"/>
                  <w:color w:val="0000EE"/>
                </w:rPr>
                <w:t>Operations and Comprehensive Loss</w:t>
              </w:r>
            </w:hyperlink>
          </w:p>
        </w:tc>
        <w:tc>
          <w:tcPr>
            <w:tcW w:w="1540" w:type="dxa"/>
            <w:vAlign w:val="bottom"/>
          </w:tcPr>
          <w:p>
            <w:pPr>
              <w:ind w:left="1300"/>
              <w:spacing w:after="0" w:line="156" w:lineRule="exact"/>
              <w:rPr>
                <w:sz w:val="20"/>
                <w:szCs w:val="20"/>
                <w:color w:val="auto"/>
              </w:rPr>
            </w:pPr>
            <w:r>
              <w:rPr>
                <w:rFonts w:ascii="Arial" w:cs="Arial" w:eastAsia="Arial" w:hAnsi="Arial"/>
                <w:sz w:val="18"/>
                <w:szCs w:val="18"/>
                <w:color w:val="auto"/>
                <w:w w:val="81"/>
              </w:rPr>
              <w:t>F-4</w:t>
            </w:r>
          </w:p>
        </w:tc>
      </w:tr>
      <w:tr>
        <w:trPr>
          <w:trHeight w:val="156"/>
        </w:trPr>
        <w:tc>
          <w:tcPr>
            <w:tcW w:w="468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Stockholders’ Equity</w:t>
              </w:r>
            </w:hyperlink>
          </w:p>
        </w:tc>
        <w:tc>
          <w:tcPr>
            <w:tcW w:w="2840" w:type="dxa"/>
            <w:vAlign w:val="bottom"/>
          </w:tcPr>
          <w:p>
            <w:pPr>
              <w:spacing w:after="0"/>
              <w:rPr>
                <w:sz w:val="13"/>
                <w:szCs w:val="13"/>
                <w:color w:val="auto"/>
              </w:rPr>
            </w:pPr>
          </w:p>
        </w:tc>
        <w:tc>
          <w:tcPr>
            <w:tcW w:w="1540" w:type="dxa"/>
            <w:vAlign w:val="bottom"/>
          </w:tcPr>
          <w:p>
            <w:pPr>
              <w:ind w:left="1300"/>
              <w:spacing w:after="0" w:line="156" w:lineRule="exact"/>
              <w:rPr>
                <w:sz w:val="20"/>
                <w:szCs w:val="20"/>
                <w:color w:val="auto"/>
              </w:rPr>
            </w:pPr>
            <w:r>
              <w:rPr>
                <w:rFonts w:ascii="Arial" w:cs="Arial" w:eastAsia="Arial" w:hAnsi="Arial"/>
                <w:sz w:val="18"/>
                <w:szCs w:val="18"/>
                <w:color w:val="auto"/>
                <w:w w:val="81"/>
              </w:rPr>
              <w:t>F-5</w:t>
            </w:r>
          </w:p>
        </w:tc>
      </w:tr>
      <w:tr>
        <w:trPr>
          <w:trHeight w:val="156"/>
        </w:trPr>
        <w:tc>
          <w:tcPr>
            <w:tcW w:w="28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Consolidated Statements of Cash Flows</w:t>
              </w:r>
            </w:hyperlink>
          </w:p>
        </w:tc>
        <w:tc>
          <w:tcPr>
            <w:tcW w:w="680" w:type="dxa"/>
            <w:vAlign w:val="bottom"/>
            <w:tcBorders>
              <w:top w:val="single" w:sz="8" w:color="0000EE"/>
            </w:tcBorders>
            <w:gridSpan w:val="2"/>
          </w:tcPr>
          <w:p>
            <w:pPr>
              <w:spacing w:after="0"/>
              <w:rPr>
                <w:sz w:val="13"/>
                <w:szCs w:val="13"/>
                <w:color w:val="auto"/>
              </w:rPr>
            </w:pPr>
          </w:p>
        </w:tc>
        <w:tc>
          <w:tcPr>
            <w:tcW w:w="3960" w:type="dxa"/>
            <w:vAlign w:val="bottom"/>
            <w:gridSpan w:val="3"/>
          </w:tcPr>
          <w:p>
            <w:pPr>
              <w:spacing w:after="0"/>
              <w:rPr>
                <w:sz w:val="13"/>
                <w:szCs w:val="13"/>
                <w:color w:val="auto"/>
              </w:rPr>
            </w:pPr>
          </w:p>
        </w:tc>
        <w:tc>
          <w:tcPr>
            <w:tcW w:w="1540" w:type="dxa"/>
            <w:vAlign w:val="bottom"/>
          </w:tcPr>
          <w:p>
            <w:pPr>
              <w:ind w:left="1300"/>
              <w:spacing w:after="0" w:line="156" w:lineRule="exact"/>
              <w:rPr>
                <w:sz w:val="20"/>
                <w:szCs w:val="20"/>
                <w:color w:val="auto"/>
              </w:rPr>
            </w:pPr>
            <w:r>
              <w:rPr>
                <w:rFonts w:ascii="Arial" w:cs="Arial" w:eastAsia="Arial" w:hAnsi="Arial"/>
                <w:sz w:val="18"/>
                <w:szCs w:val="18"/>
                <w:color w:val="auto"/>
                <w:w w:val="81"/>
              </w:rPr>
              <w:t>F-6</w:t>
            </w:r>
          </w:p>
        </w:tc>
      </w:tr>
      <w:tr>
        <w:trPr>
          <w:trHeight w:val="156"/>
        </w:trPr>
        <w:tc>
          <w:tcPr>
            <w:tcW w:w="7520" w:type="dxa"/>
            <w:vAlign w:val="bottom"/>
            <w:gridSpan w:val="8"/>
          </w:tcPr>
          <w:p>
            <w:pPr>
              <w:spacing w:after="0" w:line="156" w:lineRule="exact"/>
              <w:rPr>
                <w:rFonts w:ascii="Arial" w:cs="Arial" w:eastAsia="Arial" w:hAnsi="Arial"/>
                <w:sz w:val="18"/>
                <w:szCs w:val="18"/>
                <w:color w:val="0000EE"/>
              </w:rPr>
            </w:pPr>
            <w:hyperlink w:anchor="page121">
              <w:r>
                <w:rPr>
                  <w:rFonts w:ascii="Arial" w:cs="Arial" w:eastAsia="Arial" w:hAnsi="Arial"/>
                  <w:sz w:val="18"/>
                  <w:szCs w:val="18"/>
                  <w:color w:val="0000EE"/>
                </w:rPr>
                <w:t>Notes to Consolidated Financial Statements</w:t>
              </w:r>
            </w:hyperlink>
          </w:p>
        </w:tc>
        <w:tc>
          <w:tcPr>
            <w:tcW w:w="1540" w:type="dxa"/>
            <w:vAlign w:val="bottom"/>
          </w:tcPr>
          <w:p>
            <w:pPr>
              <w:ind w:left="1300"/>
              <w:spacing w:after="0" w:line="156" w:lineRule="exact"/>
              <w:rPr>
                <w:sz w:val="20"/>
                <w:szCs w:val="20"/>
                <w:color w:val="auto"/>
              </w:rPr>
            </w:pPr>
            <w:r>
              <w:rPr>
                <w:rFonts w:ascii="Arial" w:cs="Arial" w:eastAsia="Arial" w:hAnsi="Arial"/>
                <w:sz w:val="18"/>
                <w:szCs w:val="18"/>
                <w:color w:val="auto"/>
                <w:w w:val="81"/>
              </w:rPr>
              <w:t>F-7</w:t>
            </w:r>
          </w:p>
        </w:tc>
      </w:tr>
      <w:tr>
        <w:trPr>
          <w:trHeight w:val="601"/>
        </w:trPr>
        <w:tc>
          <w:tcPr>
            <w:tcW w:w="1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2680"/>
              <w:spacing w:after="0"/>
              <w:rPr>
                <w:sz w:val="20"/>
                <w:szCs w:val="20"/>
                <w:color w:val="auto"/>
              </w:rPr>
            </w:pPr>
            <w:r>
              <w:rPr>
                <w:rFonts w:ascii="Arial" w:cs="Arial" w:eastAsia="Arial" w:hAnsi="Arial"/>
                <w:sz w:val="18"/>
                <w:szCs w:val="18"/>
                <w:color w:val="auto"/>
                <w:w w:val="96"/>
              </w:rPr>
              <w:t>F-1</w:t>
            </w:r>
          </w:p>
        </w:tc>
        <w:tc>
          <w:tcPr>
            <w:tcW w:w="1540" w:type="dxa"/>
            <w:vAlign w:val="bottom"/>
          </w:tcPr>
          <w:p>
            <w:pPr>
              <w:spacing w:after="0"/>
              <w:rPr>
                <w:sz w:val="24"/>
                <w:szCs w:val="24"/>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right="3460"/>
        <w:spacing w:after="0" w:line="454" w:lineRule="auto"/>
        <w:rPr>
          <w:sz w:val="20"/>
          <w:szCs w:val="20"/>
          <w:color w:val="auto"/>
        </w:rPr>
      </w:pPr>
      <w:r>
        <w:rPr>
          <w:rFonts w:ascii="Arial" w:cs="Arial" w:eastAsia="Arial" w:hAnsi="Arial"/>
          <w:sz w:val="18"/>
          <w:szCs w:val="18"/>
          <w:color w:val="auto"/>
        </w:rPr>
        <w:t xml:space="preserve">The Board of Directors and Stockholders of Blueprint Medicines Corporation </w:t>
      </w:r>
      <w:r>
        <w:rPr>
          <w:rFonts w:ascii="Arial" w:cs="Arial" w:eastAsia="Arial" w:hAnsi="Arial"/>
          <w:sz w:val="18"/>
          <w:szCs w:val="18"/>
          <w:b w:val="1"/>
          <w:bCs w:val="1"/>
          <w:i w:val="1"/>
          <w:iCs w:val="1"/>
          <w:color w:val="auto"/>
        </w:rPr>
        <w:t>Opinion on the Financial Statements</w:t>
      </w:r>
    </w:p>
    <w:p>
      <w:pPr>
        <w:jc w:val="both"/>
        <w:spacing w:after="0" w:line="212" w:lineRule="auto"/>
        <w:rPr>
          <w:sz w:val="20"/>
          <w:szCs w:val="20"/>
          <w:color w:val="auto"/>
        </w:rPr>
      </w:pPr>
      <w:r>
        <w:rPr>
          <w:rFonts w:ascii="Arial" w:cs="Arial" w:eastAsia="Arial" w:hAnsi="Arial"/>
          <w:sz w:val="18"/>
          <w:szCs w:val="18"/>
          <w:color w:val="auto"/>
        </w:rPr>
        <w:t>We have audited the accompanying consolidated balance sheets of Blueprint Medicines Corporation as of December 31, 2018 and 2017, the related consolidated statements of operations and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606</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revenue in 2018 due to the adoption of Accounting Standards Update (ASU) No. 2014-09, Revenue from Contracts with Customers (Topic 606), and the related amendments.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7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68,064</w:t>
            </w:r>
          </w:p>
        </w:tc>
        <w:tc>
          <w:tcPr>
            <w:tcW w:w="2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400,304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425,948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273,052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5,775</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12,149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00" w:type="dxa"/>
            <w:vAlign w:val="bottom"/>
          </w:tcPr>
          <w:p>
            <w:pPr>
              <w:spacing w:after="0" w:line="129" w:lineRule="exact"/>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499,787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685,505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29,627</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24,363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5,154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4,555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5,556</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70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540,124</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Liabilities and stockholders’ equity</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3,298</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3,744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51,711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30,541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3,600</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5,373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1,714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1,714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term loan payable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00" w:type="dxa"/>
            <w:vAlign w:val="bottom"/>
          </w:tcPr>
          <w:p>
            <w:pPr>
              <w:spacing w:after="0" w:line="129" w:lineRule="exact"/>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60,323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42,890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5,130</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42,567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12,903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14,617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192</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121,115</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91,767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Commitments (Note 14)</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6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120,000,000 shares authorized; 44,037,026 and 43,577,526 shares issued and</w:t>
            </w: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2018 and December 31, 2017, respectively</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1,016,690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979,785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(180)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35"/>
        </w:trPr>
        <w:tc>
          <w:tcPr>
            <w:tcW w:w="6700" w:type="dxa"/>
            <w:vAlign w:val="bottom"/>
          </w:tcPr>
          <w:p>
            <w:pPr>
              <w:spacing w:after="0" w:line="135" w:lineRule="exact"/>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(597,545)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(355,589)</w:t>
            </w:r>
          </w:p>
        </w:tc>
        <w:tc>
          <w:tcPr>
            <w:tcW w:w="0" w:type="dxa"/>
            <w:vAlign w:val="bottom"/>
          </w:tcPr>
          <w:p>
            <w:pPr>
              <w:spacing w:after="0"/>
              <w:rPr>
                <w:sz w:val="1"/>
                <w:szCs w:val="1"/>
                <w:color w:val="auto"/>
              </w:rPr>
            </w:pPr>
          </w:p>
        </w:tc>
      </w:tr>
      <w:tr>
        <w:trPr>
          <w:trHeight w:val="129"/>
        </w:trPr>
        <w:tc>
          <w:tcPr>
            <w:tcW w:w="6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419,009</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623,970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700" w:type="dxa"/>
            <w:vAlign w:val="bottom"/>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tcPr>
          <w:p>
            <w:pPr>
              <w:spacing w:after="0"/>
              <w:rPr>
                <w:sz w:val="11"/>
                <w:szCs w:val="11"/>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540,124</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40"/>
        <w:spacing w:after="0" w:line="213" w:lineRule="auto"/>
        <w:rPr>
          <w:sz w:val="20"/>
          <w:szCs w:val="20"/>
          <w:color w:val="auto"/>
        </w:rPr>
      </w:pPr>
      <w:r>
        <w:rPr>
          <w:rFonts w:ascii="Arial" w:cs="Arial" w:eastAsia="Arial" w:hAnsi="Arial"/>
          <w:sz w:val="18"/>
          <w:szCs w:val="18"/>
          <w:b w:val="1"/>
          <w:bCs w:val="1"/>
          <w:color w:val="auto"/>
        </w:rPr>
        <w:t>Blueprint Medicines Corporation Consolidated Statements of Operations and Comprehensive Loss (in thousands, except per share data)</w:t>
      </w:r>
    </w:p>
    <w:tbl>
      <w:tblPr>
        <w:tblLayout w:type="fixed"/>
        <w:tblInd w:w="0" w:type="dxa"/>
        <w:tblCellMar>
          <w:top w:w="0" w:type="dxa"/>
          <w:left w:w="0" w:type="dxa"/>
          <w:bottom w:w="0" w:type="dxa"/>
          <w:right w:w="0" w:type="dxa"/>
        </w:tblCellMar>
      </w:tblPr>
      <w:tr>
        <w:trPr>
          <w:trHeight w:val="129"/>
        </w:trPr>
        <w:tc>
          <w:tcPr>
            <w:tcW w:w="5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51"/>
              <w:spacing w:after="0" w:line="12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2"/>
        </w:trPr>
        <w:tc>
          <w:tcPr>
            <w:tcW w:w="5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44,521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21,426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27,772</w:t>
            </w:r>
          </w:p>
        </w:tc>
        <w:tc>
          <w:tcPr>
            <w:tcW w:w="0" w:type="dxa"/>
            <w:vAlign w:val="bottom"/>
          </w:tcPr>
          <w:p>
            <w:pPr>
              <w:spacing w:after="0"/>
              <w:rPr>
                <w:sz w:val="1"/>
                <w:szCs w:val="1"/>
                <w:color w:val="auto"/>
              </w:rPr>
            </w:pPr>
          </w:p>
        </w:tc>
      </w:tr>
      <w:tr>
        <w:trPr>
          <w:trHeight w:val="176"/>
        </w:trPr>
        <w:tc>
          <w:tcPr>
            <w:tcW w:w="57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243,621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144,687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81,131</w:t>
            </w:r>
          </w:p>
        </w:tc>
        <w:tc>
          <w:tcPr>
            <w:tcW w:w="0" w:type="dxa"/>
            <w:vAlign w:val="bottom"/>
          </w:tcPr>
          <w:p>
            <w:pPr>
              <w:spacing w:after="0"/>
              <w:rPr>
                <w:sz w:val="1"/>
                <w:szCs w:val="1"/>
                <w:color w:val="auto"/>
              </w:rPr>
            </w:pPr>
          </w:p>
        </w:tc>
      </w:tr>
      <w:tr>
        <w:trPr>
          <w:trHeight w:val="176"/>
        </w:trPr>
        <w:tc>
          <w:tcPr>
            <w:tcW w:w="57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47,928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27,986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19,218</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291,549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172,673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100,349</w:t>
            </w:r>
          </w:p>
        </w:tc>
        <w:tc>
          <w:tcPr>
            <w:tcW w:w="0" w:type="dxa"/>
            <w:vAlign w:val="bottom"/>
          </w:tcPr>
          <w:p>
            <w:pPr>
              <w:spacing w:after="0"/>
              <w:rPr>
                <w:sz w:val="1"/>
                <w:szCs w:val="1"/>
                <w:color w:val="auto"/>
              </w:rPr>
            </w:pPr>
          </w:p>
        </w:tc>
      </w:tr>
      <w:tr>
        <w:trPr>
          <w:trHeight w:val="176"/>
        </w:trPr>
        <w:tc>
          <w:tcPr>
            <w:tcW w:w="570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10,459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176"/>
        </w:trPr>
        <w:tc>
          <w:tcPr>
            <w:tcW w:w="57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3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10,386</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3,128</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57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(236,642)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(148,119)</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(72,495)</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line="176" w:lineRule="exact"/>
              <w:rPr>
                <w:sz w:val="20"/>
                <w:szCs w:val="20"/>
                <w:color w:val="auto"/>
              </w:rPr>
            </w:pPr>
            <w:r>
              <w:rPr>
                <w:rFonts w:ascii="Arial" w:cs="Arial" w:eastAsia="Arial" w:hAnsi="Arial"/>
                <w:sz w:val="18"/>
                <w:szCs w:val="18"/>
                <w:color w:val="auto"/>
              </w:rPr>
              <w:t>Changes in foreign currency translation adjustments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Changes in unrealized losses related to available-for-sale investments</w:t>
            </w:r>
          </w:p>
        </w:tc>
        <w:tc>
          <w:tcPr>
            <w:tcW w:w="3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57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(236,553)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(148,370)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(72,513)</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share — basic and diluted</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22"/>
        </w:trPr>
        <w:tc>
          <w:tcPr>
            <w:tcW w:w="5700" w:type="dxa"/>
            <w:vAlign w:val="bottom"/>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 —</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43,867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37,793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27,492</w:t>
            </w:r>
          </w:p>
        </w:tc>
        <w:tc>
          <w:tcPr>
            <w:tcW w:w="0" w:type="dxa"/>
            <w:vAlign w:val="bottom"/>
          </w:tcPr>
          <w:p>
            <w:pPr>
              <w:spacing w:after="0"/>
              <w:rPr>
                <w:sz w:val="1"/>
                <w:szCs w:val="1"/>
                <w:color w:val="auto"/>
              </w:rPr>
            </w:pPr>
          </w:p>
        </w:tc>
      </w:tr>
      <w:tr>
        <w:trPr>
          <w:trHeight w:val="196"/>
        </w:trPr>
        <w:tc>
          <w:tcPr>
            <w:tcW w:w="5700" w:type="dxa"/>
            <w:vAlign w:val="bottom"/>
          </w:tcPr>
          <w:p>
            <w:pPr>
              <w:spacing w:after="0" w:line="189" w:lineRule="exact"/>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18" w:name="page119"/>
    <w:bookmarkEnd w:id="118"/>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Blueprint Medicines Corporation</w:t>
      </w:r>
    </w:p>
    <w:p>
      <w:pPr>
        <w:jc w:val="center"/>
        <w:ind w:right="18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80"/>
        <w:spacing w:after="0" w:line="231" w:lineRule="auto"/>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97"/>
        </w:trPr>
        <w:tc>
          <w:tcPr>
            <w:tcW w:w="4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8"/>
                <w:szCs w:val="8"/>
                <w:color w:val="auto"/>
              </w:rPr>
            </w:pPr>
          </w:p>
        </w:tc>
        <w:tc>
          <w:tcPr>
            <w:tcW w:w="900" w:type="dxa"/>
            <w:vAlign w:val="bottom"/>
          </w:tcPr>
          <w:p>
            <w:pPr>
              <w:jc w:val="center"/>
              <w:ind w:right="86"/>
              <w:spacing w:after="0" w:line="97" w:lineRule="exact"/>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1560" w:type="dxa"/>
            <w:vAlign w:val="bottom"/>
            <w:gridSpan w:val="5"/>
            <w:vMerge w:val="restart"/>
          </w:tcPr>
          <w:p>
            <w:pPr>
              <w:ind w:left="36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126"/>
              <w:spacing w:after="0" w:line="109"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9"/>
                <w:szCs w:val="9"/>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9"/>
                <w:szCs w:val="9"/>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11"/>
                <w:szCs w:val="11"/>
                <w:color w:val="auto"/>
              </w:rPr>
            </w:pPr>
          </w:p>
        </w:tc>
        <w:tc>
          <w:tcPr>
            <w:tcW w:w="90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820" w:type="dxa"/>
            <w:vAlign w:val="bottom"/>
            <w:tcBorders>
              <w:top w:val="single" w:sz="8" w:color="auto"/>
            </w:tcBorders>
            <w:gridSpan w:val="2"/>
          </w:tcPr>
          <w:p>
            <w:pPr>
              <w:ind w:left="180"/>
              <w:spacing w:after="0" w:line="109"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ind w:right="46"/>
              <w:spacing w:after="0" w:line="109" w:lineRule="exact"/>
              <w:rPr>
                <w:sz w:val="20"/>
                <w:szCs w:val="20"/>
                <w:color w:val="auto"/>
              </w:rPr>
            </w:pPr>
            <w:r>
              <w:rPr>
                <w:rFonts w:ascii="Arial" w:cs="Arial" w:eastAsia="Arial" w:hAnsi="Arial"/>
                <w:sz w:val="11"/>
                <w:szCs w:val="11"/>
                <w:b w:val="1"/>
                <w:bCs w:val="1"/>
                <w:color w:val="auto"/>
                <w:w w:val="91"/>
              </w:rPr>
              <w:t>Amount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9"/>
                <w:szCs w:val="9"/>
                <w:color w:val="auto"/>
              </w:rPr>
            </w:pPr>
          </w:p>
        </w:tc>
        <w:tc>
          <w:tcPr>
            <w:tcW w:w="900" w:type="dxa"/>
            <w:vAlign w:val="bottom"/>
          </w:tcPr>
          <w:p>
            <w:pPr>
              <w:jc w:val="center"/>
              <w:ind w:right="86"/>
              <w:spacing w:after="0" w:line="109" w:lineRule="exact"/>
              <w:rPr>
                <w:sz w:val="20"/>
                <w:szCs w:val="20"/>
                <w:color w:val="auto"/>
              </w:rPr>
            </w:pPr>
            <w:r>
              <w:rPr>
                <w:rFonts w:ascii="Arial" w:cs="Arial" w:eastAsia="Arial" w:hAnsi="Arial"/>
                <w:sz w:val="11"/>
                <w:szCs w:val="11"/>
                <w:b w:val="1"/>
                <w:bCs w:val="1"/>
                <w:color w:val="auto"/>
                <w:w w:val="77"/>
              </w:rPr>
              <w:t>Loss</w:t>
            </w:r>
          </w:p>
        </w:tc>
        <w:tc>
          <w:tcPr>
            <w:tcW w:w="160" w:type="dxa"/>
            <w:vAlign w:val="bottom"/>
          </w:tcPr>
          <w:p>
            <w:pPr>
              <w:spacing w:after="0"/>
              <w:rPr>
                <w:sz w:val="9"/>
                <w:szCs w:val="9"/>
                <w:color w:val="auto"/>
              </w:rPr>
            </w:pPr>
          </w:p>
        </w:tc>
        <w:tc>
          <w:tcPr>
            <w:tcW w:w="940" w:type="dxa"/>
            <w:vAlign w:val="bottom"/>
            <w:gridSpan w:val="2"/>
          </w:tcPr>
          <w:p>
            <w:pPr>
              <w:jc w:val="right"/>
              <w:ind w:right="420"/>
              <w:spacing w:after="0" w:line="109" w:lineRule="exact"/>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9"/>
                <w:szCs w:val="9"/>
                <w:color w:val="auto"/>
              </w:rPr>
            </w:pPr>
          </w:p>
        </w:tc>
        <w:tc>
          <w:tcPr>
            <w:tcW w:w="920" w:type="dxa"/>
            <w:vAlign w:val="bottom"/>
            <w:gridSpan w:val="2"/>
          </w:tcPr>
          <w:p>
            <w:pPr>
              <w:jc w:val="right"/>
              <w:ind w:right="400"/>
              <w:spacing w:after="0" w:line="10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02"/>
        </w:trPr>
        <w:tc>
          <w:tcPr>
            <w:tcW w:w="496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color w:val="auto"/>
              </w:rPr>
              <w:t>Balance at December 31, 2015</w:t>
            </w:r>
          </w:p>
        </w:tc>
        <w:tc>
          <w:tcPr>
            <w:tcW w:w="6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27,065,558</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27</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1"/>
              <w:spacing w:after="0" w:line="102"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278,927</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46"/>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(134,975)</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143,979</w:t>
            </w: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Follow on offering, net of issuance costs</w:t>
            </w: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5,750,000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Arial" w:cs="Arial" w:eastAsia="Arial" w:hAnsi="Arial"/>
                <w:sz w:val="11"/>
                <w:szCs w:val="11"/>
                <w:color w:val="auto"/>
              </w:rPr>
              <w:t>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1"/>
                <w:szCs w:val="11"/>
                <w:color w:val="auto"/>
              </w:rPr>
              <w:t>134,543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Arial" w:cs="Arial" w:eastAsia="Arial" w:hAnsi="Arial"/>
                <w:sz w:val="11"/>
                <w:szCs w:val="11"/>
                <w:color w:val="auto"/>
              </w:rPr>
              <w:t>134,549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 of common stock under stock plan</w:t>
            </w: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284,471</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546</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Purchase of common stock under ESPP</w:t>
            </w: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23,325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1"/>
                <w:szCs w:val="11"/>
                <w:color w:val="auto"/>
              </w:rPr>
              <w:t>377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Arial" w:cs="Arial" w:eastAsia="Arial" w:hAnsi="Arial"/>
                <w:sz w:val="11"/>
                <w:szCs w:val="11"/>
                <w:color w:val="auto"/>
              </w:rPr>
              <w:t>377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Stock-based compensation expense</w:t>
            </w:r>
          </w:p>
        </w:tc>
        <w:tc>
          <w:tcPr>
            <w:tcW w:w="82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6,140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6,140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Unrealized loss on available-for-sale securities</w:t>
            </w:r>
          </w:p>
        </w:tc>
        <w:tc>
          <w:tcPr>
            <w:tcW w:w="82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tcPr>
          <w:p>
            <w:pPr>
              <w:jc w:val="right"/>
              <w:ind w:right="6"/>
              <w:spacing w:after="0" w:line="109" w:lineRule="exact"/>
              <w:rPr>
                <w:sz w:val="20"/>
                <w:szCs w:val="20"/>
                <w:color w:val="auto"/>
              </w:rPr>
            </w:pPr>
            <w:r>
              <w:rPr>
                <w:rFonts w:ascii="Arial" w:cs="Arial" w:eastAsia="Arial" w:hAnsi="Arial"/>
                <w:sz w:val="11"/>
                <w:szCs w:val="11"/>
                <w:color w:val="auto"/>
              </w:rPr>
              <w:t>(18)</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08"/>
        </w:trPr>
        <w:tc>
          <w:tcPr>
            <w:tcW w:w="4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Net loss</w:t>
            </w:r>
          </w:p>
        </w:tc>
        <w:tc>
          <w:tcPr>
            <w:tcW w:w="82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(72,495)</w:t>
            </w: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1"/>
                <w:szCs w:val="11"/>
                <w:color w:val="auto"/>
              </w:rPr>
              <w:t>(72,495)</w:t>
            </w:r>
          </w:p>
        </w:tc>
        <w:tc>
          <w:tcPr>
            <w:tcW w:w="0" w:type="dxa"/>
            <w:vAlign w:val="bottom"/>
          </w:tcPr>
          <w:p>
            <w:pPr>
              <w:spacing w:after="0"/>
              <w:rPr>
                <w:sz w:val="1"/>
                <w:szCs w:val="1"/>
                <w:color w:val="auto"/>
              </w:rPr>
            </w:pPr>
          </w:p>
        </w:tc>
      </w:tr>
      <w:tr>
        <w:trPr>
          <w:trHeight w:val="102"/>
        </w:trPr>
        <w:tc>
          <w:tcPr>
            <w:tcW w:w="4960" w:type="dxa"/>
            <w:vAlign w:val="bottom"/>
          </w:tcPr>
          <w:p>
            <w:pPr>
              <w:ind w:left="20"/>
              <w:spacing w:after="0" w:line="102" w:lineRule="exact"/>
              <w:rPr>
                <w:sz w:val="20"/>
                <w:szCs w:val="20"/>
                <w:color w:val="auto"/>
              </w:rPr>
            </w:pPr>
            <w:r>
              <w:rPr>
                <w:rFonts w:ascii="Arial" w:cs="Arial" w:eastAsia="Arial" w:hAnsi="Arial"/>
                <w:sz w:val="11"/>
                <w:szCs w:val="11"/>
                <w:color w:val="auto"/>
              </w:rPr>
              <w:t>Balance at December 31, 2016</w:t>
            </w:r>
          </w:p>
        </w:tc>
        <w:tc>
          <w:tcPr>
            <w:tcW w:w="6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33,123,354</w:t>
            </w: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33</w:t>
            </w: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ind w:right="11"/>
              <w:spacing w:after="0" w:line="102"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420,533</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ind w:right="6"/>
              <w:spacing w:after="0" w:line="102" w:lineRule="exact"/>
              <w:rPr>
                <w:sz w:val="20"/>
                <w:szCs w:val="20"/>
                <w:color w:val="auto"/>
              </w:rPr>
            </w:pPr>
            <w:r>
              <w:rPr>
                <w:rFonts w:ascii="Arial" w:cs="Arial" w:eastAsia="Arial" w:hAnsi="Arial"/>
                <w:sz w:val="11"/>
                <w:szCs w:val="11"/>
                <w:color w:val="auto"/>
              </w:rPr>
              <w:t>(18)</w:t>
            </w:r>
          </w:p>
        </w:tc>
        <w:tc>
          <w:tcPr>
            <w:tcW w:w="1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940" w:type="dxa"/>
            <w:vAlign w:val="bottom"/>
            <w:tcBorders>
              <w:top w:val="single" w:sz="8" w:color="auto"/>
            </w:tcBorders>
            <w:gridSpan w:val="2"/>
          </w:tcPr>
          <w:p>
            <w:pPr>
              <w:jc w:val="right"/>
              <w:ind w:right="120"/>
              <w:spacing w:after="0" w:line="102" w:lineRule="exact"/>
              <w:rPr>
                <w:sz w:val="20"/>
                <w:szCs w:val="20"/>
                <w:color w:val="auto"/>
              </w:rPr>
            </w:pPr>
            <w:r>
              <w:rPr>
                <w:rFonts w:ascii="Arial" w:cs="Arial" w:eastAsia="Arial" w:hAnsi="Arial"/>
                <w:sz w:val="11"/>
                <w:szCs w:val="11"/>
                <w:color w:val="auto"/>
              </w:rPr>
              <w:t>(207,470)</w:t>
            </w:r>
          </w:p>
        </w:tc>
        <w:tc>
          <w:tcPr>
            <w:tcW w:w="1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213,078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Follow on offering, net of issuance costs</w:t>
            </w: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10,009,259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541,366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541,376</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Issuance of common stock under stock plan</w:t>
            </w: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428,210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1"/>
                <w:szCs w:val="11"/>
                <w:color w:val="auto"/>
              </w:rPr>
              <w:t>4,887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Arial" w:cs="Arial" w:eastAsia="Arial" w:hAnsi="Arial"/>
                <w:sz w:val="11"/>
                <w:szCs w:val="11"/>
                <w:color w:val="auto"/>
              </w:rPr>
              <w:t>4,887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Purchase of common stock under ESPP</w:t>
            </w: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16,703</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476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476</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Stock-based compensation expense</w:t>
            </w:r>
          </w:p>
        </w:tc>
        <w:tc>
          <w:tcPr>
            <w:tcW w:w="82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1"/>
                <w:szCs w:val="11"/>
                <w:color w:val="auto"/>
              </w:rPr>
              <w:t>12,523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Arial" w:cs="Arial" w:eastAsia="Arial" w:hAnsi="Arial"/>
                <w:sz w:val="11"/>
                <w:szCs w:val="11"/>
                <w:color w:val="auto"/>
              </w:rPr>
              <w:t>12,523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Unrealized loss on available-for-sale securities</w:t>
            </w:r>
          </w:p>
        </w:tc>
        <w:tc>
          <w:tcPr>
            <w:tcW w:w="82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6"/>
              <w:spacing w:after="0" w:line="109" w:lineRule="exact"/>
              <w:rPr>
                <w:sz w:val="20"/>
                <w:szCs w:val="20"/>
                <w:color w:val="auto"/>
              </w:rPr>
            </w:pPr>
            <w:r>
              <w:rPr>
                <w:rFonts w:ascii="Arial" w:cs="Arial" w:eastAsia="Arial" w:hAnsi="Arial"/>
                <w:sz w:val="11"/>
                <w:szCs w:val="11"/>
                <w:color w:val="auto"/>
              </w:rPr>
              <w:t>(251)</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1"/>
                <w:szCs w:val="11"/>
                <w:color w:val="auto"/>
              </w:rPr>
              <w:t>(251)</w:t>
            </w: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9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(148,119)</w:t>
            </w:r>
          </w:p>
        </w:tc>
        <w:tc>
          <w:tcPr>
            <w:tcW w:w="100" w:type="dxa"/>
            <w:vAlign w:val="bottom"/>
          </w:tcPr>
          <w:p>
            <w:pPr>
              <w:spacing w:after="0"/>
              <w:rPr>
                <w:sz w:val="9"/>
                <w:szCs w:val="9"/>
                <w:color w:val="auto"/>
              </w:rPr>
            </w:pPr>
          </w:p>
        </w:tc>
        <w:tc>
          <w:tcPr>
            <w:tcW w:w="92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(148,119)</w:t>
            </w:r>
          </w:p>
        </w:tc>
        <w:tc>
          <w:tcPr>
            <w:tcW w:w="0" w:type="dxa"/>
            <w:vAlign w:val="bottom"/>
          </w:tcPr>
          <w:p>
            <w:pPr>
              <w:spacing w:after="0"/>
              <w:rPr>
                <w:sz w:val="1"/>
                <w:szCs w:val="1"/>
                <w:color w:val="auto"/>
              </w:rPr>
            </w:pPr>
          </w:p>
        </w:tc>
      </w:tr>
      <w:tr>
        <w:trPr>
          <w:trHeight w:val="102"/>
        </w:trPr>
        <w:tc>
          <w:tcPr>
            <w:tcW w:w="496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color w:val="auto"/>
              </w:rPr>
              <w:t>Balance at December 31, 2017</w:t>
            </w:r>
          </w:p>
        </w:tc>
        <w:tc>
          <w:tcPr>
            <w:tcW w:w="6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43,577,526</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43</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979,785</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right"/>
              <w:ind w:right="6"/>
              <w:spacing w:after="0" w:line="102" w:lineRule="exact"/>
              <w:rPr>
                <w:sz w:val="20"/>
                <w:szCs w:val="20"/>
                <w:color w:val="auto"/>
              </w:rPr>
            </w:pPr>
            <w:r>
              <w:rPr>
                <w:rFonts w:ascii="Arial" w:cs="Arial" w:eastAsia="Arial" w:hAnsi="Arial"/>
                <w:sz w:val="11"/>
                <w:szCs w:val="11"/>
                <w:color w:val="auto"/>
              </w:rPr>
              <w:t>(269)</w:t>
            </w:r>
          </w:p>
        </w:tc>
        <w:tc>
          <w:tcPr>
            <w:tcW w:w="1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(355,589)</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623,970</w:t>
            </w: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20"/>
              <w:spacing w:after="0"/>
              <w:rPr>
                <w:sz w:val="20"/>
                <w:szCs w:val="20"/>
                <w:color w:val="auto"/>
              </w:rPr>
            </w:pPr>
            <w:r>
              <w:rPr>
                <w:rFonts w:ascii="Arial" w:cs="Arial" w:eastAsia="Arial" w:hAnsi="Arial"/>
                <w:sz w:val="11"/>
                <w:szCs w:val="11"/>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1"/>
                <w:szCs w:val="11"/>
                <w:color w:val="auto"/>
              </w:rPr>
              <w:t>445,622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common stock under ESPP</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13,878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30,534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30,534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Adoption of new accounting standard</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(5,314)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(5,314)</w:t>
            </w:r>
          </w:p>
        </w:tc>
        <w:tc>
          <w:tcPr>
            <w:tcW w:w="0" w:type="dxa"/>
            <w:vAlign w:val="bottom"/>
          </w:tcPr>
          <w:p>
            <w:pPr>
              <w:spacing w:after="0"/>
              <w:rPr>
                <w:sz w:val="1"/>
                <w:szCs w:val="1"/>
                <w:color w:val="auto"/>
              </w:rPr>
            </w:pPr>
          </w:p>
        </w:tc>
      </w:tr>
      <w:tr>
        <w:trPr>
          <w:trHeight w:val="189"/>
        </w:trPr>
        <w:tc>
          <w:tcPr>
            <w:tcW w:w="4960" w:type="dxa"/>
            <w:vAlign w:val="bottom"/>
          </w:tcPr>
          <w:p>
            <w:pPr>
              <w:ind w:left="20"/>
              <w:spacing w:after="0"/>
              <w:rPr>
                <w:sz w:val="20"/>
                <w:szCs w:val="20"/>
                <w:color w:val="auto"/>
              </w:rPr>
            </w:pPr>
            <w:r>
              <w:rPr>
                <w:rFonts w:ascii="Arial" w:cs="Arial" w:eastAsia="Arial" w:hAnsi="Arial"/>
                <w:sz w:val="11"/>
                <w:szCs w:val="11"/>
                <w:color w:val="auto"/>
              </w:rPr>
              <w:t>Cumulative translation adjustment</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loss on available-for-sale securities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105</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960" w:type="dxa"/>
            <w:vAlign w:val="bottom"/>
          </w:tcPr>
          <w:p>
            <w:pPr>
              <w:ind w:left="20"/>
              <w:spacing w:after="0" w:line="109" w:lineRule="exact"/>
              <w:rPr>
                <w:sz w:val="20"/>
                <w:szCs w:val="20"/>
                <w:color w:val="auto"/>
              </w:rPr>
            </w:pPr>
            <w:r>
              <w:rPr>
                <w:rFonts w:ascii="Arial" w:cs="Arial" w:eastAsia="Arial" w:hAnsi="Arial"/>
                <w:sz w:val="11"/>
                <w:szCs w:val="11"/>
                <w:color w:val="auto"/>
              </w:rPr>
              <w:t>Other</w:t>
            </w:r>
          </w:p>
        </w:tc>
        <w:tc>
          <w:tcPr>
            <w:tcW w:w="820" w:type="dxa"/>
            <w:vAlign w:val="bottom"/>
            <w:gridSpan w:val="2"/>
          </w:tcPr>
          <w:p>
            <w:pPr>
              <w:jc w:val="right"/>
              <w:ind w:right="20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1"/>
                <w:szCs w:val="11"/>
                <w:color w:val="auto"/>
              </w:rPr>
              <w:t>35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Arial" w:cs="Arial" w:eastAsia="Arial" w:hAnsi="Arial"/>
                <w:sz w:val="11"/>
                <w:szCs w:val="11"/>
                <w:color w:val="auto"/>
              </w:rPr>
              <w:t>35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(236,642)</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(236,642)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tcPr>
          <w:p>
            <w:pPr>
              <w:ind w:left="20"/>
              <w:spacing w:after="0"/>
              <w:rPr>
                <w:sz w:val="20"/>
                <w:szCs w:val="20"/>
                <w:color w:val="auto"/>
              </w:rPr>
            </w:pPr>
            <w:r>
              <w:rPr>
                <w:rFonts w:ascii="Arial" w:cs="Arial" w:eastAsia="Arial" w:hAnsi="Arial"/>
                <w:sz w:val="11"/>
                <w:szCs w:val="11"/>
                <w:color w:val="auto"/>
              </w:rPr>
              <w:t>Balance at December 31, 2018</w:t>
            </w:r>
          </w:p>
        </w:tc>
        <w:tc>
          <w:tcPr>
            <w:tcW w:w="660" w:type="dxa"/>
            <w:vAlign w:val="bottom"/>
          </w:tcPr>
          <w:p>
            <w:pPr>
              <w:jc w:val="right"/>
              <w:spacing w:after="0"/>
              <w:rPr>
                <w:sz w:val="20"/>
                <w:szCs w:val="20"/>
                <w:color w:val="auto"/>
              </w:rPr>
            </w:pPr>
            <w:r>
              <w:rPr>
                <w:rFonts w:ascii="Arial" w:cs="Arial" w:eastAsia="Arial" w:hAnsi="Arial"/>
                <w:sz w:val="11"/>
                <w:szCs w:val="11"/>
                <w:color w:val="auto"/>
              </w:rPr>
              <w:t>44,037,026</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44</w:t>
            </w:r>
          </w:p>
        </w:tc>
        <w:tc>
          <w:tcPr>
            <w:tcW w:w="1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1,016,690</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(180)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(597,545)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419,009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600"/>
          </w:cols>
          <w:pgMar w:left="740" w:top="111" w:right="55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jc w:val="center"/>
        <w:ind w:right="40"/>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2"/>
        </w:trPr>
        <w:tc>
          <w:tcPr>
            <w:tcW w:w="5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2017 (as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right"/>
              <w:ind w:right="132"/>
              <w:spacing w:after="0" w:line="102" w:lineRule="exact"/>
              <w:rPr>
                <w:sz w:val="20"/>
                <w:szCs w:val="20"/>
                <w:color w:val="auto"/>
              </w:rPr>
            </w:pPr>
            <w:r>
              <w:rPr>
                <w:rFonts w:ascii="Arial" w:cs="Arial" w:eastAsia="Arial" w:hAnsi="Arial"/>
                <w:sz w:val="11"/>
                <w:szCs w:val="11"/>
                <w:b w:val="1"/>
                <w:bCs w:val="1"/>
                <w:color w:val="auto"/>
              </w:rPr>
              <w:t>2016 (as</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adjusted)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69"/>
        </w:trPr>
        <w:tc>
          <w:tcPr>
            <w:tcW w:w="5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(236,642)</w:t>
            </w:r>
          </w:p>
        </w:tc>
        <w:tc>
          <w:tcPr>
            <w:tcW w:w="60" w:type="dxa"/>
            <w:vAlign w:val="bottom"/>
          </w:tcPr>
          <w:p>
            <w:pPr>
              <w:spacing w:after="0"/>
              <w:rPr>
                <w:sz w:val="15"/>
                <w:szCs w:val="15"/>
                <w:color w:val="auto"/>
              </w:rPr>
            </w:pP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(148,119)</w:t>
            </w:r>
          </w:p>
        </w:tc>
        <w:tc>
          <w:tcPr>
            <w:tcW w:w="6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(72,495)</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4,246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1,578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30,534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176"/>
        </w:trPr>
        <w:tc>
          <w:tcPr>
            <w:tcW w:w="5720" w:type="dxa"/>
            <w:vAlign w:val="bottom"/>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(4,381)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(320)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5720" w:type="dxa"/>
            <w:vAlign w:val="bottom"/>
          </w:tcPr>
          <w:p>
            <w:pPr>
              <w:ind w:left="220"/>
              <w:spacing w:after="0" w:line="176" w:lineRule="exact"/>
              <w:rPr>
                <w:sz w:val="20"/>
                <w:szCs w:val="20"/>
                <w:color w:val="auto"/>
              </w:rPr>
            </w:pPr>
            <w:r>
              <w:rPr>
                <w:rFonts w:ascii="Arial" w:cs="Arial" w:eastAsia="Arial" w:hAnsi="Arial"/>
                <w:sz w:val="18"/>
                <w:szCs w:val="18"/>
                <w:b w:val="1"/>
                <w:bCs w:val="1"/>
                <w:color w:val="auto"/>
              </w:rPr>
              <w:t>Changes in assets and liabilities: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6,284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176"/>
        </w:trPr>
        <w:tc>
          <w:tcPr>
            <w:tcW w:w="5720" w:type="dxa"/>
            <w:vAlign w:val="bottom"/>
          </w:tcPr>
          <w:p>
            <w:pPr>
              <w:ind w:left="320"/>
              <w:spacing w:after="0" w:line="176" w:lineRule="exact"/>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(4,242)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(458)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572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24,804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14,597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5,479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(11,861)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33,594</w:t>
            </w:r>
          </w:p>
        </w:tc>
        <w:tc>
          <w:tcPr>
            <w:tcW w:w="0" w:type="dxa"/>
            <w:vAlign w:val="bottom"/>
          </w:tcPr>
          <w:p>
            <w:pPr>
              <w:spacing w:after="0"/>
              <w:rPr>
                <w:sz w:val="1"/>
                <w:szCs w:val="1"/>
                <w:color w:val="auto"/>
              </w:rPr>
            </w:pPr>
          </w:p>
        </w:tc>
      </w:tr>
      <w:tr>
        <w:trPr>
          <w:trHeight w:val="176"/>
        </w:trPr>
        <w:tc>
          <w:tcPr>
            <w:tcW w:w="572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Deferred rent</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14,320</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69"/>
        </w:trPr>
        <w:tc>
          <w:tcPr>
            <w:tcW w:w="5720" w:type="dxa"/>
            <w:vAlign w:val="bottom"/>
            <w:shd w:val="clear" w:color="auto" w:fill="CCEEFF"/>
          </w:tcPr>
          <w:p>
            <w:pPr>
              <w:ind w:left="580"/>
              <w:spacing w:after="0" w:line="170" w:lineRule="exact"/>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(175,009)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(119,865)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(24,513)</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color w:val="auto"/>
              </w:rPr>
              <w:t>Purchases of investments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(801,236)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(360,835)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(264,467)</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Maturities of investments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652,825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304,000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169"/>
        </w:trPr>
        <w:tc>
          <w:tcPr>
            <w:tcW w:w="5720" w:type="dxa"/>
            <w:vAlign w:val="bottom"/>
          </w:tcPr>
          <w:p>
            <w:pPr>
              <w:ind w:left="580"/>
              <w:spacing w:after="0" w:line="170" w:lineRule="exact"/>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(161,088)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(72,347)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(218,821)</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(1,528)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(2,583)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payments on capital lease obligations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color w:val="auto"/>
              </w:rPr>
              <w:t>Payment of offering costs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(281)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(965)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Proceeds from public offerings of common stock, net of commissions and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542,225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135,125</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underwriting discounts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Proceeds from issuance of common stock</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6,425</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5,271</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4,454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543,948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132,577</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color w:val="auto"/>
              </w:rPr>
              <w:t>Net increase (decrease) in cash, cash equivalents, and restricted cash</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(331,643)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351,736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(110,757)</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405,072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53,336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164,093</w:t>
            </w:r>
          </w:p>
        </w:tc>
        <w:tc>
          <w:tcPr>
            <w:tcW w:w="0" w:type="dxa"/>
            <w:vAlign w:val="bottom"/>
          </w:tcPr>
          <w:p>
            <w:pPr>
              <w:spacing w:after="0"/>
              <w:rPr>
                <w:sz w:val="1"/>
                <w:szCs w:val="1"/>
                <w:color w:val="auto"/>
              </w:rPr>
            </w:pPr>
          </w:p>
        </w:tc>
      </w:tr>
      <w:tr>
        <w:trPr>
          <w:trHeight w:val="176"/>
        </w:trPr>
        <w:tc>
          <w:tcPr>
            <w:tcW w:w="5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73,429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405,072</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53,336</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317</w:t>
            </w:r>
          </w:p>
        </w:tc>
        <w:tc>
          <w:tcPr>
            <w:tcW w:w="6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purchases unpaid at period end</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912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3,947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5720" w:type="dxa"/>
            <w:vAlign w:val="bottom"/>
          </w:tcPr>
          <w:p>
            <w:pPr>
              <w:spacing w:after="0" w:line="163" w:lineRule="exact"/>
              <w:rPr>
                <w:sz w:val="20"/>
                <w:szCs w:val="20"/>
                <w:color w:val="auto"/>
              </w:rPr>
            </w:pPr>
            <w:r>
              <w:rPr>
                <w:rFonts w:ascii="Arial" w:cs="Arial" w:eastAsia="Arial" w:hAnsi="Arial"/>
                <w:sz w:val="18"/>
                <w:szCs w:val="18"/>
                <w:color w:val="auto"/>
              </w:rPr>
              <w:t>Cash paid for interest</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151</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40" w:firstLine="648"/>
        <w:spacing w:after="0" w:line="22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760" w:type="dxa"/>
            <w:vAlign w:val="bottom"/>
          </w:tcPr>
          <w:p>
            <w:pPr>
              <w:spacing w:after="0"/>
              <w:rPr>
                <w:sz w:val="14"/>
                <w:szCs w:val="14"/>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29"/>
        </w:trPr>
        <w:tc>
          <w:tcPr>
            <w:tcW w:w="5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and cash equivalents</w:t>
            </w: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68,064</w:t>
            </w: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400,304</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52,069</w:t>
            </w: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5760" w:type="dxa"/>
            <w:vAlign w:val="bottom"/>
          </w:tcPr>
          <w:p>
            <w:pPr>
              <w:spacing w:after="0" w:line="135" w:lineRule="exact"/>
              <w:rPr>
                <w:sz w:val="20"/>
                <w:szCs w:val="20"/>
                <w:color w:val="auto"/>
              </w:rPr>
            </w:pPr>
            <w:r>
              <w:rPr>
                <w:rFonts w:ascii="Arial" w:cs="Arial" w:eastAsia="Arial" w:hAnsi="Arial"/>
                <w:sz w:val="14"/>
                <w:szCs w:val="14"/>
                <w:color w:val="auto"/>
              </w:rPr>
              <w:t>Restricted cash included in prepaid expenses and other current assets</w:t>
            </w:r>
          </w:p>
        </w:tc>
        <w:tc>
          <w:tcPr>
            <w:tcW w:w="110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211</w:t>
            </w:r>
          </w:p>
        </w:tc>
        <w:tc>
          <w:tcPr>
            <w:tcW w:w="106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213</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r>
      <w:tr>
        <w:trPr>
          <w:trHeight w:val="135"/>
        </w:trPr>
        <w:tc>
          <w:tcPr>
            <w:tcW w:w="57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w:t>
            </w: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5,154</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4,555</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1"/>
                <w:szCs w:val="11"/>
                <w:color w:val="auto"/>
              </w:rPr>
            </w:pPr>
          </w:p>
        </w:tc>
      </w:tr>
      <w:tr>
        <w:trPr>
          <w:trHeight w:val="136"/>
        </w:trPr>
        <w:tc>
          <w:tcPr>
            <w:tcW w:w="5760" w:type="dxa"/>
            <w:vAlign w:val="bottom"/>
          </w:tcPr>
          <w:p>
            <w:pPr>
              <w:spacing w:after="0" w:line="129" w:lineRule="exact"/>
              <w:rPr>
                <w:sz w:val="20"/>
                <w:szCs w:val="20"/>
                <w:color w:val="auto"/>
              </w:rPr>
            </w:pPr>
            <w:r>
              <w:rPr>
                <w:rFonts w:ascii="Arial" w:cs="Arial" w:eastAsia="Arial" w:hAnsi="Arial"/>
                <w:sz w:val="14"/>
                <w:szCs w:val="14"/>
                <w:color w:val="auto"/>
                <w:w w:val="95"/>
              </w:rPr>
              <w:t>Total cash, cash equivalents, and restricted cash shown in consolidated statements of cash flows</w:t>
            </w:r>
          </w:p>
        </w:tc>
        <w:tc>
          <w:tcPr>
            <w:tcW w:w="24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73,429</w:t>
            </w:r>
          </w:p>
        </w:tc>
        <w:tc>
          <w:tcPr>
            <w:tcW w:w="20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405,072</w:t>
            </w:r>
          </w:p>
        </w:tc>
        <w:tc>
          <w:tcPr>
            <w:tcW w:w="1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53,336</w:t>
            </w:r>
          </w:p>
        </w:tc>
        <w:tc>
          <w:tcPr>
            <w:tcW w:w="8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61"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13, 2016, the Company closed its underwritten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paid by the Company.</w:t>
      </w:r>
    </w:p>
    <w:p>
      <w:pPr>
        <w:spacing w:after="0" w:line="162"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On April 4, 2017, the Company closed its underwritten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Company received net proceeds of approximately $215.6 million, after deducting underwriting discounts and commissions and offering expenses payable by the Company.</w:t>
      </w:r>
    </w:p>
    <w:p>
      <w:pPr>
        <w:spacing w:after="0" w:line="162"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15, 2017, the Company closed its underwritten public offering of 4,259,259 shares of its common stock at a price to the public of $81.00 per share, including 555,555 shares of common stock sold by the Company pursuant to the exercise in full by the underwriters of their option to purchase additional shares in connection with the offering. The Company received net proceeds of approximately $325.7 million, after deducting underwriting discounts and commissions and offering expenses payable by the Company.</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As of December 31, 2018, the Company had cash, cash equivalents and investments of $494.0 million. Based on the Company’s current plans, the Company expects that its existing cash, cash equivalents and investments, excluding any potential option fees and milestone payments under its existing collaborations with Roche and CStone, will be sufficient to enable it to fund its operating expenses and capital expenditure requirements into the second half of 2020.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audited consolidated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 and the rules and regulations of the SEC.</w:t>
      </w:r>
    </w:p>
    <w:p>
      <w:pPr>
        <w:spacing w:after="0" w:line="16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Blueprint Medicines Security Corporation, which is a Massachusetts subsidiary created to buy, sell and hold securities, and Blueprint Medicines (Switzerland) GmbH. All intercompany transactions and balances have been eliminated.</w:t>
      </w:r>
    </w:p>
    <w:p>
      <w:pPr>
        <w:spacing w:after="0" w:line="147"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Due to the underwritten public offerings completed on December 13, 2016, April 4, 2017, and December 15, 2017, there were significant increases in shares outstanding in the years ended December 31, 2017 and 2016, which impacts the year-over-year comparability of the Company’s net loss per share calculations.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accrued expenses, and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 xml:space="preserve">Effective January 1, 2018, the Company adopted ASC 606, using the modified retrospective transition method. Under this 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The Company only applied the modified retrospective transition method to contracts that were not completed as of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4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exclusively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69"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If the license to the Company’s intellectual property is determined to be distinct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7"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1"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right="520" w:firstLine="648"/>
        <w:spacing w:after="0" w:line="25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research or development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evaluates whether the milestones are considered probable of being achieved and estimates the amount to be included in the transaction price using the most likely amount method. If it is probable that a significant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arrangements that include sales-based royalties, including milestone payments upon first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milestone payments based on a level of sales, which are the result of a customer-vendor relationship and for which the license is deemed to be the predominant item to which the royalties relate, the Company recognizes revenue at the later of</w:t>
      </w:r>
    </w:p>
    <w:p>
      <w:pPr>
        <w:spacing w:after="0" w:line="2" w:lineRule="exact"/>
        <w:rPr>
          <w:sz w:val="20"/>
          <w:szCs w:val="20"/>
          <w:color w:val="auto"/>
        </w:rPr>
      </w:pPr>
    </w:p>
    <w:p>
      <w:pPr>
        <w:ind w:right="360" w:firstLine="3"/>
        <w:spacing w:after="0" w:line="218"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complete discussion of accounting for collaboration revenues, see Note 8, “Collaborations.”</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Prior to January 1, 2018, the Company recognized revenue from license and collaboration agreements in accordance with FASB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Accordingly, revenue was recognized when all of the following criteria were met:</w:t>
      </w:r>
    </w:p>
    <w:p>
      <w:pPr>
        <w:spacing w:after="0" w:line="163" w:lineRule="exact"/>
        <w:rPr>
          <w:sz w:val="20"/>
          <w:szCs w:val="20"/>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Amounts received prior to satisfying the revenue recognition criteria were recognized as deferred revenue in the Company’s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55" w:lineRule="exact"/>
        <w:rPr>
          <w:sz w:val="20"/>
          <w:szCs w:val="20"/>
          <w:color w:val="auto"/>
        </w:rPr>
      </w:pPr>
    </w:p>
    <w:p>
      <w:pPr>
        <w:ind w:right="80" w:firstLine="648"/>
        <w:spacing w:after="0" w:line="233" w:lineRule="auto"/>
        <w:rPr>
          <w:sz w:val="20"/>
          <w:szCs w:val="20"/>
          <w:color w:val="auto"/>
        </w:rPr>
      </w:pPr>
      <w:r>
        <w:rPr>
          <w:rFonts w:ascii="Arial" w:cs="Arial" w:eastAsia="Arial" w:hAnsi="Arial"/>
          <w:sz w:val="16"/>
          <w:szCs w:val="16"/>
          <w:color w:val="auto"/>
        </w:rPr>
        <w:t>When evaluating multiple element arrangements, the Company considered whether the deliverables under the arrangement represented separate units of accounting. This evaluation required subjective determinations and required management to make judgments about the individual deliverables and whether such deliverables were separable from the other aspects of the contractual relationship. In determining the units of accounting, management evaluated certain criteria, including whether the deliverables have standalone value, based on the consideration of the relevant facts and circumstances for each arrangement. The consideration received was allocated among the separate units of accounting using the relative selling price method, and the applicable revenue recognition criteria were applied to each of the separate units. Deliverables were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had stand-alone value, the Company considered factors such as the research, manufacturing and commercialization capabilities of the collaboration partner and the availability of the associated expertise in the general marketplace. In addition, the Company considered whether the collaboration partner could use the deliverable(s) for their intended purpose without the receipt of the remaining element(s), whether the value of the deliverable is dependent on the undelivered item(s) and whether there were other vendors that can provide the undelivered element(s). The Company’s collaboration agreements with Alexion and Roche do not contain a general right of return relative to the delivered item(s).</w:t>
      </w:r>
    </w:p>
    <w:p>
      <w:pPr>
        <w:spacing w:after="0" w:line="12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Arrangement consideration that is fixed or determinable was allocated among the separate units of accounting using the relative selling price method. Then, the applicable revenue recognition criteria in ASC 605-25 were applied to each of the separate units of accounting in determining the appropriate period and pattern of recognition.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determined the selling price of a unit of accounting following the hierarchy of evidence prescribed by ASC 605-25. Accordingly, the Company determined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used BESP to estimate the selling price, since it generally did not have VSOE or TPE of selling price for its units of accounting. Determining the BESP for a unit of accounting required significant judgment. In developing the BESP for a unit of accounting, the Company considered applicable market conditions and relevant entity-specific factors, including factors that were contemplated in negotiating the agreement with the customer and estimated costs. The Company validated the BESP for units of accounting by evaluating whether changes in the key assumptions used to determine the BESP would have a significant effect on the allocation of arrangement consideration between multiple units of accounting.</w:t>
      </w:r>
    </w:p>
    <w:p>
      <w:pPr>
        <w:spacing w:after="0" w:line="163"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did not represent a separate unit of accounting, the Company recognized revenue from the combined element over the period over which it expected to fulfill its performance obligations or as undelivered items were delivered, as appropriate, if all of the other revenue recognition criteria in ASC 605-25 were met. If the pattern of performance in which the service was provided to the customer could be determined and objectively measurable performance measures existed, then the Company recognized revenue under the arrangement using the proportional performance method. If there was no discernible pattern of performance and/or objectively measurable performance measures did not exist, then the Company recognized revenue under the arrangement on a straight-line basis over the period the Company was expected to complete its performance obligations. Revenue recognized was limited to the lesser of the cumulative amount of payments received or the cumulative amount of revenue earned, as determined using the straight-line method or proportional performance method, as applicable, as of the period ending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multiple-element revenue arrangements may include the following: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Licenses</w:t>
      </w:r>
    </w:p>
    <w:p>
      <w:pPr>
        <w:spacing w:after="0" w:line="185" w:lineRule="exact"/>
        <w:rPr>
          <w:sz w:val="20"/>
          <w:szCs w:val="20"/>
          <w:color w:val="auto"/>
        </w:rPr>
      </w:pPr>
    </w:p>
    <w:p>
      <w:pPr>
        <w:ind w:right="240" w:firstLine="648"/>
        <w:spacing w:after="0" w:line="223" w:lineRule="auto"/>
        <w:rPr>
          <w:sz w:val="20"/>
          <w:szCs w:val="20"/>
          <w:color w:val="auto"/>
        </w:rPr>
      </w:pPr>
      <w:r>
        <w:rPr>
          <w:rFonts w:ascii="Arial" w:cs="Arial" w:eastAsia="Arial" w:hAnsi="Arial"/>
          <w:sz w:val="17"/>
          <w:szCs w:val="17"/>
          <w:color w:val="auto"/>
        </w:rPr>
        <w:t>The deliverables under the Company’s collaboration agreements may include exclusive licenses to research, develop, manufacture and commercialize licensed products. To account for this element of an arrangement, management evaluated whether an exclusive license had stand-alone value from the undelivered elements based on the consideration of the relevant facts and circumstances of the arrangement, including the research and development capabilities of the collaboration partner. The Company recognized the arrangement consideration allocated to licenses upon delivery of the license if facts and circumstances indicated that the license had stand-alone value from the undelivered elements, which generally included research and development services. The Company deferred arrangement consideration allocated to licenses if facts and circumstances indicated that the delivered license did not have stand-alone value from the undelivered elements.</w:t>
      </w:r>
    </w:p>
    <w:p>
      <w:pPr>
        <w:spacing w:after="0" w:line="162"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When management believed a license did not have stand-alone value from the other deliverables to be provided in the arrangement, the Company recognized revenue attributed to the license on a proportional basis over the Company’s contractual or estimated performance period, which was typically the term of the Company’s research and development obligations. If management could not reasonably estimate when the Company’s performance obligation ends, then revenue was deferred until management could reasonably estimate when the performance obligation ended. The periods over which revenue should be recognized were subject to estimates by management and could change over the course of the research and development and licensing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Services</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deliverables under the Company’s collaboration agreements may include research and development services to be performed by the Company on behalf of the partner. Payments or reimbursements resulting from the Company’s research and development efforts were recognized as the services were performed and presented on a gross basis because the Company was the principal for such efforts, so long as there was persuasive evidence of an arrangement, the fee was fixed or determinable, and collection of the related amount was reasonably assured.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Revenue</w:t>
      </w:r>
    </w:p>
    <w:p>
      <w:pPr>
        <w:spacing w:after="0" w:line="185"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Company’s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the Company evaluated whether each milestone was substantive and at risk to both parties on the basis of the contingent nature of the milestone. This evaluation included an assessment of whether:</w:t>
      </w:r>
    </w:p>
    <w:p>
      <w:pPr>
        <w:spacing w:after="0" w:line="163" w:lineRule="exact"/>
        <w:rPr>
          <w:sz w:val="20"/>
          <w:szCs w:val="20"/>
          <w:color w:val="auto"/>
        </w:rPr>
      </w:pPr>
    </w:p>
    <w:p>
      <w:pPr>
        <w:jc w:val="both"/>
        <w:ind w:left="1300" w:right="220" w:hanging="325"/>
        <w:spacing w:after="0" w:line="22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was commensurate with either the Company’s performance to achieve the milestone or the enhancement of the value of the delivered item(s) as a result of a specific outcome resulting from the Company’s performance to achieve the milestone;</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related solely to past performance; and</w:t>
      </w:r>
    </w:p>
    <w:p>
      <w:pPr>
        <w:spacing w:after="0" w:line="184" w:lineRule="exact"/>
        <w:rPr>
          <w:rFonts w:ascii="Arial" w:cs="Arial" w:eastAsia="Arial" w:hAnsi="Arial"/>
          <w:sz w:val="18"/>
          <w:szCs w:val="18"/>
          <w:color w:val="auto"/>
        </w:rPr>
      </w:pPr>
    </w:p>
    <w:p>
      <w:pPr>
        <w:ind w:left="1300" w:right="840" w:hanging="325"/>
        <w:spacing w:after="0" w:line="235"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was reasonable relative to all of the deliverables and payment terms within the arrangement.</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Company evaluated factors such as the scientific, clinical, regulatory, commercial and other risks that must be overcome to achieve the respective milestone and the level of effort and investment required to achieve the respective milestone in making this assessment. There was considerable judgment involved in determining whether a milestone satisfied all of the criteria required to conclude that a milestone was substantive. Milestones that were not considered substantive were accounted for as license payments and recognized over the remaining period of performance from the date of achievement of the milestone. Milestones that were considered substantive was recognized in their entirety upon successful accomplishment of the milestone with a cumulative catch up adjustments, assuming all other revenue recognition criteria were met.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85"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6"/>
          <w:szCs w:val="16"/>
          <w:i w:val="1"/>
          <w:iCs w:val="1"/>
          <w:color w:val="auto"/>
        </w:rPr>
        <w:t>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808). This assessment is performed throughout the life of the arrangement based on changes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Amounts that are owed to collaboration partners are recognized as an offset to collaboration revenues as such amounts are incurred by the collaboration partner. Where amounts owed to a collaboration partner exceed the Company’s collaboration revenues in each quarterly period, such amounts are classified as research and development expense. For those elements of the arrangement that are accounted for pursuant to ASC 606, the Company applies the five-step model described above under ASC 606.</w:t>
      </w:r>
    </w:p>
    <w:p>
      <w:pPr>
        <w:spacing w:after="0" w:line="166"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For a complete discussion of accounting for collaboration revenues, see Note 8, “Collaborations.” </w:t>
      </w:r>
      <w:r>
        <w:rPr>
          <w:rFonts w:ascii="Arial" w:cs="Arial" w:eastAsia="Arial" w:hAnsi="Arial"/>
          <w:sz w:val="18"/>
          <w:szCs w:val="18"/>
          <w:b w:val="1"/>
          <w:bCs w:val="1"/>
          <w:i w:val="1"/>
          <w:iCs w:val="1"/>
          <w:color w:val="auto"/>
        </w:rPr>
        <w:t>Fair Value Measurements</w:t>
      </w:r>
    </w:p>
    <w:p>
      <w:pPr>
        <w:ind w:right="20" w:firstLine="648"/>
        <w:spacing w:after="0" w:line="258" w:lineRule="auto"/>
        <w:rPr>
          <w:sz w:val="20"/>
          <w:szCs w:val="20"/>
          <w:color w:val="auto"/>
        </w:rPr>
      </w:pPr>
      <w:r>
        <w:rPr>
          <w:rFonts w:ascii="Arial" w:cs="Arial" w:eastAsia="Arial" w:hAnsi="Arial"/>
          <w:sz w:val="17"/>
          <w:szCs w:val="17"/>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47" w:lineRule="exact"/>
        <w:rPr>
          <w:sz w:val="20"/>
          <w:szCs w:val="20"/>
          <w:color w:val="auto"/>
        </w:rPr>
      </w:pPr>
    </w:p>
    <w:p>
      <w:pPr>
        <w:ind w:left="1300" w:right="240" w:hanging="325"/>
        <w:spacing w:after="0" w:line="235"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1 — Fair values are determined utilizing quoted prices (unadjusted) in active markets for identical assets or liabilities that the Company has the ability to access;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left="1300" w:hanging="325"/>
        <w:spacing w:after="0" w:line="22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63" w:lineRule="exact"/>
        <w:rPr>
          <w:rFonts w:ascii="Arial" w:cs="Arial" w:eastAsia="Arial" w:hAnsi="Arial"/>
          <w:sz w:val="18"/>
          <w:szCs w:val="18"/>
          <w:color w:val="auto"/>
        </w:rPr>
      </w:pPr>
    </w:p>
    <w:p>
      <w:pPr>
        <w:ind w:left="1300" w:right="220" w:hanging="325"/>
        <w:spacing w:after="0" w:line="219"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63" w:lineRule="exact"/>
        <w:rPr>
          <w:sz w:val="20"/>
          <w:szCs w:val="20"/>
          <w:color w:val="auto"/>
        </w:rPr>
      </w:pPr>
    </w:p>
    <w:p>
      <w:pPr>
        <w:ind w:right="320" w:firstLine="648"/>
        <w:spacing w:after="0" w:line="219" w:lineRule="auto"/>
        <w:rPr>
          <w:sz w:val="20"/>
          <w:szCs w:val="20"/>
          <w:color w:val="auto"/>
        </w:rPr>
      </w:pPr>
      <w:r>
        <w:rPr>
          <w:rFonts w:ascii="Arial" w:cs="Arial" w:eastAsia="Arial" w:hAnsi="Arial"/>
          <w:sz w:val="18"/>
          <w:szCs w:val="18"/>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63" w:lineRule="exact"/>
        <w:rPr>
          <w:sz w:val="20"/>
          <w:szCs w:val="20"/>
          <w:color w:val="auto"/>
        </w:rPr>
      </w:pPr>
    </w:p>
    <w:p>
      <w:pPr>
        <w:ind w:right="660" w:firstLine="648"/>
        <w:spacing w:after="0" w:line="454" w:lineRule="auto"/>
        <w:rPr>
          <w:sz w:val="20"/>
          <w:szCs w:val="20"/>
          <w:color w:val="auto"/>
        </w:rPr>
      </w:pPr>
      <w:r>
        <w:rPr>
          <w:rFonts w:ascii="Arial" w:cs="Arial" w:eastAsia="Arial" w:hAnsi="Arial"/>
          <w:sz w:val="18"/>
          <w:szCs w:val="18"/>
          <w:color w:val="auto"/>
        </w:rPr>
        <w:t xml:space="preserve">There have been no changes to the valuation methods during the years ended December 31, 2018 and 2017. </w:t>
      </w:r>
      <w:r>
        <w:rPr>
          <w:rFonts w:ascii="Arial" w:cs="Arial" w:eastAsia="Arial" w:hAnsi="Arial"/>
          <w:sz w:val="18"/>
          <w:szCs w:val="18"/>
          <w:b w:val="1"/>
          <w:bCs w:val="1"/>
          <w:i w:val="1"/>
          <w:iCs w:val="1"/>
          <w:color w:val="auto"/>
        </w:rPr>
        <w:t>Cash and cash equivalents</w:t>
      </w:r>
    </w:p>
    <w:p>
      <w:pPr>
        <w:ind w:right="60" w:firstLine="648"/>
        <w:spacing w:after="0" w:line="219" w:lineRule="auto"/>
        <w:rPr>
          <w:sz w:val="20"/>
          <w:szCs w:val="20"/>
          <w:color w:val="auto"/>
        </w:rPr>
      </w:pPr>
      <w:r>
        <w:rPr>
          <w:rFonts w:ascii="Arial" w:cs="Arial" w:eastAsia="Arial" w:hAnsi="Arial"/>
          <w:sz w:val="18"/>
          <w:szCs w:val="18"/>
          <w:color w:val="auto"/>
        </w:rPr>
        <w:t>The Company considers all highly liquid investments purchased with original final maturities of 90 days or less from the date of purchase to be cash equivalents. As of December 31, 2018 and December 31, 2017, cash equivalents were comprised of money market funds and other debt securities with maturities less than 90 days from the date of purchase. Cash equivalents are reported at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The Company classifies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will mark the investment to market through a charge to the Company’s statement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240" w:firstLine="648"/>
        <w:spacing w:after="0" w:line="194" w:lineRule="exact"/>
        <w:rPr>
          <w:sz w:val="20"/>
          <w:szCs w:val="20"/>
          <w:color w:val="auto"/>
        </w:rPr>
      </w:pPr>
      <w:r>
        <w:rPr>
          <w:rFonts w:ascii="Arial" w:cs="Arial" w:eastAsia="Arial" w:hAnsi="Arial"/>
          <w:sz w:val="17"/>
          <w:szCs w:val="17"/>
          <w:color w:val="auto"/>
        </w:rPr>
        <w:t>Comprehensive income (loss) is defined as the change in equity of a business enterprise during a period from transactions and other events and circumstances from non</w:t>
      </w:r>
      <w:r>
        <w:rPr>
          <w:rFonts w:ascii="MS PGothic" w:cs="MS PGothic" w:eastAsia="MS PGothic" w:hAnsi="MS PGothic"/>
          <w:sz w:val="17"/>
          <w:szCs w:val="17"/>
          <w:color w:val="auto"/>
        </w:rPr>
        <w:t>‑</w:t>
      </w:r>
      <w:r>
        <w:rPr>
          <w:rFonts w:ascii="Arial" w:cs="Arial" w:eastAsia="Arial" w:hAnsi="Arial"/>
          <w:sz w:val="17"/>
          <w:szCs w:val="17"/>
          <w:color w:val="auto"/>
        </w:rPr>
        <w:t>owner sources. Other comprehensive income (loss) consisted of foreign currency translation adjustments and unrealized gains and losses on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w:t>
      </w:r>
    </w:p>
    <w:p>
      <w:pPr>
        <w:spacing w:after="0" w:line="163"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85"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w:t>
      </w:r>
      <w:r>
        <w:rPr>
          <w:rFonts w:ascii="MS PGothic" w:cs="MS PGothic" w:eastAsia="MS PGothic" w:hAnsi="MS PGothic"/>
          <w:sz w:val="17"/>
          <w:szCs w:val="17"/>
          <w:color w:val="auto"/>
        </w:rPr>
        <w:t>‑</w:t>
      </w:r>
      <w:r>
        <w:rPr>
          <w:rFonts w:ascii="Arial" w:cs="Arial" w:eastAsia="Arial" w:hAnsi="Arial"/>
          <w:sz w:val="17"/>
          <w:szCs w:val="17"/>
          <w:color w:val="auto"/>
        </w:rPr>
        <w:t>lived assets may warrant revision or that the carrying value of these assets may be impaired. The Company has not recognized any impairment charges through December 31, 2018.</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 xml:space="preserve">Stock-based compensation awards are accounted for in accordance with ASC 718, </w:t>
      </w:r>
      <w:r>
        <w:rPr>
          <w:rFonts w:ascii="Arial" w:cs="Arial" w:eastAsia="Arial" w:hAnsi="Arial"/>
          <w:sz w:val="16"/>
          <w:szCs w:val="16"/>
          <w:i w:val="1"/>
          <w:iCs w:val="1"/>
          <w:color w:val="auto"/>
        </w:rPr>
        <w:t>Compensation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or ASC 718. The Company expenses the fair value of stock awards granted to employees and members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over the requisite service period, which is typically the vesting period. Prior to 2017, expense was recognized net of estimated forfeitures and adjusted to reflect actual forfeitures. Effective January 1, 2017, upon adoption of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under the modified retrospective approach, the Company began recognizing gross stock compensation expense with actual forfeitures recognized as they occur. Compensation cost for restricted stock awards issued to employees is measured using the grant date intrinsic value of the award and is adjusted to reflect actual forfeitures. Fair value of options granted to employees at the date of grant are estimated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requires management to apply judgment and make estimates, including:</w:t>
      </w:r>
    </w:p>
    <w:p>
      <w:pPr>
        <w:spacing w:after="0" w:line="168" w:lineRule="exact"/>
        <w:rPr>
          <w:sz w:val="20"/>
          <w:szCs w:val="20"/>
          <w:color w:val="auto"/>
        </w:rPr>
      </w:pPr>
    </w:p>
    <w:p>
      <w:pPr>
        <w:ind w:left="1300" w:right="20" w:hanging="325"/>
        <w:spacing w:after="0" w:line="210"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volatility, which is calculated based on reported volatility data for a representative group of publicly traded companies for which historical information is available. For these analyses, the Company selects companies with comparable characteristics to itself including enterprise value, risk profiles, position within the industry,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our stock-based awards. The Company intends to consistently apply this process using representative companies until a sufficient amount of historical information regarding the volatility of its own share price becomes available;</w:t>
      </w:r>
    </w:p>
    <w:p>
      <w:pPr>
        <w:spacing w:after="0" w:line="166" w:lineRule="exact"/>
        <w:rPr>
          <w:rFonts w:ascii="Arial" w:cs="Arial" w:eastAsia="Arial" w:hAnsi="Arial"/>
          <w:sz w:val="18"/>
          <w:szCs w:val="18"/>
          <w:color w:val="auto"/>
        </w:rPr>
      </w:pPr>
    </w:p>
    <w:p>
      <w:pPr>
        <w:ind w:left="1300" w:right="680" w:hanging="325"/>
        <w:spacing w:after="0" w:line="203" w:lineRule="exact"/>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term assumption;</w:t>
      </w:r>
    </w:p>
    <w:p>
      <w:pPr>
        <w:spacing w:after="0" w:line="161" w:lineRule="exact"/>
        <w:rPr>
          <w:rFonts w:ascii="Arial" w:cs="Arial" w:eastAsia="Arial" w:hAnsi="Arial"/>
          <w:sz w:val="18"/>
          <w:szCs w:val="18"/>
          <w:color w:val="auto"/>
        </w:rPr>
      </w:pPr>
    </w:p>
    <w:p>
      <w:pPr>
        <w:ind w:left="1300" w:hanging="325"/>
        <w:spacing w:after="0" w:line="185" w:lineRule="exact"/>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expected term, which is calculated using the simplified method, as prescribed by the Securities and Exchange Commission Staff Accounting Bulletin No. 107, </w:t>
      </w:r>
      <w:r>
        <w:rPr>
          <w:rFonts w:ascii="Arial" w:cs="Arial" w:eastAsia="Arial" w:hAnsi="Arial"/>
          <w:sz w:val="18"/>
          <w:szCs w:val="18"/>
          <w:i w:val="1"/>
          <w:iCs w:val="1"/>
          <w:color w:val="auto"/>
        </w:rPr>
        <w:t>Share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Payment,</w:t>
      </w:r>
      <w:r>
        <w:rPr>
          <w:rFonts w:ascii="Arial" w:cs="Arial" w:eastAsia="Arial" w:hAnsi="Arial"/>
          <w:sz w:val="18"/>
          <w:szCs w:val="18"/>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w:t>
      </w:r>
    </w:p>
    <w:p>
      <w:pPr>
        <w:spacing w:after="0" w:line="162" w:lineRule="exact"/>
        <w:rPr>
          <w:rFonts w:ascii="Arial" w:cs="Arial" w:eastAsia="Arial" w:hAnsi="Arial"/>
          <w:sz w:val="18"/>
          <w:szCs w:val="18"/>
          <w:color w:val="auto"/>
        </w:rPr>
      </w:pPr>
    </w:p>
    <w:p>
      <w:pPr>
        <w:ind w:left="1300" w:right="220" w:hanging="325"/>
        <w:spacing w:after="0" w:line="235"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awards issued to non</w:t>
      </w:r>
      <w:r>
        <w:rPr>
          <w:rFonts w:ascii="MS PGothic" w:cs="MS PGothic" w:eastAsia="MS PGothic" w:hAnsi="MS PGothic"/>
          <w:sz w:val="18"/>
          <w:szCs w:val="18"/>
          <w:color w:val="auto"/>
        </w:rPr>
        <w:t>‑</w:t>
      </w:r>
      <w:r>
        <w:rPr>
          <w:rFonts w:ascii="Arial" w:cs="Arial" w:eastAsia="Arial" w:hAnsi="Arial"/>
          <w:sz w:val="18"/>
          <w:szCs w:val="18"/>
          <w:color w:val="auto"/>
        </w:rPr>
        <w:t>employees, including directors for non</w:t>
      </w:r>
      <w:r>
        <w:rPr>
          <w:rFonts w:ascii="MS PGothic" w:cs="MS PGothic" w:eastAsia="MS PGothic" w:hAnsi="MS PGothic"/>
          <w:sz w:val="18"/>
          <w:szCs w:val="18"/>
          <w:color w:val="auto"/>
        </w:rPr>
        <w:t>‑</w:t>
      </w:r>
      <w:r>
        <w:rPr>
          <w:rFonts w:ascii="Arial" w:cs="Arial" w:eastAsia="Arial" w:hAnsi="Arial"/>
          <w:sz w:val="18"/>
          <w:szCs w:val="18"/>
          <w:color w:val="auto"/>
        </w:rPr>
        <w:t>board</w:t>
      </w:r>
      <w:r>
        <w:rPr>
          <w:rFonts w:ascii="MS PGothic" w:cs="MS PGothic" w:eastAsia="MS PGothic" w:hAnsi="MS PGothic"/>
          <w:sz w:val="18"/>
          <w:szCs w:val="18"/>
          <w:color w:val="auto"/>
        </w:rPr>
        <w:t>‑</w:t>
      </w:r>
      <w:r>
        <w:rPr>
          <w:rFonts w:ascii="Arial" w:cs="Arial" w:eastAsia="Arial" w:hAnsi="Arial"/>
          <w:sz w:val="18"/>
          <w:szCs w:val="18"/>
          <w:color w:val="auto"/>
        </w:rPr>
        <w:t>related services, are accounted for based on the fair value of such services received or of the intrinsic value of equity instruments issued, whichever is more reliably measured. The measurement date for non-employee awards is the date of grant without changes in the fair value of the award. Stock</w:t>
      </w:r>
      <w:r>
        <w:rPr>
          <w:rFonts w:ascii="MS PGothic" w:cs="MS PGothic" w:eastAsia="MS PGothic" w:hAnsi="MS PGothic"/>
          <w:sz w:val="18"/>
          <w:szCs w:val="18"/>
          <w:color w:val="auto"/>
        </w:rPr>
        <w:t>‑</w:t>
      </w:r>
      <w:r>
        <w:rPr>
          <w:rFonts w:ascii="Arial" w:cs="Arial" w:eastAsia="Arial" w:hAnsi="Arial"/>
          <w:sz w:val="18"/>
          <w:szCs w:val="18"/>
          <w:color w:val="auto"/>
        </w:rPr>
        <w:t>based awards subject to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are expensed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w:t>
      </w:r>
    </w:p>
    <w:p>
      <w:pPr>
        <w:spacing w:after="0" w:line="162" w:lineRule="exact"/>
        <w:rPr>
          <w:sz w:val="20"/>
          <w:szCs w:val="20"/>
          <w:color w:val="auto"/>
        </w:rPr>
      </w:pPr>
    </w:p>
    <w:p>
      <w:pPr>
        <w:ind w:right="400" w:firstLine="648"/>
        <w:spacing w:after="0" w:line="289" w:lineRule="auto"/>
        <w:rPr>
          <w:sz w:val="20"/>
          <w:szCs w:val="20"/>
          <w:color w:val="auto"/>
        </w:rPr>
      </w:pPr>
      <w:r>
        <w:rPr>
          <w:rFonts w:ascii="Arial" w:cs="Arial" w:eastAsia="Arial" w:hAnsi="Arial"/>
          <w:sz w:val="16"/>
          <w:szCs w:val="16"/>
          <w:color w:val="auto"/>
        </w:rPr>
        <w:t>The purchase price of common stock under the Company’s 2015 employee stock purchase plan (2015 ESPP) is equal to 85% of the lesser of (i) the fair market value per share of the common stock on the first business day of 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85"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financial statements of the Company’s subsidiary with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items in the prior year’s consolidated financial statements have been reclassified to conform to the current presentation.</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Sheet Risk</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w:t>
      </w:r>
      <w:r>
        <w:rPr>
          <w:rFonts w:ascii="MS PGothic" w:cs="MS PGothic" w:eastAsia="MS PGothic" w:hAnsi="MS PGothic"/>
          <w:sz w:val="18"/>
          <w:szCs w:val="18"/>
          <w:color w:val="auto"/>
        </w:rPr>
        <w:t>‑</w:t>
      </w:r>
      <w:r>
        <w:rPr>
          <w:rFonts w:ascii="Arial" w:cs="Arial" w:eastAsia="Arial" w:hAnsi="Arial"/>
          <w:sz w:val="18"/>
          <w:szCs w:val="18"/>
          <w:color w:val="auto"/>
        </w:rPr>
        <w:t>sheet risk such as foreign exchange contracts, option contracts, or other foreign hedging arrangements. Financial instruments that potentially expose the Company to concentrations of credit risk primarily consist of cash and cash equivalents, investments and accounts receivable.</w:t>
      </w:r>
    </w:p>
    <w:p>
      <w:pPr>
        <w:spacing w:after="0" w:line="163"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The Company maintains its cash, cash equivalents and investments in a custodian account at high quality financial institutions, and as of December 31, 2018 and 2017, substantially all the Company’s cash, cash equivalents and investments were invested in money market funds and U.S. treasury obligations, and consequently, the Company believes that such funds are subject to minimal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65" w:lineRule="exact"/>
        <w:rPr>
          <w:sz w:val="20"/>
          <w:szCs w:val="20"/>
          <w:color w:val="auto"/>
        </w:rPr>
      </w:pPr>
    </w:p>
    <w:p>
      <w:pPr>
        <w:jc w:val="both"/>
        <w:ind w:right="200" w:firstLine="648"/>
        <w:spacing w:after="0" w:line="289" w:lineRule="auto"/>
        <w:rPr>
          <w:sz w:val="20"/>
          <w:szCs w:val="20"/>
          <w:color w:val="auto"/>
        </w:rPr>
      </w:pPr>
      <w:r>
        <w:rPr>
          <w:rFonts w:ascii="Arial" w:cs="Arial" w:eastAsia="Arial" w:hAnsi="Arial"/>
          <w:sz w:val="16"/>
          <w:szCs w:val="16"/>
          <w:color w:val="auto"/>
        </w:rPr>
        <w:t>Accounts receivable represents amounts due from the Company’s collaboration partners. The Company monitors economic conditions to identify facts or circumstances that may indicate that its accounts receivable is at risk of collection.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in the United States and Switzerland.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May 2014, the FASB issued Accounting Standards Update (ASU) No. 2014-09, which amends the guidance for accounting for revenue from contracts with customers. ASU No. 2014-09 superseded the revenue recognition requirements in ASC 605 and created ASC 606 described above. Effective January 1, 2018, the Company adopted ASC 606 using the modified retrospective transition method.</w:t>
      </w:r>
    </w:p>
    <w:p>
      <w:pPr>
        <w:spacing w:after="0" w:line="163"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As a result of adopting ASC 606, the Company has recorded a cumulative-effect increase to opening accumulated deficit of $5.3 million as of January 1, 2018 and a corresponding increase to deferred revenue primarily as a result of the treatment of the up-front consideration received from Roche in March 2016 that was recorded under ASC 605 prior to the adoption of ASC 606. A summary of the amount by which each financial statement line item was affected by the impact of the cumulative adjustment is set forth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6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w w:val="93"/>
              </w:rPr>
              <w:t>Impact of ASC 606 Adoption on Consolidated Balance Sheet as of January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As reported</w:t>
            </w: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35"/>
        </w:trPr>
        <w:tc>
          <w:tcPr>
            <w:tcW w:w="33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7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adoption of ASC</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under ASC 606</w:t>
            </w:r>
          </w:p>
        </w:tc>
        <w:tc>
          <w:tcPr>
            <w:tcW w:w="8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606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revenue, current portion</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4,478</w:t>
            </w:r>
          </w:p>
        </w:tc>
        <w:tc>
          <w:tcPr>
            <w:tcW w:w="8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(895)</w:t>
            </w:r>
          </w:p>
        </w:tc>
        <w:tc>
          <w:tcPr>
            <w:tcW w:w="7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5,373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line="189" w:lineRule="exact"/>
              <w:rPr>
                <w:sz w:val="20"/>
                <w:szCs w:val="20"/>
                <w:color w:val="auto"/>
              </w:rPr>
            </w:pPr>
            <w:r>
              <w:rPr>
                <w:rFonts w:ascii="Arial" w:cs="Arial" w:eastAsia="Arial" w:hAnsi="Arial"/>
                <w:sz w:val="18"/>
                <w:szCs w:val="18"/>
                <w:color w:val="auto"/>
              </w:rPr>
              <w:t>Deferred revenue, net of current portion</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36,210</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6,210</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30,000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(360,904)</w:t>
            </w:r>
          </w:p>
        </w:tc>
        <w:tc>
          <w:tcPr>
            <w:tcW w:w="8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(5,315)</w:t>
            </w:r>
          </w:p>
        </w:tc>
        <w:tc>
          <w:tcPr>
            <w:tcW w:w="7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(355,589)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A summary of the amount by which each financial statement line item was affected in the current reporting period by ASC 606 as compared with the guidance that was in effect prior to the adoption of ASC 606 is set forth in the tables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60" w:type="dxa"/>
            <w:vAlign w:val="bottom"/>
            <w:tcBorders>
              <w:top w:val="single" w:sz="8" w:color="auto"/>
            </w:tcBorders>
            <w:gridSpan w:val="7"/>
          </w:tcPr>
          <w:p>
            <w:pPr>
              <w:jc w:val="center"/>
              <w:spacing w:after="0" w:line="162" w:lineRule="exact"/>
              <w:rPr>
                <w:sz w:val="20"/>
                <w:szCs w:val="20"/>
                <w:color w:val="auto"/>
              </w:rPr>
            </w:pPr>
            <w:r>
              <w:rPr>
                <w:rFonts w:ascii="Arial" w:cs="Arial" w:eastAsia="Arial" w:hAnsi="Arial"/>
                <w:sz w:val="18"/>
                <w:szCs w:val="18"/>
                <w:b w:val="1"/>
                <w:bCs w:val="1"/>
                <w:color w:val="auto"/>
                <w:w w:val="89"/>
              </w:rPr>
              <w:t>Impact of ASC 606 Adoption on Consolidated Balance Sheet as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0"/>
              </w:rPr>
              <w:t>December 31, 2018</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As reported</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31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under ASC 606</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3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Deferred revenue, current portion</w:t>
            </w:r>
          </w:p>
        </w:tc>
        <w:tc>
          <w:tcPr>
            <w:tcW w:w="4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3,600</w:t>
            </w:r>
          </w:p>
        </w:tc>
        <w:tc>
          <w:tcPr>
            <w:tcW w:w="60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(1,540)</w:t>
            </w: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5,140</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8"/>
                <w:szCs w:val="18"/>
                <w:color w:val="auto"/>
                <w:w w:val="99"/>
              </w:rPr>
              <w:t>Deferred revenue, net of current portion</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42,567</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17,056</w:t>
            </w:r>
          </w:p>
        </w:tc>
        <w:tc>
          <w:tcPr>
            <w:tcW w:w="200" w:type="dxa"/>
            <w:vAlign w:val="bottom"/>
          </w:tcPr>
          <w:p>
            <w:pPr>
              <w:spacing w:after="0"/>
              <w:rPr>
                <w:sz w:val="16"/>
                <w:szCs w:val="16"/>
                <w:color w:val="auto"/>
              </w:rPr>
            </w:pPr>
          </w:p>
        </w:tc>
        <w:tc>
          <w:tcPr>
            <w:tcW w:w="50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25,511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(597,545)</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(15,516)</w:t>
            </w:r>
          </w:p>
        </w:tc>
        <w:tc>
          <w:tcPr>
            <w:tcW w:w="50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(582,029)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tcBorders>
              <w:bottom w:val="single" w:sz="8" w:color="auto"/>
            </w:tcBorders>
            <w:gridSpan w:val="7"/>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60" w:type="dxa"/>
            <w:vAlign w:val="bottom"/>
            <w:gridSpan w:val="7"/>
          </w:tcPr>
          <w:p>
            <w:pPr>
              <w:jc w:val="center"/>
              <w:spacing w:after="0" w:line="142" w:lineRule="exact"/>
              <w:rPr>
                <w:sz w:val="20"/>
                <w:szCs w:val="20"/>
                <w:color w:val="auto"/>
              </w:rPr>
            </w:pPr>
            <w:r>
              <w:rPr>
                <w:rFonts w:ascii="Arial" w:cs="Arial" w:eastAsia="Arial" w:hAnsi="Arial"/>
                <w:sz w:val="16"/>
                <w:szCs w:val="16"/>
                <w:b w:val="1"/>
                <w:bCs w:val="1"/>
                <w:color w:val="auto"/>
              </w:rPr>
              <w:t>Impact of ASC 606 Adoption on Consolidated Statement of</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60" w:type="dxa"/>
            <w:vAlign w:val="bottom"/>
            <w:gridSpan w:val="8"/>
          </w:tcPr>
          <w:p>
            <w:pPr>
              <w:jc w:val="center"/>
              <w:ind w:right="180"/>
              <w:spacing w:after="0" w:line="176" w:lineRule="exact"/>
              <w:rPr>
                <w:sz w:val="20"/>
                <w:szCs w:val="20"/>
                <w:color w:val="auto"/>
              </w:rPr>
            </w:pPr>
            <w:r>
              <w:rPr>
                <w:rFonts w:ascii="Arial" w:cs="Arial" w:eastAsia="Arial" w:hAnsi="Arial"/>
                <w:sz w:val="18"/>
                <w:szCs w:val="18"/>
                <w:b w:val="1"/>
                <w:bCs w:val="1"/>
                <w:color w:val="auto"/>
                <w:w w:val="89"/>
              </w:rPr>
              <w:t>Operations and Comprehensive Loss for the Year Ended December</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31, 2018</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As reported</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31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under ASC 606</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3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4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44,521</w:t>
            </w:r>
          </w:p>
        </w:tc>
        <w:tc>
          <w:tcPr>
            <w:tcW w:w="60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(10,201)</w:t>
            </w: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54,722</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(236,642)</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(10,201)</w:t>
            </w:r>
          </w:p>
        </w:tc>
        <w:tc>
          <w:tcPr>
            <w:tcW w:w="50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(226,441)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 per share - basic and diluted</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(5.39)</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(0.23)</w:t>
            </w:r>
          </w:p>
        </w:tc>
        <w:tc>
          <w:tcPr>
            <w:tcW w:w="50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F-16</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280" w:type="dxa"/>
            <w:vAlign w:val="bottom"/>
            <w:tcBorders>
              <w:top w:val="single" w:sz="8" w:color="0563C1"/>
            </w:tcBorders>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60" w:type="dxa"/>
            <w:vAlign w:val="bottom"/>
            <w:gridSpan w:val="6"/>
          </w:tcPr>
          <w:p>
            <w:pPr>
              <w:jc w:val="center"/>
              <w:spacing w:after="0" w:line="142" w:lineRule="exact"/>
              <w:rPr>
                <w:sz w:val="20"/>
                <w:szCs w:val="20"/>
                <w:color w:val="auto"/>
              </w:rPr>
            </w:pPr>
            <w:r>
              <w:rPr>
                <w:rFonts w:ascii="Arial" w:cs="Arial" w:eastAsia="Arial" w:hAnsi="Arial"/>
                <w:sz w:val="16"/>
                <w:szCs w:val="16"/>
                <w:b w:val="1"/>
                <w:bCs w:val="1"/>
                <w:color w:val="auto"/>
              </w:rPr>
              <w:t>Impact of ASC 606 Adoption on Consolidated Statement of Cash</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60" w:type="dxa"/>
            <w:vAlign w:val="bottom"/>
            <w:gridSpan w:val="7"/>
          </w:tcPr>
          <w:p>
            <w:pPr>
              <w:jc w:val="center"/>
              <w:ind w:right="200"/>
              <w:spacing w:after="0" w:line="202" w:lineRule="exact"/>
              <w:rPr>
                <w:sz w:val="20"/>
                <w:szCs w:val="20"/>
                <w:color w:val="auto"/>
              </w:rPr>
            </w:pPr>
            <w:r>
              <w:rPr>
                <w:rFonts w:ascii="Arial" w:cs="Arial" w:eastAsia="Arial" w:hAnsi="Arial"/>
                <w:sz w:val="18"/>
                <w:szCs w:val="18"/>
                <w:b w:val="1"/>
                <w:bCs w:val="1"/>
                <w:color w:val="auto"/>
                <w:w w:val="90"/>
              </w:rPr>
              <w:t>Flows for the Year Ended December 31, 2018</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As reported</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8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27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3"/>
              </w:rPr>
              <w:t>under ASC 606</w:t>
            </w:r>
          </w:p>
        </w:tc>
        <w:tc>
          <w:tcPr>
            <w:tcW w:w="76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27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86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(236,642)</w:t>
            </w:r>
          </w:p>
        </w:tc>
        <w:tc>
          <w:tcPr>
            <w:tcW w:w="76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(10,201)</w:t>
            </w: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(226,441)</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Changes in deferred revenue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5,479</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most significant change to the Company’s accounting for revenue as a result of the adoption of ASC 606 relates to its revenue recognition pattern under step (v) above for the Company’s collaboration and license agreement with Roche (as amended, the Roche agreement). Under ASC 605, the Company was recognizing the revenue allocated to each unit of accounting on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expected to complete its obligations. Under ASC 606, the Company is recognizing the revenue allocated to each performance obligation measuring progress using an input method over the period the Company expects to complete each performance obligation. ASC 606 also requires disclosure of the nature, amount, timing, and uncertainty of revenue and cash flows arising from contracts with customers. For further discussion of the adoption of this standard, see Note 8, “Collaborations.”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19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No. 2016-02, Leases (Topic 842).</w:t>
      </w:r>
      <w:r>
        <w:rPr>
          <w:rFonts w:ascii="Arial" w:cs="Arial" w:eastAsia="Arial" w:hAnsi="Arial"/>
          <w:sz w:val="16"/>
          <w:szCs w:val="16"/>
          <w:color w:val="auto"/>
        </w:rPr>
        <w:t xml:space="preserve"> This new standard establishes a right-of-use (ROU) model that requires all lessees to recognize ROU assets and liabilities on their balance sheet that arise from leases with terms longer than 12 months as well as provide disclosures with respect to certain qualitative and quantitative information related to their leasing arrangements. This new standard became effective for the Company on January 1, 2019.</w:t>
      </w:r>
    </w:p>
    <w:p>
      <w:pPr>
        <w:spacing w:after="0" w:line="15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The FASB subsequently issued the following amendments to </w:t>
      </w:r>
      <w:r>
        <w:rPr>
          <w:rFonts w:ascii="Arial" w:cs="Arial" w:eastAsia="Arial" w:hAnsi="Arial"/>
          <w:sz w:val="18"/>
          <w:szCs w:val="18"/>
          <w:i w:val="1"/>
          <w:iCs w:val="1"/>
          <w:color w:val="auto"/>
        </w:rPr>
        <w:t>ASU 2016-02, Leases (Topic 842)</w:t>
      </w:r>
      <w:r>
        <w:rPr>
          <w:rFonts w:ascii="Arial" w:cs="Arial" w:eastAsia="Arial" w:hAnsi="Arial"/>
          <w:sz w:val="18"/>
          <w:szCs w:val="18"/>
          <w:color w:val="auto"/>
        </w:rPr>
        <w:t>, which have the same effective date and transition date of January 1, 2019:</w:t>
      </w:r>
    </w:p>
    <w:p>
      <w:pPr>
        <w:spacing w:after="0" w:line="170" w:lineRule="exact"/>
        <w:rPr>
          <w:sz w:val="20"/>
          <w:szCs w:val="20"/>
          <w:color w:val="auto"/>
        </w:rPr>
      </w:pPr>
    </w:p>
    <w:p>
      <w:pPr>
        <w:ind w:left="1080" w:right="160" w:hanging="321"/>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ASU No. 2018-10, Codification Improvements to Topic 842, Leases, </w:t>
      </w:r>
      <w:r>
        <w:rPr>
          <w:rFonts w:ascii="Arial" w:cs="Arial" w:eastAsia="Arial" w:hAnsi="Arial"/>
          <w:sz w:val="18"/>
          <w:szCs w:val="18"/>
          <w:color w:val="auto"/>
        </w:rPr>
        <w:t>which amends certain narrow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issued in ASU 2016-02; and</w:t>
      </w:r>
    </w:p>
    <w:p>
      <w:pPr>
        <w:spacing w:after="0" w:line="170" w:lineRule="exact"/>
        <w:rPr>
          <w:rFonts w:ascii="Arial" w:cs="Arial" w:eastAsia="Arial" w:hAnsi="Arial"/>
          <w:sz w:val="18"/>
          <w:szCs w:val="18"/>
          <w:color w:val="auto"/>
        </w:rPr>
      </w:pPr>
    </w:p>
    <w:p>
      <w:pPr>
        <w:ind w:left="1080" w:right="20" w:hanging="321"/>
        <w:spacing w:after="0" w:line="279"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ASU No. 2018-11, Leases (Topic 842): Targeted Improvements</w:t>
      </w:r>
      <w:r>
        <w:rPr>
          <w:rFonts w:ascii="Arial" w:cs="Arial" w:eastAsia="Arial" w:hAnsi="Arial"/>
          <w:sz w:val="17"/>
          <w:szCs w:val="17"/>
          <w:color w:val="auto"/>
        </w:rPr>
        <w:t>, which allows for a transition approach to</w:t>
      </w:r>
      <w:r>
        <w:rPr>
          <w:rFonts w:ascii="Arial" w:cs="Arial" w:eastAsia="Arial" w:hAnsi="Arial"/>
          <w:sz w:val="17"/>
          <w:szCs w:val="17"/>
          <w:i w:val="1"/>
          <w:iCs w:val="1"/>
          <w:color w:val="auto"/>
        </w:rPr>
        <w:t xml:space="preserve"> </w:t>
      </w:r>
      <w:r>
        <w:rPr>
          <w:rFonts w:ascii="Arial" w:cs="Arial" w:eastAsia="Arial" w:hAnsi="Arial"/>
          <w:sz w:val="17"/>
          <w:szCs w:val="17"/>
          <w:color w:val="auto"/>
        </w:rPr>
        <w:t>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30" w:lineRule="exact"/>
        <w:rPr>
          <w:rFonts w:ascii="Arial" w:cs="Arial" w:eastAsia="Arial" w:hAnsi="Arial"/>
          <w:sz w:val="17"/>
          <w:szCs w:val="17"/>
          <w:color w:val="auto"/>
        </w:rPr>
      </w:pPr>
    </w:p>
    <w:p>
      <w:pPr>
        <w:ind w:left="1080" w:right="940" w:hanging="321"/>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ASU No. 2018-20, Narrow-Scope Improvements for Lessors, </w:t>
      </w:r>
      <w:r>
        <w:rPr>
          <w:rFonts w:ascii="Arial" w:cs="Arial" w:eastAsia="Arial" w:hAnsi="Arial"/>
          <w:sz w:val="18"/>
          <w:szCs w:val="18"/>
          <w:color w:val="auto"/>
        </w:rPr>
        <w:t>which contains certain narrow scope</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to the guidance issued in ASU 2016-02</w:t>
      </w:r>
    </w:p>
    <w:p>
      <w:pPr>
        <w:spacing w:after="0" w:line="157"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The Company elected to adopt the new leasing standards using a modified retrospective transition approach to be applied to leases existing as of, or entered into after, January 1, 2019. The Company also elected the “package of practical expedients”, which permits the Company not to reassess under the new standards for prior conclusions about lease identification, lease classification and initial direct costs. The Company is continuing to assess its existing lease contracts, finalize the calculations, including discount rate assumptions, to evaluate the impact that the new leasing standards may have on its consolidated results of operations, financial position and disclosures. The Company is also continuing to establish new processes and internal controls that may be required to comply with the new lease accounting and disclosure requirements set by the new standard. The Company expects that the adoption of the new leasing standards will result in the recognition of material ROU assets and liabilities in its consolidated balance sheets. The Company does not expect the adoption of the new leasing standards will have a material impact to its consolidated statements of income.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u w:val="single" w:color="auto"/>
          <w:color w:val="auto"/>
        </w:rPr>
        <w:t>ASU No. 2016-13</w:t>
      </w:r>
      <w:r>
        <w:rPr>
          <w:rFonts w:ascii="Arial" w:cs="Arial" w:eastAsia="Arial" w:hAnsi="Arial"/>
          <w:sz w:val="18"/>
          <w:szCs w:val="18"/>
          <w:i w:val="1"/>
          <w:iCs w:val="1"/>
          <w:color w:val="auto"/>
        </w:rPr>
        <w:t>, 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Credit Losses on Financial Instruments</w:t>
      </w:r>
      <w:r>
        <w:rPr>
          <w:rFonts w:ascii="Arial" w:cs="Arial" w:eastAsia="Arial" w:hAnsi="Arial"/>
          <w:sz w:val="18"/>
          <w:szCs w:val="18"/>
          <w:color w:val="auto"/>
        </w:rPr>
        <w:t>. This standard requires that credit losses be reported using an expected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the incurred losses model that is currently used, and establishes additional disclosures related to credit risks. For available-for-sale debt securities with unrealized losses, this standard now requires allowances to be recorded instead of reducing the amortized cost of the investment. This standard will be effective for the Company on January 1, 2020. The Company is currently evaluating the potential impact that this standard may have on its consolidated financial position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19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 xml:space="preserve">In March 2017, the FASB issued </w:t>
      </w:r>
      <w:r>
        <w:rPr>
          <w:rFonts w:ascii="Arial" w:cs="Arial" w:eastAsia="Arial" w:hAnsi="Arial"/>
          <w:sz w:val="16"/>
          <w:szCs w:val="16"/>
          <w:i w:val="1"/>
          <w:iCs w:val="1"/>
          <w:u w:val="single" w:color="auto"/>
          <w:color w:val="auto"/>
        </w:rPr>
        <w:t>ASU No. 2017-08</w:t>
      </w:r>
      <w:r>
        <w:rPr>
          <w:rFonts w:ascii="Arial" w:cs="Arial" w:eastAsia="Arial" w:hAnsi="Arial"/>
          <w:sz w:val="16"/>
          <w:szCs w:val="16"/>
          <w:i w:val="1"/>
          <w:iCs w:val="1"/>
          <w:color w:val="auto"/>
        </w:rPr>
        <w:t xml:space="preserve">, Receivables - Nonrefundable Fees and Other Costs (Subtopic 310-20): Premium Amortization on Purchased Callable Debt Securities. </w:t>
      </w:r>
      <w:r>
        <w:rPr>
          <w:rFonts w:ascii="Arial" w:cs="Arial" w:eastAsia="Arial" w:hAnsi="Arial"/>
          <w:sz w:val="16"/>
          <w:szCs w:val="16"/>
          <w:color w:val="auto"/>
        </w:rPr>
        <w:t>This standard amends the amortization period for certain</w:t>
      </w:r>
    </w:p>
    <w:p>
      <w:pPr>
        <w:ind w:right="40"/>
        <w:spacing w:after="0" w:line="273" w:lineRule="auto"/>
        <w:rPr>
          <w:sz w:val="20"/>
          <w:szCs w:val="20"/>
          <w:color w:val="auto"/>
        </w:rPr>
      </w:pPr>
      <w:r>
        <w:rPr>
          <w:rFonts w:ascii="Arial" w:cs="Arial" w:eastAsia="Arial" w:hAnsi="Arial"/>
          <w:sz w:val="17"/>
          <w:szCs w:val="17"/>
          <w:color w:val="auto"/>
        </w:rPr>
        <w:t>purchased callable debt securities held at a premium by shortening the amortization period to the earliest call date. This standard became effective for the Company on January 1, 2019, and was adopted using a modified retrospective transition approach. Based upon the Company’s marketable debt securities held as of December 31, 2018, the adoption of this standard did not result in a significant adjustment to the Company’s marketable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u w:val="single" w:color="auto"/>
          <w:color w:val="auto"/>
        </w:rPr>
        <w:t>ASU No. 2018-13</w:t>
      </w:r>
      <w:r>
        <w:rPr>
          <w:rFonts w:ascii="Arial" w:cs="Arial" w:eastAsia="Arial" w:hAnsi="Arial"/>
          <w:sz w:val="16"/>
          <w:szCs w:val="16"/>
          <w:i w:val="1"/>
          <w:iCs w:val="1"/>
          <w:color w:val="auto"/>
        </w:rPr>
        <w:t>, 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This standard modifies certain disclosure requirements</w:t>
      </w:r>
    </w:p>
    <w:p>
      <w:pPr>
        <w:ind w:right="340"/>
        <w:spacing w:after="0" w:line="261" w:lineRule="auto"/>
        <w:rPr>
          <w:sz w:val="20"/>
          <w:szCs w:val="20"/>
          <w:color w:val="auto"/>
        </w:rPr>
      </w:pPr>
      <w:r>
        <w:rPr>
          <w:rFonts w:ascii="Arial" w:cs="Arial" w:eastAsia="Arial" w:hAnsi="Arial"/>
          <w:sz w:val="18"/>
          <w:szCs w:val="18"/>
          <w:color w:val="auto"/>
        </w:rPr>
        <w:t>on fair value measurements. This standard will be effective for the Company on January 1, 2020. The Company does not expect that the adoption of this standard will have a material impact on the disclosures.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 xml:space="preserve">In November 2018, the </w:t>
      </w:r>
      <w:r>
        <w:rPr>
          <w:rFonts w:ascii="Arial" w:cs="Arial" w:eastAsia="Arial" w:hAnsi="Arial"/>
          <w:sz w:val="18"/>
          <w:szCs w:val="18"/>
          <w:i w:val="1"/>
          <w:iCs w:val="1"/>
          <w:color w:val="auto"/>
        </w:rPr>
        <w:t>FASB issued ASU No. 2018-18, Collaborative Arrangements (Topic 808):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This standard makes targeted improvements for collaborative arrangements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3" w:lineRule="exact"/>
        <w:rPr>
          <w:sz w:val="20"/>
          <w:szCs w:val="20"/>
          <w:color w:val="auto"/>
        </w:rPr>
      </w:pPr>
    </w:p>
    <w:p>
      <w:pPr>
        <w:ind w:left="980" w:right="260" w:hanging="329"/>
        <w:spacing w:after="0" w:line="249" w:lineRule="auto"/>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Clarifies that certain transactions between collaborative arrangement participants should be accounted for as revenue under </w:t>
      </w:r>
      <w:r>
        <w:rPr>
          <w:rFonts w:ascii="Arial" w:cs="Arial" w:eastAsia="Arial" w:hAnsi="Arial"/>
          <w:sz w:val="16"/>
          <w:szCs w:val="16"/>
          <w:i w:val="1"/>
          <w:iCs w:val="1"/>
          <w:color w:val="auto"/>
        </w:rPr>
        <w:t>ASC 606, Revenue from Contracts with Customers</w:t>
      </w:r>
      <w:r>
        <w:rPr>
          <w:rFonts w:ascii="Arial" w:cs="Arial" w:eastAsia="Arial" w:hAnsi="Arial"/>
          <w:sz w:val="16"/>
          <w:szCs w:val="16"/>
          <w:color w:val="auto"/>
        </w:rPr>
        <w:t>, when the collaborative arrangement participant is a customer in the context of a unit of account. In those situations, all the guidance in ASC 606 should be applied, including recognition, measurement, presentation and disclosure requirements;</w:t>
      </w:r>
    </w:p>
    <w:p>
      <w:pPr>
        <w:spacing w:after="0" w:line="154" w:lineRule="exact"/>
        <w:rPr>
          <w:rFonts w:ascii="Arial" w:cs="Arial" w:eastAsia="Arial" w:hAnsi="Arial"/>
          <w:sz w:val="16"/>
          <w:szCs w:val="16"/>
          <w:color w:val="auto"/>
        </w:rPr>
      </w:pPr>
    </w:p>
    <w:p>
      <w:pPr>
        <w:ind w:left="980" w:right="180" w:hanging="329"/>
        <w:spacing w:after="0" w:line="224"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Adds unit-of-account guidance to </w:t>
      </w:r>
      <w:r>
        <w:rPr>
          <w:rFonts w:ascii="Arial" w:cs="Arial" w:eastAsia="Arial" w:hAnsi="Arial"/>
          <w:sz w:val="18"/>
          <w:szCs w:val="18"/>
          <w:i w:val="1"/>
          <w:iCs w:val="1"/>
          <w:color w:val="auto"/>
        </w:rPr>
        <w:t>ASC 808, Collaborative Arrangements</w:t>
      </w:r>
      <w:r>
        <w:rPr>
          <w:rFonts w:ascii="Arial" w:cs="Arial" w:eastAsia="Arial" w:hAnsi="Arial"/>
          <w:sz w:val="18"/>
          <w:szCs w:val="18"/>
          <w:color w:val="auto"/>
        </w:rPr>
        <w:t>, to align with the guidance in ASC 606 (that is, a distinct good or service) when an entity is assessing whether the collaborative arrangement or a part of the arrangement is within the scope of ASC 606; and</w:t>
      </w:r>
    </w:p>
    <w:p>
      <w:pPr>
        <w:spacing w:after="0" w:line="163" w:lineRule="exact"/>
        <w:rPr>
          <w:rFonts w:ascii="Arial" w:cs="Arial" w:eastAsia="Arial" w:hAnsi="Arial"/>
          <w:sz w:val="18"/>
          <w:szCs w:val="18"/>
          <w:color w:val="auto"/>
        </w:rPr>
      </w:pPr>
    </w:p>
    <w:p>
      <w:pPr>
        <w:ind w:left="980" w:right="80" w:hanging="329"/>
        <w:spacing w:after="0" w:line="224"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6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This standard will be effective for the Company on January 1, 2020; however, early adoption is permitted. A retrospective transition approach is required for either all contracts or only for contracts that are not completed at the date of initial application of ASC 606, with a cumulative adjustment to opening retained earnings. The Company is currently evaluating the potential impact that this standard may have on its consolidated financial position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212"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color w:val="auto"/>
        </w:rPr>
        <w:t>ASU No. 2018-15, Intangibles-Goodwill and Other-Internal-Use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350-40): Customer’s Accounting for Implementation Costs Incurred in a Cloud Computing Arrangement That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i w:val="1"/>
          <w:iCs w:val="1"/>
          <w:color w:val="auto"/>
        </w:rPr>
        <w:t>Is a Service Contract</w:t>
      </w:r>
      <w:r>
        <w:rPr>
          <w:rFonts w:ascii="Arial" w:cs="Arial" w:eastAsia="Arial" w:hAnsi="Arial"/>
          <w:sz w:val="17"/>
          <w:szCs w:val="17"/>
          <w:color w:val="auto"/>
        </w:rPr>
        <w:t>, which clarifies the accounting for implementation costs in cloud computing arrangements. This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will be effective for the Company on January 1, 2020, however, early adoption is permitted. The Company currently is evaluating the impact the adoption may have on its consolidated financial position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Restricted Cash</w:t>
      </w:r>
    </w:p>
    <w:p>
      <w:pPr>
        <w:spacing w:after="0" w:line="21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 xml:space="preserve">In November 2016, the FASB issued </w:t>
      </w:r>
      <w:r>
        <w:rPr>
          <w:rFonts w:ascii="Arial" w:cs="Arial" w:eastAsia="Arial" w:hAnsi="Arial"/>
          <w:sz w:val="17"/>
          <w:szCs w:val="17"/>
          <w:i w:val="1"/>
          <w:iCs w:val="1"/>
          <w:color w:val="auto"/>
        </w:rPr>
        <w:t>ASU 2016-18, Statement of Cash Flows: Restricted Cash.</w:t>
      </w:r>
      <w:r>
        <w:rPr>
          <w:rFonts w:ascii="Arial" w:cs="Arial" w:eastAsia="Arial" w:hAnsi="Arial"/>
          <w:sz w:val="17"/>
          <w:szCs w:val="17"/>
          <w:color w:val="auto"/>
        </w:rPr>
        <w:t xml:space="preserve"> which requires that amounts generally described as restricted cash and restricted cash equivalents be included within cash and cash equivalents when reconciling the beginning-of-period and end-of-period total amounts shown on the statement of cash flows. This standard became effective on January 1, 2018 and is effective on a retrospective basis. The adoption of this new standard did not have a material impact on the Company’s consolidated financial position, results of operations or statement of cash flows; however, it has resulted in the reclassification of certain prior year amounts in the Company’s consolidated statements of cash flows to conform to current year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investments, available-for-sale, consisted of the following at December 31, 2018 and</w:t>
      </w:r>
    </w:p>
    <w:p>
      <w:pPr>
        <w:spacing w:after="0"/>
        <w:rPr>
          <w:sz w:val="20"/>
          <w:szCs w:val="20"/>
          <w:color w:val="auto"/>
        </w:rPr>
      </w:pPr>
      <w:r>
        <w:rPr>
          <w:rFonts w:ascii="Arial" w:cs="Arial" w:eastAsia="Arial" w:hAnsi="Arial"/>
          <w:sz w:val="18"/>
          <w:szCs w:val="18"/>
          <w:color w:val="auto"/>
        </w:rPr>
        <w:t>December 31, 2017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Gain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1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68,064</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00" w:type="dxa"/>
            <w:vAlign w:val="bottom"/>
          </w:tcPr>
          <w:p>
            <w:pPr>
              <w:ind w:left="580"/>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68,064</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426,112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ind w:left="58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(164)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425,948</w:t>
            </w:r>
          </w:p>
        </w:tc>
        <w:tc>
          <w:tcPr>
            <w:tcW w:w="0" w:type="dxa"/>
            <w:vAlign w:val="bottom"/>
          </w:tcPr>
          <w:p>
            <w:pPr>
              <w:spacing w:after="0"/>
              <w:rPr>
                <w:sz w:val="1"/>
                <w:szCs w:val="1"/>
                <w:color w:val="auto"/>
              </w:rPr>
            </w:pPr>
          </w:p>
        </w:tc>
      </w:tr>
      <w:tr>
        <w:trPr>
          <w:trHeight w:val="176"/>
        </w:trPr>
        <w:tc>
          <w:tcPr>
            <w:tcW w:w="32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494,176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ind w:left="580"/>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(164)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494,012</w:t>
            </w:r>
          </w:p>
        </w:tc>
        <w:tc>
          <w:tcPr>
            <w:tcW w:w="0" w:type="dxa"/>
            <w:vAlign w:val="bottom"/>
          </w:tcPr>
          <w:p>
            <w:pPr>
              <w:spacing w:after="0"/>
              <w:rPr>
                <w:sz w:val="1"/>
                <w:szCs w:val="1"/>
                <w:color w:val="auto"/>
              </w:rPr>
            </w:pPr>
          </w:p>
        </w:tc>
      </w:tr>
      <w:tr>
        <w:trPr>
          <w:trHeight w:val="382"/>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Gain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1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400,304</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00" w:type="dxa"/>
            <w:vAlign w:val="bottom"/>
          </w:tcPr>
          <w:p>
            <w:pPr>
              <w:ind w:left="580"/>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400,304</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273,321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ind w:left="58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(269)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273,052</w:t>
            </w:r>
          </w:p>
        </w:tc>
        <w:tc>
          <w:tcPr>
            <w:tcW w:w="0" w:type="dxa"/>
            <w:vAlign w:val="bottom"/>
          </w:tcPr>
          <w:p>
            <w:pPr>
              <w:spacing w:after="0"/>
              <w:rPr>
                <w:sz w:val="1"/>
                <w:szCs w:val="1"/>
                <w:color w:val="auto"/>
              </w:rPr>
            </w:pPr>
          </w:p>
        </w:tc>
      </w:tr>
      <w:tr>
        <w:trPr>
          <w:trHeight w:val="176"/>
        </w:trPr>
        <w:tc>
          <w:tcPr>
            <w:tcW w:w="32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673,625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ind w:left="580"/>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673,356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6"/>
          <w:szCs w:val="16"/>
          <w:color w:val="auto"/>
        </w:rPr>
        <w:t>The cost of securities sold is determined based on the specific identification method for purposes of recording realized gains and losses. During the years ended December 31, 2018 and 2017, there were no realized gains or losses on sales of investments, and no investments were adjusted for other than temporary declines in fair value.</w:t>
      </w:r>
    </w:p>
    <w:p>
      <w:pPr>
        <w:spacing w:after="0" w:line="147"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At December 31, 2018 and 2017, the Company held 54 and 37 securities, respectively, that were in an unrealized loss position. The aggregate fair value of securities held by the Company in an unrealized loss position for less than twelve months as of December 31, 2018 and 2017 were $397.5 million and $273.1 million, respectively, and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other-than-temporary impairment as of December 31, 2018 and December 31, 2017</w:t>
      </w:r>
      <w:r>
        <w:rPr>
          <w:rFonts w:ascii="Arial" w:cs="Arial" w:eastAsia="Arial" w:hAnsi="Arial"/>
          <w:sz w:val="10"/>
          <w:szCs w:val="10"/>
          <w:color w:val="auto"/>
        </w:rPr>
        <w:t>.</w:t>
      </w:r>
    </w:p>
    <w:p>
      <w:pPr>
        <w:spacing w:after="0" w:line="189"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No available-for-sale securities held as of December 31, 2018 or December 31, 2017 had remaining maturities greater than one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December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120" w:type="dxa"/>
            <w:vAlign w:val="bottom"/>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7"/>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68,064</w:t>
            </w:r>
          </w:p>
        </w:tc>
        <w:tc>
          <w:tcPr>
            <w:tcW w:w="140" w:type="dxa"/>
            <w:vAlign w:val="bottom"/>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68,064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425,948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425,948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494,012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494,012</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120" w:type="dxa"/>
            <w:vAlign w:val="bottom"/>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7"/>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w w:val="98"/>
              </w:rPr>
              <w:t>400,304</w:t>
            </w:r>
          </w:p>
        </w:tc>
        <w:tc>
          <w:tcPr>
            <w:tcW w:w="14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400,304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273,052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273,052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673,356</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673,356</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At December 31, 2017, the fair value of the Company’s term loan payable was determined using current applicable rates for similar instruments as of the balance sheet date. The carrying value of the Company’s term loan payable approximated fair value because the Company’s interest rate yield approximated current market rates. The Company’s term loan payable was a Level 3 liability within the fair value hierarchy.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At December 31, 2018 and December 31, 2017, $5.4 million and $4.8 million, respectively, of the Company’s cash is restricted by a bank related to security deposits for the lease agreements for the Company’s current and former corporate headquarters.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on these security deposits, see Note 14, </w:t>
      </w:r>
      <w:r>
        <w:rPr>
          <w:rFonts w:ascii="Arial" w:cs="Arial" w:eastAsia="Arial" w:hAnsi="Arial"/>
          <w:sz w:val="18"/>
          <w:szCs w:val="18"/>
          <w:i w:val="1"/>
          <w:iCs w:val="1"/>
          <w:color w:val="auto"/>
        </w:rPr>
        <w:t>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3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39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69"/>
        </w:trPr>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Lab equipment</w:t>
            </w: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6,232</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3,604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3940" w:type="dxa"/>
            <w:vAlign w:val="bottom"/>
          </w:tcPr>
          <w:p>
            <w:pPr>
              <w:spacing w:after="0" w:line="176" w:lineRule="exact"/>
              <w:rPr>
                <w:sz w:val="20"/>
                <w:szCs w:val="20"/>
                <w:color w:val="auto"/>
              </w:rPr>
            </w:pPr>
            <w:r>
              <w:rPr>
                <w:rFonts w:ascii="Arial" w:cs="Arial" w:eastAsia="Arial" w:hAnsi="Arial"/>
                <w:sz w:val="18"/>
                <w:szCs w:val="18"/>
                <w:color w:val="auto"/>
              </w:rPr>
              <w:t>Furniture and fixtures</w:t>
            </w:r>
          </w:p>
        </w:tc>
        <w:tc>
          <w:tcPr>
            <w:tcW w:w="2340" w:type="dxa"/>
            <w:vAlign w:val="bottom"/>
            <w:gridSpan w:val="2"/>
          </w:tcPr>
          <w:p>
            <w:pPr>
              <w:jc w:val="center"/>
              <w:ind w:left="1210"/>
              <w:spacing w:after="0" w:line="176" w:lineRule="exact"/>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2,369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837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Computer equipment</w:t>
            </w:r>
          </w:p>
        </w:tc>
        <w:tc>
          <w:tcPr>
            <w:tcW w:w="2340" w:type="dxa"/>
            <w:vAlign w:val="bottom"/>
            <w:gridSpan w:val="2"/>
            <w:shd w:val="clear" w:color="auto" w:fill="CCEEFF"/>
          </w:tcPr>
          <w:p>
            <w:pPr>
              <w:jc w:val="center"/>
              <w:ind w:left="1210"/>
              <w:spacing w:after="0" w:line="176" w:lineRule="exact"/>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94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12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Term of lease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26,640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4,681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Software</w:t>
            </w:r>
          </w:p>
        </w:tc>
        <w:tc>
          <w:tcPr>
            <w:tcW w:w="2340" w:type="dxa"/>
            <w:vAlign w:val="bottom"/>
            <w:gridSpan w:val="2"/>
            <w:shd w:val="clear" w:color="auto" w:fill="CCEEFF"/>
          </w:tcPr>
          <w:p>
            <w:pPr>
              <w:jc w:val="center"/>
              <w:ind w:left="1210"/>
              <w:spacing w:after="0" w:line="176" w:lineRule="exact"/>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9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Construction-in-progress</w:t>
            </w:r>
          </w:p>
        </w:tc>
        <w:tc>
          <w:tcPr>
            <w:tcW w:w="12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956</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18,998</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69"/>
        </w:trPr>
        <w:tc>
          <w:tcPr>
            <w:tcW w:w="39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38,282</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29,007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39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accumulated depreciation and amortization</w:t>
            </w:r>
          </w:p>
        </w:tc>
        <w:tc>
          <w:tcPr>
            <w:tcW w:w="12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(8,655)</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(4,644)</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89"/>
        </w:trPr>
        <w:tc>
          <w:tcPr>
            <w:tcW w:w="39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property and equipment, net</w:t>
            </w:r>
          </w:p>
        </w:tc>
        <w:tc>
          <w:tcPr>
            <w:tcW w:w="1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29,627</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24,363</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r>
      <w:tr>
        <w:trPr>
          <w:trHeight w:val="581"/>
        </w:trPr>
        <w:tc>
          <w:tcPr>
            <w:tcW w:w="3940" w:type="dxa"/>
            <w:vAlign w:val="bottom"/>
          </w:tcPr>
          <w:p>
            <w:pPr>
              <w:spacing w:after="0"/>
              <w:rPr>
                <w:sz w:val="24"/>
                <w:szCs w:val="24"/>
                <w:color w:val="auto"/>
              </w:rPr>
            </w:pPr>
          </w:p>
        </w:tc>
        <w:tc>
          <w:tcPr>
            <w:tcW w:w="2340" w:type="dxa"/>
            <w:vAlign w:val="bottom"/>
            <w:gridSpan w:val="2"/>
          </w:tcPr>
          <w:p>
            <w:pPr>
              <w:ind w:left="420"/>
              <w:spacing w:after="0"/>
              <w:rPr>
                <w:sz w:val="20"/>
                <w:szCs w:val="20"/>
                <w:color w:val="auto"/>
              </w:rPr>
            </w:pPr>
            <w:r>
              <w:rPr>
                <w:rFonts w:ascii="Arial" w:cs="Arial" w:eastAsia="Arial" w:hAnsi="Arial"/>
                <w:sz w:val="18"/>
                <w:szCs w:val="18"/>
                <w:color w:val="auto"/>
              </w:rPr>
              <w:t>F-20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8"/>
        </w:trPr>
        <w:tc>
          <w:tcPr>
            <w:tcW w:w="39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bl>
    <w:p>
      <w:pPr>
        <w:sectPr>
          <w:pgSz w:w="11900" w:h="16838" w:orient="portrait"/>
          <w:cols w:equalWidth="0" w:num="1">
            <w:col w:w="9100"/>
          </w:cols>
          <w:pgMar w:left="1420" w:top="111" w:right="137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Depreciation expense for the years ended December 31, 2018, 2017 and 2016 was $4.2 million, $1.6 million and $1.6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8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r>
      <w:tr>
        <w:trPr>
          <w:trHeight w:val="169"/>
        </w:trPr>
        <w:tc>
          <w:tcPr>
            <w:tcW w:w="6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External research and development</w:t>
            </w:r>
          </w:p>
        </w:tc>
        <w:tc>
          <w:tcPr>
            <w:tcW w:w="24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36,213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17,493</w:t>
            </w:r>
          </w:p>
        </w:tc>
        <w:tc>
          <w:tcPr>
            <w:tcW w:w="80" w:type="dxa"/>
            <w:vAlign w:val="bottom"/>
            <w:shd w:val="clear" w:color="auto" w:fill="CCEEFF"/>
          </w:tcPr>
          <w:p>
            <w:pPr>
              <w:spacing w:after="0"/>
              <w:rPr>
                <w:sz w:val="14"/>
                <w:szCs w:val="14"/>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Employee compensation</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8,071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5,766</w:t>
            </w:r>
          </w:p>
        </w:tc>
        <w:tc>
          <w:tcPr>
            <w:tcW w:w="80" w:type="dxa"/>
            <w:vAlign w:val="bottom"/>
          </w:tcPr>
          <w:p>
            <w:pPr>
              <w:spacing w:after="0"/>
              <w:rPr>
                <w:sz w:val="16"/>
                <w:szCs w:val="16"/>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3,379</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1,394</w:t>
            </w:r>
          </w:p>
        </w:tc>
        <w:tc>
          <w:tcPr>
            <w:tcW w:w="80" w:type="dxa"/>
            <w:vAlign w:val="bottom"/>
            <w:shd w:val="clear" w:color="auto" w:fill="CCEEFF"/>
          </w:tcPr>
          <w:p>
            <w:pPr>
              <w:spacing w:after="0"/>
              <w:rPr>
                <w:sz w:val="15"/>
                <w:szCs w:val="15"/>
                <w:color w:val="auto"/>
              </w:rPr>
            </w:pP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Property and equipment costs</w:t>
            </w:r>
          </w:p>
        </w:tc>
        <w:tc>
          <w:tcPr>
            <w:tcW w:w="2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912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4,176</w:t>
            </w:r>
          </w:p>
        </w:tc>
        <w:tc>
          <w:tcPr>
            <w:tcW w:w="80" w:type="dxa"/>
            <w:vAlign w:val="bottom"/>
          </w:tcPr>
          <w:p>
            <w:pPr>
              <w:spacing w:after="0"/>
              <w:rPr>
                <w:sz w:val="15"/>
                <w:szCs w:val="15"/>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Pre-commercial accrual</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5"/>
                <w:szCs w:val="15"/>
                <w:color w:val="auto"/>
              </w:rPr>
            </w:pPr>
          </w:p>
        </w:tc>
      </w:tr>
      <w:tr>
        <w:trPr>
          <w:trHeight w:val="176"/>
        </w:trPr>
        <w:tc>
          <w:tcPr>
            <w:tcW w:w="6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2,092</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tcPr>
          <w:p>
            <w:pPr>
              <w:spacing w:after="0"/>
              <w:rPr>
                <w:sz w:val="15"/>
                <w:szCs w:val="15"/>
                <w:color w:val="auto"/>
              </w:rPr>
            </w:pPr>
          </w:p>
        </w:tc>
      </w:tr>
      <w:tr>
        <w:trPr>
          <w:trHeight w:val="176"/>
        </w:trPr>
        <w:tc>
          <w:tcPr>
            <w:tcW w:w="6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51,711</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30,541</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On June 1, 2018, the Company entered into a Collaboration and License Agreement (the CStone agreement) with CStone pursuant to which the Company granted CStone exclusive rights to develop and commercialize the Company’s drug candidates BLU-554, avapritinib and BLU-667, including back-up forms and certain other forms thereof, in Mainland China, Hong Kong, Macau and Taiwan (each, a CStone region and collectively, the CStone territory), either as a monotherapy or as part of a combination therapy. The Company will retain exclusive rights to the licensed products outside the CStone territory.</w:t>
      </w:r>
    </w:p>
    <w:p>
      <w:pPr>
        <w:spacing w:after="0" w:line="15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BLU-554 as a combination therapy in the CStone territory that will be shared by the Company and CStone.</w:t>
      </w:r>
    </w:p>
    <w:p>
      <w:pPr>
        <w:spacing w:after="0" w:line="168"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BLU-554 in combination with CS1001, a clinical stage anti-programmed death ligand-1 immunotherapy being developed by CStone, as a first-line therapy for the treatment of patients with hepatocellular carcinoma.</w:t>
      </w:r>
    </w:p>
    <w:p>
      <w:pPr>
        <w:spacing w:after="0" w:line="162"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61"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 Accordingly, the Company recorded a reduction of expenses of $0.5 million for the year ended December 31, 2018.</w:t>
      </w:r>
    </w:p>
    <w:p>
      <w:pPr>
        <w:spacing w:after="0" w:line="165"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6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62" w:lineRule="exact"/>
        <w:rPr>
          <w:sz w:val="20"/>
          <w:szCs w:val="20"/>
          <w:color w:val="auto"/>
        </w:rPr>
      </w:pPr>
    </w:p>
    <w:p>
      <w:pPr>
        <w:jc w:val="both"/>
        <w:ind w:right="400" w:firstLine="648"/>
        <w:spacing w:after="0" w:line="224"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There was no adjustment in the transaction price as of December 31, 2018. Because the performance obligations have been satisfied, any addition to the transaction price would be immediately recognized as revenue.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6"/>
          <w:szCs w:val="16"/>
          <w:color w:val="auto"/>
        </w:rPr>
        <w:t>The Company satisfied the performance obligations upon delivery of the licenses, initial know-how transfers and product trademark and recognized the upfront payment of $40.0 million as revenue during the second quarter of 2018, and there was no revenue deferred as a contract liability associated with the CStone agreement as of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62"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The Company received an upfront cash payment of $45.0 million in March 2016 upon execution of the Roche agreement, and subject to the terms of the Roche agreement, the Company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June 2018, the Company achieved and received a $10.0 million research milestone payment.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to by the parties. In certain termination circumstances, the Company is entitled to retain specified licenses to be able to continue to exploit the licensed products.</w:t>
      </w:r>
    </w:p>
    <w:p>
      <w:pPr>
        <w:spacing w:after="0" w:line="162"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63"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63"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2"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In June 2018, the Company achieved and received a $10.0 million research milestone payment related to the Roche agreement, and it became probable that a significant reversal of cumulative revenue would not occur for the $10.0 million research milestone achieved. At such time, the associated consideration was added to the estimated transaction price and allocated to the existing performance obligation. The Company recognized a cumulative catch-up of $1.2 million to revenue for this developmental milestone during the second quarter of 2018, representing the amount that would have been recognized had the milestone payment been included in the transaction price from the outset of the arrangement.</w:t>
      </w:r>
    </w:p>
    <w:p>
      <w:pPr>
        <w:spacing w:after="0" w:line="161" w:lineRule="exact"/>
        <w:rPr>
          <w:sz w:val="20"/>
          <w:szCs w:val="20"/>
          <w:color w:val="auto"/>
        </w:rPr>
      </w:pPr>
    </w:p>
    <w:p>
      <w:pPr>
        <w:ind w:right="160" w:firstLine="648"/>
        <w:spacing w:after="0" w:line="225" w:lineRule="auto"/>
        <w:rPr>
          <w:sz w:val="20"/>
          <w:szCs w:val="20"/>
          <w:color w:val="auto"/>
        </w:rPr>
      </w:pPr>
      <w:r>
        <w:rPr>
          <w:rFonts w:ascii="Arial" w:cs="Arial" w:eastAsia="Arial" w:hAnsi="Arial"/>
          <w:sz w:val="17"/>
          <w:szCs w:val="17"/>
          <w:color w:val="auto"/>
        </w:rPr>
        <w:t>The Company recognized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During the year ended 2018, there has been no significant changes in the costs expected to be incurred in the future to satisfy the performance obligation, and the Company recognized revenue of $4.5 million under the Roche collaboration, of which $2.9 million was recognized as a result of the change in the contract liability balances as of January 1, 2018. As of December 31, 2018, the Company had revenue deferred as a contract liability related to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60"/>
        <w:spacing w:after="0" w:line="224" w:lineRule="auto"/>
        <w:rPr>
          <w:sz w:val="20"/>
          <w:szCs w:val="20"/>
          <w:color w:val="auto"/>
        </w:rPr>
      </w:pPr>
      <w:r>
        <w:rPr>
          <w:rFonts w:ascii="Arial" w:cs="Arial" w:eastAsia="Arial" w:hAnsi="Arial"/>
          <w:sz w:val="18"/>
          <w:szCs w:val="18"/>
          <w:color w:val="auto"/>
        </w:rPr>
        <w:t>Roche agreement of $46.2 million, of which $3.6 million was included in current liabilities, and the research and development services related to the performance obligation are expected to be performed over a remaining period of approximately six years.</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Prior to January 1, 2018, the Company recognized revenue in accordance with ASC 605. The Company determined that there were five deliverables under the Roche collaboration: (i) a non-transferable, sub-licensable and non-exclusive license to use the Company’s intellectual property and collaboration compounds to conduct research activities;(ii) conducting research and development activities through Phase 1 clinical trials under the research plan; (iii) providing pre-clinical and clinical supply of collaboration compounds; (iv) participation on a joint research committee (JRC) and joint development committee (JDC); and (v) regulatory responsibilities under Phase 1 clinical trials.</w:t>
      </w:r>
    </w:p>
    <w:p>
      <w:pPr>
        <w:spacing w:after="0" w:line="16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Company evaluated whether the option fees that may be received in connection with the Roche agreement are substantive. The Company concluded that the option fees were substantive due to the uncertainty around whether the goals of the collaboration would be achieved, and therefore the options were not a deliverable in the current arrangement. If Roche elects to exercise the options, the exercises and related contingent deliverables would be accounted for as a separate arrangement.</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evaluated whether the milestones that may be received in connection with the Roche agreement are substantive milestones. Pre-option exercise milestones that are expected to be achieved as a result of the Company’s efforts during the performance of the research and development activities were considered substantive and would be recognized as revenue upon the achievement of the milestone, assuming all other revenue recognition criteria are met. The development event milestones were not considered substantive because the Company does not contribute effort to the achievement of such milestones as they are expected to be achieved after the performance of the research and development activities. Consideration received with respect to these milestones would be added to the total arrangement consideration that has been allocated to the identified units of accounting. There were no milestones achieved prior to the adoption of ASC 606 on January 1, 2018.</w:t>
      </w:r>
    </w:p>
    <w:p>
      <w:pPr>
        <w:spacing w:after="0" w:line="162" w:lineRule="exact"/>
        <w:rPr>
          <w:sz w:val="20"/>
          <w:szCs w:val="20"/>
          <w:color w:val="auto"/>
        </w:rPr>
      </w:pPr>
    </w:p>
    <w:p>
      <w:pPr>
        <w:ind w:right="320" w:firstLine="648"/>
        <w:spacing w:after="0" w:line="258" w:lineRule="auto"/>
        <w:rPr>
          <w:sz w:val="20"/>
          <w:szCs w:val="20"/>
          <w:color w:val="auto"/>
        </w:rPr>
      </w:pPr>
      <w:r>
        <w:rPr>
          <w:rFonts w:ascii="Arial" w:cs="Arial" w:eastAsia="Arial" w:hAnsi="Arial"/>
          <w:sz w:val="17"/>
          <w:szCs w:val="17"/>
          <w:color w:val="auto"/>
        </w:rPr>
        <w:t>During the years ended 2017 and 2016, the Company recognized revenue under the Roche collaboration of $5.2 million and $4.5 million, respectively, which represented a portion of the $45.0 million upfront payment.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w:t>
      </w:r>
    </w:p>
    <w:p>
      <w:pPr>
        <w:spacing w:after="0" w:line="18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(FOP). On July 26, 2017, the Company received written notice from Alexion of its election to terminate the Alexion agreement for convenience, and the termination became effective on October 24, 2017. Since the Alexion agreement terminated prior to January 1, 2018, the Company recognized revenue from the Alexion collaboration in accordance with ASC 605.</w:t>
      </w:r>
    </w:p>
    <w:p>
      <w:pPr>
        <w:spacing w:after="0" w:line="162"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 through costs and a negotiated yearly rate per full time equivalent for its employees’ time and their associated overhead expenses. Prior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the termination, the Company had received an aggregate amount of $18.8 million in upfront and milestone payments, which consistent of a $15.0 million non-refundable upfront payment in March 2015 upon execution of the Alexion agreement and an aggregate amount of $3.8 million in pre-clinical milestone payments. As a result of the termination of the Alexion agreement, the Company was not entitled to receive payment from Alexion for any research and development expenses incurred after the effective date of termination.</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former Alexion collaboration: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Company determined that the license did not have value to Alexion on a stand-alone basis due to the specialized nature of the research services to be provided by the Company that are not available in the marketplace. Therefore, the deliverables were not separable and, accordingly, the license, undelivered research and development activities and JSC and JPT participation were a single unit of accounting. The Company recognized revenue for the $15.0 million upfront payment and a $1.8 million non-substantive milestone payment utilizing the proportional performance model over the period of performance, which ended October 24, 2017, and recognized revenue for the remaining $2.0 million substantive milestone payments upon achievement.</w:t>
      </w:r>
    </w:p>
    <w:p>
      <w:pPr>
        <w:spacing w:after="0" w:line="165" w:lineRule="exact"/>
        <w:rPr>
          <w:sz w:val="20"/>
          <w:szCs w:val="20"/>
          <w:color w:val="auto"/>
        </w:rPr>
      </w:pPr>
    </w:p>
    <w:p>
      <w:pPr>
        <w:ind w:firstLine="683"/>
        <w:spacing w:after="0" w:line="223" w:lineRule="auto"/>
        <w:rPr>
          <w:sz w:val="20"/>
          <w:szCs w:val="20"/>
          <w:color w:val="auto"/>
        </w:rPr>
      </w:pPr>
      <w:r>
        <w:rPr>
          <w:rFonts w:ascii="Arial" w:cs="Arial" w:eastAsia="Arial" w:hAnsi="Arial"/>
          <w:sz w:val="17"/>
          <w:szCs w:val="17"/>
          <w:color w:val="auto"/>
        </w:rPr>
        <w:t>As a result of the termination, the Company did not recognize revenue under the Alexion agreement for the year ended December 31, 2018. During the year ended December 31, 2017, the Company recognized revenue under the former Alexion collaboration of $16.2 million, which represents $9.5 million of reimbursable research and development costs, as well as a portion of the $15.0 million upfront payment and the $1.8 million non-substantive milestone payment previously received. During the year ended December 31, 2016, the Company recognized revenue under the Alexion agreement of $23.3 million, which represents $14.6 million of reimbursable research and development costs, $1.8 million in milestone payments that were recognized upon achievement, as well as a portion of the $15.0 million upfront payment and the $1.8 million non-substantive milestone payment previously received.</w:t>
      </w:r>
    </w:p>
    <w:p>
      <w:pPr>
        <w:spacing w:after="0" w:line="168"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During the year ended December 31, 2017, the Company received $12.7 million related to reimbursable research and development costs under the former Alexion collaboration.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w:t>
      </w:r>
    </w:p>
    <w:p>
      <w:pPr>
        <w:spacing w:after="0" w:line="189"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May 2013, the Company entered into a loan and security agreement with Silicon Valley Bank, which provided for up to $5.0 million in funding, to be made available in three tranches. Loan advances accrue interest at a fixed rate of 2% above the prime rate. In November 2014, the Company amended the loan to allow the Company to borrow an additional $5.0 million. The Company accounted for the amendment as a modification to the existing 2013 loan. The Company immediately drew the additional $5.0 million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2018. The Company was required to pay a fee of 4% of the total loan advances at the end of the term of each of the loan. The fee had been accreted to interest expense over the term of the loan. As of December 31, 2018, the Company had no outstanding principal and interest under the loan and security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6"/>
          <w:szCs w:val="16"/>
          <w:color w:val="auto"/>
        </w:rPr>
        <w:t>‑</w:t>
      </w:r>
      <w:r>
        <w:rPr>
          <w:rFonts w:ascii="Arial" w:cs="Arial" w:eastAsia="Arial" w:hAnsi="Arial"/>
          <w:sz w:val="16"/>
          <w:szCs w:val="16"/>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2018 and 2019, the number of shares reserved for issuance under the 2015 Plan was increased by 1,743,101 and 1,761,481 shares, respectively. In addition, the total number of shares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900"/>
        <w:spacing w:after="0" w:line="289" w:lineRule="auto"/>
        <w:rPr>
          <w:sz w:val="20"/>
          <w:szCs w:val="20"/>
          <w:color w:val="auto"/>
        </w:rPr>
      </w:pPr>
      <w:r>
        <w:rPr>
          <w:rFonts w:ascii="Arial" w:cs="Arial" w:eastAsia="Arial" w:hAnsi="Arial"/>
          <w:sz w:val="16"/>
          <w:szCs w:val="16"/>
          <w:color w:val="auto"/>
        </w:rPr>
        <w:t>reserved for issuance is subject to adjustment in the event of a stock split, stock dividend or other change in our capitalization. At December 31, 2018, there were 1,776,005 shares available for future grant under the 2015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Company recognized stock-based compensation expense totaling $30.5 million, $12.5 million and $6.1 million for the year ended December 31, 2018, 2017 and 2016, respectively.</w:t>
      </w:r>
    </w:p>
    <w:p>
      <w:pPr>
        <w:spacing w:after="0" w:line="162"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Stock-based compensation expense by award type included within the consolidated statements of operations and comprehensive loss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45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r>
      <w:tr>
        <w:trPr>
          <w:trHeight w:val="183"/>
        </w:trPr>
        <w:tc>
          <w:tcPr>
            <w:tcW w:w="4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 options</w:t>
            </w:r>
          </w:p>
        </w:tc>
        <w:tc>
          <w:tcPr>
            <w:tcW w:w="17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30,095</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12,317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5,134</w:t>
            </w:r>
          </w:p>
        </w:tc>
        <w:tc>
          <w:tcPr>
            <w:tcW w:w="40" w:type="dxa"/>
            <w:vAlign w:val="bottom"/>
            <w:shd w:val="clear" w:color="auto" w:fill="CCEEFF"/>
          </w:tcPr>
          <w:p>
            <w:pPr>
              <w:spacing w:after="0"/>
              <w:rPr>
                <w:sz w:val="15"/>
                <w:szCs w:val="15"/>
                <w:color w:val="auto"/>
              </w:rPr>
            </w:pPr>
          </w:p>
        </w:tc>
      </w:tr>
      <w:tr>
        <w:trPr>
          <w:trHeight w:val="189"/>
        </w:trPr>
        <w:tc>
          <w:tcPr>
            <w:tcW w:w="4500" w:type="dxa"/>
            <w:vAlign w:val="bottom"/>
          </w:tcPr>
          <w:p>
            <w:pPr>
              <w:spacing w:after="0" w:line="189" w:lineRule="exact"/>
              <w:rPr>
                <w:sz w:val="20"/>
                <w:szCs w:val="20"/>
                <w:color w:val="auto"/>
              </w:rPr>
            </w:pPr>
            <w:r>
              <w:rPr>
                <w:rFonts w:ascii="Arial" w:cs="Arial" w:eastAsia="Arial" w:hAnsi="Arial"/>
                <w:sz w:val="18"/>
                <w:szCs w:val="18"/>
                <w:color w:val="auto"/>
              </w:rPr>
              <w:t>Restricted stock units</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167</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r>
      <w:tr>
        <w:trPr>
          <w:trHeight w:val="189"/>
        </w:trPr>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stock awards</w:t>
            </w: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839</w:t>
            </w:r>
          </w:p>
        </w:tc>
        <w:tc>
          <w:tcPr>
            <w:tcW w:w="40" w:type="dxa"/>
            <w:vAlign w:val="bottom"/>
            <w:shd w:val="clear" w:color="auto" w:fill="CCEEFF"/>
          </w:tcPr>
          <w:p>
            <w:pPr>
              <w:spacing w:after="0"/>
              <w:rPr>
                <w:sz w:val="16"/>
                <w:szCs w:val="16"/>
                <w:color w:val="auto"/>
              </w:rPr>
            </w:pPr>
          </w:p>
        </w:tc>
      </w:tr>
      <w:tr>
        <w:trPr>
          <w:trHeight w:val="189"/>
        </w:trPr>
        <w:tc>
          <w:tcPr>
            <w:tcW w:w="4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Employee stock purchase plan</w:t>
            </w:r>
          </w:p>
        </w:tc>
        <w:tc>
          <w:tcPr>
            <w:tcW w:w="1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272</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w:t>
            </w:r>
          </w:p>
        </w:tc>
        <w:tc>
          <w:tcPr>
            <w:tcW w:w="40" w:type="dxa"/>
            <w:vAlign w:val="bottom"/>
            <w:tcBorders>
              <w:bottom w:val="single" w:sz="8" w:color="CCEEFF"/>
            </w:tcBorders>
          </w:tcPr>
          <w:p>
            <w:pPr>
              <w:spacing w:after="0"/>
              <w:rPr>
                <w:sz w:val="16"/>
                <w:szCs w:val="16"/>
                <w:color w:val="auto"/>
              </w:rPr>
            </w:pPr>
          </w:p>
        </w:tc>
      </w:tr>
      <w:tr>
        <w:trPr>
          <w:trHeight w:val="176"/>
        </w:trPr>
        <w:tc>
          <w:tcPr>
            <w:tcW w:w="45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15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30,534</w:t>
            </w: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12,523</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6,140</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84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classification within the consolidated statements of operations and comprehensive loss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60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17,019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6,296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2,674</w:t>
            </w:r>
          </w:p>
        </w:tc>
        <w:tc>
          <w:tcPr>
            <w:tcW w:w="40" w:type="dxa"/>
            <w:vAlign w:val="bottom"/>
            <w:shd w:val="clear" w:color="auto" w:fill="CCEEFF"/>
          </w:tcPr>
          <w:p>
            <w:pPr>
              <w:spacing w:after="0"/>
              <w:rPr>
                <w:sz w:val="14"/>
                <w:szCs w:val="14"/>
                <w:color w:val="auto"/>
              </w:rPr>
            </w:pPr>
          </w:p>
        </w:tc>
      </w:tr>
      <w:tr>
        <w:trPr>
          <w:trHeight w:val="176"/>
        </w:trPr>
        <w:tc>
          <w:tcPr>
            <w:tcW w:w="60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13,515</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6,227</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3,466</w:t>
            </w:r>
          </w:p>
        </w:tc>
        <w:tc>
          <w:tcPr>
            <w:tcW w:w="40" w:type="dxa"/>
            <w:vAlign w:val="bottom"/>
            <w:tcBorders>
              <w:bottom w:val="single" w:sz="8" w:color="CCEEFF"/>
            </w:tcBorders>
          </w:tcPr>
          <w:p>
            <w:pPr>
              <w:spacing w:after="0"/>
              <w:rPr>
                <w:sz w:val="15"/>
                <w:szCs w:val="15"/>
                <w:color w:val="auto"/>
              </w:rPr>
            </w:pPr>
          </w:p>
        </w:tc>
      </w:tr>
      <w:tr>
        <w:trPr>
          <w:trHeight w:val="176"/>
        </w:trPr>
        <w:tc>
          <w:tcPr>
            <w:tcW w:w="60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30,534</w:t>
            </w: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12,523</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6,140</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At December 31, 2018, there was $93.2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2.8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8"/>
          <w:szCs w:val="18"/>
          <w:color w:val="auto"/>
        </w:rPr>
        <w:t>Stock options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249555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29"/>
        </w:trPr>
        <w:tc>
          <w:tcPr>
            <w:tcW w:w="32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3"/>
              </w:rPr>
              <w:t>December 31, 2018</w:t>
            </w:r>
          </w:p>
        </w:tc>
        <w:tc>
          <w:tcPr>
            <w:tcW w:w="360" w:type="dxa"/>
            <w:vAlign w:val="bottom"/>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2017</w:t>
            </w:r>
          </w:p>
        </w:tc>
        <w:tc>
          <w:tcPr>
            <w:tcW w:w="220" w:type="dxa"/>
            <w:vAlign w:val="bottom"/>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9"/>
        </w:trPr>
        <w:tc>
          <w:tcPr>
            <w:tcW w:w="3280" w:type="dxa"/>
            <w:vAlign w:val="bottom"/>
          </w:tcPr>
          <w:p>
            <w:pPr>
              <w:spacing w:after="0" w:line="170" w:lineRule="exact"/>
              <w:rPr>
                <w:sz w:val="20"/>
                <w:szCs w:val="20"/>
                <w:color w:val="auto"/>
              </w:rPr>
            </w:pPr>
            <w:r>
              <w:rPr>
                <w:rFonts w:ascii="Arial" w:cs="Arial" w:eastAsia="Arial" w:hAnsi="Arial"/>
                <w:sz w:val="18"/>
                <w:szCs w:val="18"/>
                <w:color w:val="auto"/>
              </w:rPr>
              <w:t>Risk-free interest rate</w:t>
            </w:r>
          </w:p>
        </w:tc>
        <w:tc>
          <w:tcPr>
            <w:tcW w:w="1440" w:type="dxa"/>
            <w:vAlign w:val="bottom"/>
          </w:tcPr>
          <w:p>
            <w:pPr>
              <w:spacing w:after="0"/>
              <w:rPr>
                <w:sz w:val="14"/>
                <w:szCs w:val="14"/>
                <w:color w:val="auto"/>
              </w:rPr>
            </w:pPr>
          </w:p>
        </w:tc>
        <w:tc>
          <w:tcPr>
            <w:tcW w:w="1220" w:type="dxa"/>
            <w:vAlign w:val="bottom"/>
          </w:tcPr>
          <w:p>
            <w:pPr>
              <w:jc w:val="right"/>
              <w:spacing w:after="0" w:line="170" w:lineRule="exact"/>
              <w:rPr>
                <w:sz w:val="20"/>
                <w:szCs w:val="20"/>
                <w:color w:val="auto"/>
              </w:rPr>
            </w:pPr>
            <w:r>
              <w:rPr>
                <w:rFonts w:ascii="Arial" w:cs="Arial" w:eastAsia="Arial" w:hAnsi="Arial"/>
                <w:sz w:val="18"/>
                <w:szCs w:val="18"/>
                <w:color w:val="auto"/>
              </w:rPr>
              <w:t>2.77</w:t>
            </w: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0" w:lineRule="exact"/>
              <w:rPr>
                <w:sz w:val="20"/>
                <w:szCs w:val="20"/>
                <w:color w:val="auto"/>
              </w:rPr>
            </w:pPr>
            <w:r>
              <w:rPr>
                <w:rFonts w:ascii="Arial" w:cs="Arial" w:eastAsia="Arial" w:hAnsi="Arial"/>
                <w:sz w:val="18"/>
                <w:szCs w:val="18"/>
                <w:color w:val="auto"/>
              </w:rPr>
              <w:t>2.07</w:t>
            </w:r>
          </w:p>
        </w:tc>
        <w:tc>
          <w:tcPr>
            <w:tcW w:w="22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1200" w:type="dxa"/>
            <w:vAlign w:val="bottom"/>
          </w:tcPr>
          <w:p>
            <w:pPr>
              <w:jc w:val="right"/>
              <w:spacing w:after="0" w:line="170" w:lineRule="exact"/>
              <w:rPr>
                <w:sz w:val="20"/>
                <w:szCs w:val="20"/>
                <w:color w:val="auto"/>
              </w:rPr>
            </w:pPr>
            <w:r>
              <w:rPr>
                <w:rFonts w:ascii="Arial" w:cs="Arial" w:eastAsia="Arial" w:hAnsi="Arial"/>
                <w:sz w:val="18"/>
                <w:szCs w:val="18"/>
                <w:color w:val="auto"/>
              </w:rPr>
              <w:t>1.55</w:t>
            </w:r>
          </w:p>
        </w:tc>
        <w:tc>
          <w:tcPr>
            <w:tcW w:w="16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1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 %</w:t>
            </w: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Expected term (years)</w:t>
            </w:r>
          </w:p>
        </w:tc>
        <w:tc>
          <w:tcPr>
            <w:tcW w:w="2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stock price volatility</w:t>
            </w:r>
          </w:p>
        </w:tc>
        <w:tc>
          <w:tcPr>
            <w:tcW w:w="2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69.08</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74.58</w:t>
            </w:r>
          </w:p>
        </w:tc>
        <w:tc>
          <w:tcPr>
            <w:tcW w:w="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136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75.94 %</w:t>
            </w:r>
          </w:p>
        </w:tc>
      </w:tr>
      <w:tr>
        <w:trPr>
          <w:trHeight w:val="419"/>
        </w:trPr>
        <w:tc>
          <w:tcPr>
            <w:tcW w:w="3280" w:type="dxa"/>
            <w:vAlign w:val="bottom"/>
          </w:tcPr>
          <w:p>
            <w:pPr>
              <w:spacing w:after="0"/>
              <w:rPr>
                <w:sz w:val="24"/>
                <w:szCs w:val="24"/>
                <w:color w:val="auto"/>
              </w:rPr>
            </w:pPr>
          </w:p>
        </w:tc>
        <w:tc>
          <w:tcPr>
            <w:tcW w:w="2660" w:type="dxa"/>
            <w:vAlign w:val="bottom"/>
            <w:gridSpan w:val="2"/>
          </w:tcPr>
          <w:p>
            <w:pPr>
              <w:jc w:val="right"/>
              <w:ind w:right="1156"/>
              <w:spacing w:after="0"/>
              <w:rPr>
                <w:sz w:val="20"/>
                <w:szCs w:val="20"/>
                <w:color w:val="auto"/>
              </w:rPr>
            </w:pPr>
            <w:r>
              <w:rPr>
                <w:rFonts w:ascii="Arial" w:cs="Arial" w:eastAsia="Arial" w:hAnsi="Arial"/>
                <w:sz w:val="18"/>
                <w:szCs w:val="18"/>
                <w:color w:val="auto"/>
              </w:rPr>
              <w:t>F-27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32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9080"/>
          </w:cols>
          <w:pgMar w:left="1420" w:top="111" w:right="139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 activity for the year ended December 31,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Remaining</w:t>
            </w: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Value(1)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 Years)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69"/>
        </w:trPr>
        <w:tc>
          <w:tcPr>
            <w:tcW w:w="52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22.45</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8.04</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174,985</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1,832,270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77.64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(445,622)</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(133,014)</w:t>
            </w: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55.65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4,557,800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44.64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86,675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80" w:type="dxa"/>
            <w:vAlign w:val="bottom"/>
            <w:gridSpan w:val="2"/>
          </w:tcPr>
          <w:p>
            <w:pPr>
              <w:spacing w:after="0" w:line="163" w:lineRule="exact"/>
              <w:rPr>
                <w:sz w:val="20"/>
                <w:szCs w:val="20"/>
                <w:color w:val="auto"/>
              </w:rPr>
            </w:pPr>
            <w:r>
              <w:rPr>
                <w:rFonts w:ascii="Arial" w:cs="Arial" w:eastAsia="Arial" w:hAnsi="Arial"/>
                <w:sz w:val="18"/>
                <w:szCs w:val="18"/>
                <w:color w:val="auto"/>
              </w:rPr>
              <w:t>Exercisable at December 31,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2,103,540</w:t>
            </w:r>
          </w:p>
        </w:tc>
        <w:tc>
          <w:tcPr>
            <w:tcW w:w="160" w:type="dxa"/>
            <w:vAlign w:val="bottom"/>
          </w:tcPr>
          <w:p>
            <w:pPr>
              <w:spacing w:after="0"/>
              <w:rPr>
                <w:sz w:val="14"/>
                <w:szCs w:val="14"/>
                <w:color w:val="auto"/>
              </w:rPr>
            </w:pPr>
          </w:p>
        </w:tc>
        <w:tc>
          <w:tcPr>
            <w:tcW w:w="14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63" w:lineRule="exact"/>
              <w:rPr>
                <w:sz w:val="20"/>
                <w:szCs w:val="20"/>
                <w:color w:val="auto"/>
              </w:rPr>
            </w:pPr>
            <w:r>
              <w:rPr>
                <w:rFonts w:ascii="Arial" w:cs="Arial" w:eastAsia="Arial" w:hAnsi="Arial"/>
                <w:sz w:val="18"/>
                <w:szCs w:val="18"/>
                <w:color w:val="auto"/>
              </w:rPr>
              <w:t>24.32</w:t>
            </w:r>
          </w:p>
        </w:tc>
        <w:tc>
          <w:tcPr>
            <w:tcW w:w="14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8"/>
                <w:szCs w:val="18"/>
                <w:color w:val="auto"/>
              </w:rPr>
              <w:t>6.97</w:t>
            </w:r>
          </w:p>
        </w:tc>
        <w:tc>
          <w:tcPr>
            <w:tcW w:w="14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68,641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360" w:hanging="657"/>
        <w:spacing w:after="0" w:line="235"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December 31, 2018 of the underlying common stock exceeds the exercise price of the option.</w:t>
      </w:r>
    </w:p>
    <w:p>
      <w:pPr>
        <w:spacing w:after="0" w:line="162"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years ended December 31, 2018, 2017 and 2016 was $49.40, $28.04 and $13.06, respectively. The total intrinsic value of options exercised in the years ended December 31, 2018, 2017, and 2016 was $29.4 million, $17.8 million and $3.1 million, respectively.</w:t>
      </w:r>
    </w:p>
    <w:p>
      <w:pPr>
        <w:spacing w:after="0" w:line="163"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At December 31, 2018, the total unrecognized compensation expense related to unvested stock option awards was $90.9 million, which is expected to be recognized over a weighted-average period of approximately 2.7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right="800" w:firstLine="648"/>
        <w:spacing w:after="0" w:line="235" w:lineRule="auto"/>
        <w:rPr>
          <w:sz w:val="20"/>
          <w:szCs w:val="20"/>
          <w:color w:val="auto"/>
        </w:rPr>
      </w:pPr>
      <w:r>
        <w:rPr>
          <w:rFonts w:ascii="Arial" w:cs="Arial" w:eastAsia="Arial" w:hAnsi="Arial"/>
          <w:sz w:val="18"/>
          <w:szCs w:val="18"/>
          <w:color w:val="auto"/>
        </w:rPr>
        <w:t>Restricted stock units granted by the Company generally vest ratably over four years. The following table summarizes the restricted stock units activity for the year ended December 31,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9"/>
        </w:trPr>
        <w:tc>
          <w:tcPr>
            <w:tcW w:w="6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shares at December 31, 2017</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9"/>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36,868</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66.28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38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3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shares at December 31, 2018</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36,868</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No restricted stock units vested during the years ended December 31, 2018, 2017 and 2016. At December 31, 2018, the total unrecognized compensation expense related to unvested restricted stock units was $2.3 million, which we expect to recognize over a weighted-average period of approximately 3.7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1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Restricted stock awards granted by the Company generally vest ratably over four years. The Company did not grant restricted stock awards to any employees or directors during the years ended December 31, 2018 or 2017. Outstanding restricted stock awards previously granted to employees and directors were fully vested as of December 31, 2017. The total fair value of restricted stock awards that vested during the years ended December 31, 2017 and 2016 was $0.1 million and $2.7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In 2015, the Company’s board of directors and stockholders approved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years by 1% of the number of shares of common stock issued and outstanding on the immediately preceding December 31 or such lesser amount as specified by the compensation committee of the board of directors. For the calendar year beginning January 1, 2018 and 2019,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100"/>
        <w:spacing w:after="0" w:line="324" w:lineRule="auto"/>
        <w:rPr>
          <w:sz w:val="20"/>
          <w:szCs w:val="20"/>
          <w:color w:val="auto"/>
        </w:rPr>
      </w:pPr>
      <w:r>
        <w:rPr>
          <w:rFonts w:ascii="Arial" w:cs="Arial" w:eastAsia="Arial" w:hAnsi="Arial"/>
          <w:sz w:val="15"/>
          <w:szCs w:val="15"/>
          <w:color w:val="auto"/>
        </w:rPr>
        <w:t>number of shares reserved for issuance under the 2015 ESPP was increased by 435,775 and 440,370 shares, respectively. The Company issued 13,878, 16,703 and 23,325 shares under the ESPP during the years ended 2018, 2017 and 2016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189" w:lineRule="exact"/>
        <w:rPr>
          <w:sz w:val="20"/>
          <w:szCs w:val="20"/>
          <w:color w:val="auto"/>
        </w:rPr>
      </w:pPr>
    </w:p>
    <w:p>
      <w:pPr>
        <w:ind w:right="80" w:firstLine="648"/>
        <w:spacing w:after="0" w:line="183" w:lineRule="exact"/>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therefore, basic and diluted net loss per share were the same for all periods presented as a result of the Company’s net loss.</w:t>
      </w:r>
    </w:p>
    <w:p>
      <w:pPr>
        <w:spacing w:after="0" w:line="165" w:lineRule="exact"/>
        <w:rPr>
          <w:sz w:val="20"/>
          <w:szCs w:val="20"/>
          <w:color w:val="auto"/>
        </w:rPr>
      </w:pPr>
    </w:p>
    <w:p>
      <w:pPr>
        <w:ind w:right="360" w:firstLine="648"/>
        <w:spacing w:after="0" w:line="203" w:lineRule="exact"/>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w:t>
      </w:r>
      <w:r>
        <w:rPr>
          <w:rFonts w:ascii="MS PGothic" w:cs="MS PGothic" w:eastAsia="MS PGothic" w:hAnsi="MS PGothic"/>
          <w:sz w:val="18"/>
          <w:szCs w:val="18"/>
          <w:color w:val="auto"/>
        </w:rPr>
        <w:t>‑</w:t>
      </w:r>
      <w:r>
        <w:rPr>
          <w:rFonts w:ascii="Arial" w:cs="Arial" w:eastAsia="Arial" w:hAnsi="Arial"/>
          <w:sz w:val="18"/>
          <w:szCs w:val="18"/>
          <w:color w:val="auto"/>
        </w:rPr>
        <w:t>dilutive effect.</w:t>
      </w:r>
    </w:p>
    <w:p>
      <w:pPr>
        <w:spacing w:after="0" w:line="157"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 Ended</w:t>
      </w:r>
    </w:p>
    <w:p>
      <w:pPr>
        <w:ind w:left="720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618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3"/>
              <w:spacing w:after="0" w:line="136"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3"/>
              <w:spacing w:after="0" w:line="136"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33"/>
              <w:spacing w:after="0" w:line="136"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1"/>
                <w:szCs w:val="11"/>
                <w:color w:val="auto"/>
              </w:rPr>
            </w:pPr>
          </w:p>
        </w:tc>
      </w:tr>
      <w:tr>
        <w:trPr>
          <w:trHeight w:val="169"/>
        </w:trPr>
        <w:tc>
          <w:tcPr>
            <w:tcW w:w="6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4,557,800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2,622,741</w:t>
            </w:r>
          </w:p>
        </w:tc>
        <w:tc>
          <w:tcPr>
            <w:tcW w:w="60" w:type="dxa"/>
            <w:vAlign w:val="bottom"/>
            <w:shd w:val="clear" w:color="auto" w:fill="CCEEFF"/>
          </w:tcPr>
          <w:p>
            <w:pPr>
              <w:spacing w:after="0"/>
              <w:rPr>
                <w:sz w:val="14"/>
                <w:szCs w:val="14"/>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36,868</w:t>
            </w:r>
          </w:p>
        </w:tc>
        <w:tc>
          <w:tcPr>
            <w:tcW w:w="160" w:type="dxa"/>
            <w:vAlign w:val="bottom"/>
          </w:tcPr>
          <w:p>
            <w:pPr>
              <w:spacing w:after="0"/>
              <w:rPr>
                <w:sz w:val="15"/>
                <w:szCs w:val="15"/>
                <w:color w:val="auto"/>
              </w:rPr>
            </w:pPr>
          </w:p>
        </w:tc>
        <w:tc>
          <w:tcPr>
            <w:tcW w:w="9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6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Restricted stock awards</w:t>
            </w: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2,125</w:t>
            </w:r>
          </w:p>
        </w:tc>
        <w:tc>
          <w:tcPr>
            <w:tcW w:w="60" w:type="dxa"/>
            <w:vAlign w:val="bottom"/>
            <w:shd w:val="clear" w:color="auto" w:fill="CCEEFF"/>
          </w:tcPr>
          <w:p>
            <w:pPr>
              <w:spacing w:after="0"/>
              <w:rPr>
                <w:sz w:val="15"/>
                <w:szCs w:val="15"/>
                <w:color w:val="auto"/>
              </w:rPr>
            </w:pPr>
          </w:p>
        </w:tc>
      </w:tr>
      <w:tr>
        <w:trPr>
          <w:trHeight w:val="176"/>
        </w:trPr>
        <w:tc>
          <w:tcPr>
            <w:tcW w:w="6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ESPP shares</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10,275</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5,663</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7,798</w:t>
            </w:r>
          </w:p>
        </w:tc>
        <w:tc>
          <w:tcPr>
            <w:tcW w:w="60" w:type="dxa"/>
            <w:vAlign w:val="bottom"/>
            <w:tcBorders>
              <w:bottom w:val="single" w:sz="8" w:color="CCEEFF"/>
            </w:tcBorders>
          </w:tcPr>
          <w:p>
            <w:pPr>
              <w:spacing w:after="0"/>
              <w:rPr>
                <w:sz w:val="15"/>
                <w:szCs w:val="15"/>
                <w:color w:val="auto"/>
              </w:rPr>
            </w:pPr>
          </w:p>
        </w:tc>
      </w:tr>
      <w:tr>
        <w:trPr>
          <w:trHeight w:val="176"/>
        </w:trPr>
        <w:tc>
          <w:tcPr>
            <w:tcW w:w="6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4,604,943</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3,309,829</w:t>
            </w: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2,632,664</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80" w:firstLine="648"/>
        <w:spacing w:after="0" w:line="289" w:lineRule="auto"/>
        <w:rPr>
          <w:sz w:val="20"/>
          <w:szCs w:val="20"/>
          <w:color w:val="auto"/>
        </w:rPr>
      </w:pPr>
      <w:r>
        <w:rPr>
          <w:rFonts w:ascii="Arial" w:cs="Arial" w:eastAsia="Arial" w:hAnsi="Arial"/>
          <w:sz w:val="16"/>
          <w:szCs w:val="16"/>
          <w:color w:val="auto"/>
        </w:rPr>
        <w:t>The weighted average number of common shares used in net loss per share on a basic and diluted basis were 43,867,433, 37,792,929 and 27,491,669 for the years ended December 31, 2018, 2017 and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Preferred Stock</w:t>
      </w:r>
    </w:p>
    <w:p>
      <w:pPr>
        <w:spacing w:after="0" w:line="189" w:lineRule="exact"/>
        <w:rPr>
          <w:sz w:val="20"/>
          <w:szCs w:val="20"/>
          <w:color w:val="auto"/>
        </w:rPr>
      </w:pPr>
    </w:p>
    <w:p>
      <w:pPr>
        <w:ind w:right="300" w:firstLine="648"/>
        <w:spacing w:after="0" w:line="241" w:lineRule="auto"/>
        <w:rPr>
          <w:sz w:val="20"/>
          <w:szCs w:val="20"/>
          <w:color w:val="auto"/>
        </w:rPr>
      </w:pPr>
      <w:r>
        <w:rPr>
          <w:rFonts w:ascii="Arial" w:cs="Arial" w:eastAsia="Arial" w:hAnsi="Arial"/>
          <w:sz w:val="16"/>
          <w:szCs w:val="16"/>
          <w:color w:val="auto"/>
        </w:rPr>
        <w:t>Upon the closing of the IPO in May 2015, Series A Convertible Preferred Stock, Series B Convertible Preferred Stock and Series C Convertible Preferred Stock automatically converted into 15,467,479 shares of common stock. In addition, upon closing of the IPO, the Company’s board of directors was authorized, without action by the stockholders, to designate and issue up to an aggregate of 5,000,000 shares of preferred stock in one or more series. The board of directors can designate the rights, preferences and privileges of the shares of each series and any of its qualifications, limitations or restrictions. No shares of preferred stock were issued and outstanding during 2018, 2017 and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A reconciliation of the U.S. statutory income tax rate to the Company’s effective tax rate is as follows for the years ended December 31, 2018,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4"/>
        </w:trPr>
        <w:tc>
          <w:tcPr>
            <w:tcW w:w="3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jc w:val="right"/>
              <w:ind w:right="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7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64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r>
      <w:tr>
        <w:trPr>
          <w:trHeight w:val="169"/>
        </w:trPr>
        <w:tc>
          <w:tcPr>
            <w:tcW w:w="37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Federal income tax (benefit) at statutory rate</w:t>
            </w:r>
          </w:p>
        </w:tc>
        <w:tc>
          <w:tcPr>
            <w:tcW w:w="27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21.00</w:t>
            </w:r>
          </w:p>
        </w:tc>
        <w:tc>
          <w:tcPr>
            <w:tcW w:w="1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2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3780" w:type="dxa"/>
            <w:vAlign w:val="bottom"/>
          </w:tcPr>
          <w:p>
            <w:pPr>
              <w:spacing w:after="0" w:line="176" w:lineRule="exact"/>
              <w:rPr>
                <w:sz w:val="20"/>
                <w:szCs w:val="20"/>
                <w:color w:val="auto"/>
              </w:rPr>
            </w:pPr>
            <w:r>
              <w:rPr>
                <w:rFonts w:ascii="Arial" w:cs="Arial" w:eastAsia="Arial" w:hAnsi="Arial"/>
                <w:sz w:val="18"/>
                <w:szCs w:val="18"/>
                <w:color w:val="auto"/>
              </w:rPr>
              <w:t>Permanent differences</w:t>
            </w:r>
          </w:p>
        </w:tc>
        <w:tc>
          <w:tcPr>
            <w:tcW w:w="3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1.71</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0.49</w:t>
            </w:r>
          </w:p>
        </w:tc>
        <w:tc>
          <w:tcPr>
            <w:tcW w:w="240" w:type="dxa"/>
            <w:vAlign w:val="bottom"/>
          </w:tcPr>
          <w:p>
            <w:pPr>
              <w:spacing w:after="0"/>
              <w:rPr>
                <w:sz w:val="15"/>
                <w:szCs w:val="15"/>
                <w:color w:val="auto"/>
              </w:rPr>
            </w:pPr>
          </w:p>
        </w:tc>
        <w:tc>
          <w:tcPr>
            <w:tcW w:w="80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(2.74)</w:t>
            </w:r>
          </w:p>
        </w:tc>
      </w:tr>
      <w:tr>
        <w:trPr>
          <w:trHeight w:val="176"/>
        </w:trPr>
        <w:tc>
          <w:tcPr>
            <w:tcW w:w="3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Federal research and development credits</w:t>
            </w:r>
          </w:p>
        </w:tc>
        <w:tc>
          <w:tcPr>
            <w:tcW w:w="3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0.97</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5"/>
                <w:szCs w:val="15"/>
                <w:color w:val="auto"/>
              </w:rPr>
            </w:pPr>
          </w:p>
        </w:tc>
      </w:tr>
      <w:tr>
        <w:trPr>
          <w:trHeight w:val="176"/>
        </w:trPr>
        <w:tc>
          <w:tcPr>
            <w:tcW w:w="3780" w:type="dxa"/>
            <w:vAlign w:val="bottom"/>
          </w:tcPr>
          <w:p>
            <w:pPr>
              <w:spacing w:after="0" w:line="176" w:lineRule="exact"/>
              <w:rPr>
                <w:sz w:val="20"/>
                <w:szCs w:val="20"/>
                <w:color w:val="auto"/>
              </w:rPr>
            </w:pPr>
            <w:r>
              <w:rPr>
                <w:rFonts w:ascii="Arial" w:cs="Arial" w:eastAsia="Arial" w:hAnsi="Arial"/>
                <w:sz w:val="18"/>
                <w:szCs w:val="18"/>
                <w:color w:val="auto"/>
              </w:rPr>
              <w:t>Federal orphan drug credits</w:t>
            </w:r>
          </w:p>
        </w:tc>
        <w:tc>
          <w:tcPr>
            <w:tcW w:w="3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18.06</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6.40</w:t>
            </w: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6.63</w:t>
            </w:r>
          </w:p>
        </w:tc>
        <w:tc>
          <w:tcPr>
            <w:tcW w:w="160" w:type="dxa"/>
            <w:vAlign w:val="bottom"/>
          </w:tcPr>
          <w:p>
            <w:pPr>
              <w:spacing w:after="0"/>
              <w:rPr>
                <w:sz w:val="15"/>
                <w:szCs w:val="15"/>
                <w:color w:val="auto"/>
              </w:rPr>
            </w:pPr>
          </w:p>
        </w:tc>
      </w:tr>
      <w:tr>
        <w:trPr>
          <w:trHeight w:val="176"/>
        </w:trPr>
        <w:tc>
          <w:tcPr>
            <w:tcW w:w="3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State income tax, net of federal benefit</w:t>
            </w:r>
          </w:p>
        </w:tc>
        <w:tc>
          <w:tcPr>
            <w:tcW w:w="3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5"/>
                <w:szCs w:val="15"/>
                <w:color w:val="auto"/>
              </w:rPr>
            </w:pPr>
          </w:p>
        </w:tc>
      </w:tr>
      <w:tr>
        <w:trPr>
          <w:trHeight w:val="176"/>
        </w:trPr>
        <w:tc>
          <w:tcPr>
            <w:tcW w:w="3780" w:type="dxa"/>
            <w:vAlign w:val="bottom"/>
          </w:tcPr>
          <w:p>
            <w:pPr>
              <w:spacing w:after="0" w:line="176" w:lineRule="exact"/>
              <w:rPr>
                <w:sz w:val="20"/>
                <w:szCs w:val="20"/>
                <w:color w:val="auto"/>
              </w:rPr>
            </w:pPr>
            <w:r>
              <w:rPr>
                <w:rFonts w:ascii="Arial" w:cs="Arial" w:eastAsia="Arial" w:hAnsi="Arial"/>
                <w:sz w:val="18"/>
                <w:szCs w:val="18"/>
                <w:color w:val="auto"/>
              </w:rPr>
              <w:t>Other</w:t>
            </w:r>
          </w:p>
        </w:tc>
        <w:tc>
          <w:tcPr>
            <w:tcW w:w="3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0.04</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0.83</w:t>
            </w:r>
          </w:p>
        </w:tc>
        <w:tc>
          <w:tcPr>
            <w:tcW w:w="240" w:type="dxa"/>
            <w:vAlign w:val="bottom"/>
          </w:tcPr>
          <w:p>
            <w:pPr>
              <w:spacing w:after="0"/>
              <w:rPr>
                <w:sz w:val="15"/>
                <w:szCs w:val="15"/>
                <w:color w:val="auto"/>
              </w:rPr>
            </w:pPr>
          </w:p>
        </w:tc>
        <w:tc>
          <w:tcPr>
            <w:tcW w:w="80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(0.78)</w:t>
            </w:r>
          </w:p>
        </w:tc>
      </w:tr>
      <w:tr>
        <w:trPr>
          <w:trHeight w:val="176"/>
        </w:trPr>
        <w:tc>
          <w:tcPr>
            <w:tcW w:w="3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rate change</w:t>
            </w:r>
          </w:p>
        </w:tc>
        <w:tc>
          <w:tcPr>
            <w:tcW w:w="27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36"/>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(27.58)</w:t>
            </w:r>
          </w:p>
        </w:tc>
        <w:tc>
          <w:tcPr>
            <w:tcW w:w="80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r>
      <w:tr>
        <w:trPr>
          <w:trHeight w:val="176"/>
        </w:trPr>
        <w:tc>
          <w:tcPr>
            <w:tcW w:w="3780" w:type="dxa"/>
            <w:vAlign w:val="bottom"/>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3540" w:type="dxa"/>
            <w:vAlign w:val="bottom"/>
            <w:gridSpan w:val="3"/>
          </w:tcPr>
          <w:p>
            <w:pPr>
              <w:jc w:val="right"/>
              <w:ind w:right="96"/>
              <w:spacing w:after="0" w:line="176" w:lineRule="exact"/>
              <w:rPr>
                <w:sz w:val="20"/>
                <w:szCs w:val="20"/>
                <w:color w:val="auto"/>
              </w:rPr>
            </w:pPr>
            <w:r>
              <w:rPr>
                <w:rFonts w:ascii="Arial" w:cs="Arial" w:eastAsia="Arial" w:hAnsi="Arial"/>
                <w:sz w:val="18"/>
                <w:szCs w:val="18"/>
                <w:color w:val="auto"/>
              </w:rPr>
              <w:t>(49.68)</w:t>
            </w:r>
          </w:p>
        </w:tc>
        <w:tc>
          <w:tcPr>
            <w:tcW w:w="940" w:type="dxa"/>
            <w:vAlign w:val="bottom"/>
            <w:gridSpan w:val="3"/>
          </w:tcPr>
          <w:p>
            <w:pPr>
              <w:jc w:val="right"/>
              <w:ind w:right="150"/>
              <w:spacing w:after="0" w:line="176" w:lineRule="exact"/>
              <w:rPr>
                <w:sz w:val="20"/>
                <w:szCs w:val="20"/>
                <w:color w:val="auto"/>
              </w:rPr>
            </w:pPr>
            <w:r>
              <w:rPr>
                <w:rFonts w:ascii="Arial" w:cs="Arial" w:eastAsia="Arial" w:hAnsi="Arial"/>
                <w:sz w:val="18"/>
                <w:szCs w:val="18"/>
                <w:color w:val="auto"/>
              </w:rPr>
              <w:t>(20.54)</w:t>
            </w:r>
          </w:p>
        </w:tc>
        <w:tc>
          <w:tcPr>
            <w:tcW w:w="80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(42.94)</w:t>
            </w:r>
          </w:p>
        </w:tc>
      </w:tr>
      <w:tr>
        <w:trPr>
          <w:trHeight w:val="176"/>
        </w:trPr>
        <w:tc>
          <w:tcPr>
            <w:tcW w:w="37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Effective income tax rate</w:t>
            </w:r>
          </w:p>
        </w:tc>
        <w:tc>
          <w:tcPr>
            <w:tcW w:w="274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(0.03)</w:t>
            </w:r>
          </w:p>
        </w:tc>
        <w:tc>
          <w:tcPr>
            <w:tcW w:w="2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594"/>
        </w:trPr>
        <w:tc>
          <w:tcPr>
            <w:tcW w:w="3780" w:type="dxa"/>
            <w:vAlign w:val="bottom"/>
          </w:tcPr>
          <w:p>
            <w:pPr>
              <w:spacing w:after="0"/>
              <w:rPr>
                <w:sz w:val="24"/>
                <w:szCs w:val="24"/>
                <w:color w:val="auto"/>
              </w:rPr>
            </w:pPr>
          </w:p>
        </w:tc>
        <w:tc>
          <w:tcPr>
            <w:tcW w:w="3540" w:type="dxa"/>
            <w:vAlign w:val="bottom"/>
            <w:gridSpan w:val="3"/>
          </w:tcPr>
          <w:p>
            <w:pPr>
              <w:jc w:val="right"/>
              <w:ind w:right="2536"/>
              <w:spacing w:after="0"/>
              <w:rPr>
                <w:sz w:val="20"/>
                <w:szCs w:val="20"/>
                <w:color w:val="auto"/>
              </w:rPr>
            </w:pPr>
            <w:r>
              <w:rPr>
                <w:rFonts w:ascii="Arial" w:cs="Arial" w:eastAsia="Arial" w:hAnsi="Arial"/>
                <w:sz w:val="18"/>
                <w:szCs w:val="18"/>
                <w:color w:val="auto"/>
              </w:rPr>
              <w:t>F-29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78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140"/>
          </w:cols>
          <w:pgMar w:left="1420" w:top="112" w:right="133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Company had net losses in all periods presented and therefore has not recognized any federal or state income tax expense.</w:t>
      </w:r>
    </w:p>
    <w:p>
      <w:pPr>
        <w:spacing w:after="0" w:line="162"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During 2018, the Company completed a detailed study of its R&amp;D credits and Orphan Drug Credit carryforwards. As a result, the Company adjusted its deferred tax asset balances and the impacts are included on the Federal research and developmental credit and Federal orphan drug credit lines in the effective rate reconciliation above. The impacts of the increases in the deferred tax asset balances have been completely offset by an increase in the Company's valuation allowance which is included in the change in valuation allowance line on the reconciliation above.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deferred tax assets and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4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9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169"/>
        </w:trPr>
        <w:tc>
          <w:tcPr>
            <w:tcW w:w="4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4900" w:type="dxa"/>
            <w:vAlign w:val="bottom"/>
          </w:tcPr>
          <w:p>
            <w:pPr>
              <w:ind w:left="220"/>
              <w:spacing w:after="0" w:line="176" w:lineRule="exact"/>
              <w:rPr>
                <w:sz w:val="20"/>
                <w:szCs w:val="20"/>
                <w:color w:val="auto"/>
              </w:rPr>
            </w:pPr>
            <w:r>
              <w:rPr>
                <w:rFonts w:ascii="Arial" w:cs="Arial" w:eastAsia="Arial" w:hAnsi="Arial"/>
                <w:sz w:val="18"/>
                <w:szCs w:val="18"/>
                <w:color w:val="auto"/>
              </w:rPr>
              <w:t>Net operating loss carryforwards</w:t>
            </w:r>
          </w:p>
        </w:tc>
        <w:tc>
          <w:tcPr>
            <w:tcW w:w="1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127,421</w:t>
            </w:r>
          </w:p>
        </w:tc>
        <w:tc>
          <w:tcPr>
            <w:tcW w:w="3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78,829</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69,443</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 credit carryforwards</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13,714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5,950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3,833</w:t>
            </w:r>
          </w:p>
        </w:tc>
        <w:tc>
          <w:tcPr>
            <w:tcW w:w="40" w:type="dxa"/>
            <w:vAlign w:val="bottom"/>
            <w:shd w:val="clear" w:color="auto" w:fill="CCEEFF"/>
          </w:tcPr>
          <w:p>
            <w:pPr>
              <w:spacing w:after="0"/>
              <w:rPr>
                <w:sz w:val="15"/>
                <w:szCs w:val="15"/>
                <w:color w:val="auto"/>
              </w:rPr>
            </w:pPr>
          </w:p>
        </w:tc>
      </w:tr>
      <w:tr>
        <w:trPr>
          <w:trHeight w:val="176"/>
        </w:trPr>
        <w:tc>
          <w:tcPr>
            <w:tcW w:w="4900" w:type="dxa"/>
            <w:vAlign w:val="bottom"/>
          </w:tcPr>
          <w:p>
            <w:pPr>
              <w:ind w:left="220"/>
              <w:spacing w:after="0" w:line="176" w:lineRule="exact"/>
              <w:rPr>
                <w:sz w:val="20"/>
                <w:szCs w:val="20"/>
                <w:color w:val="auto"/>
              </w:rPr>
            </w:pPr>
            <w:r>
              <w:rPr>
                <w:rFonts w:ascii="Arial" w:cs="Arial" w:eastAsia="Arial" w:hAnsi="Arial"/>
                <w:sz w:val="18"/>
                <w:szCs w:val="18"/>
                <w:color w:val="auto"/>
              </w:rPr>
              <w:t>Orphan drug credit carryforwards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68,536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14,574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5,095</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Accrued expenses and other</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12,248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4,660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5"/>
                <w:szCs w:val="15"/>
                <w:color w:val="auto"/>
              </w:rPr>
            </w:pPr>
          </w:p>
        </w:tc>
      </w:tr>
      <w:tr>
        <w:trPr>
          <w:trHeight w:val="176"/>
        </w:trPr>
        <w:tc>
          <w:tcPr>
            <w:tcW w:w="4900" w:type="dxa"/>
            <w:vAlign w:val="bottom"/>
          </w:tcPr>
          <w:p>
            <w:pPr>
              <w:ind w:left="220"/>
              <w:spacing w:after="0" w:line="176" w:lineRule="exact"/>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10,320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9,664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2,627</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Deferred lease incentive</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4,462</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1,324</w:t>
            </w:r>
          </w:p>
        </w:tc>
        <w:tc>
          <w:tcPr>
            <w:tcW w:w="40" w:type="dxa"/>
            <w:vAlign w:val="bottom"/>
            <w:shd w:val="clear" w:color="auto" w:fill="CCEEFF"/>
          </w:tcPr>
          <w:p>
            <w:pPr>
              <w:spacing w:after="0"/>
              <w:rPr>
                <w:sz w:val="15"/>
                <w:szCs w:val="15"/>
                <w:color w:val="auto"/>
              </w:rPr>
            </w:pPr>
          </w:p>
        </w:tc>
      </w:tr>
      <w:tr>
        <w:trPr>
          <w:trHeight w:val="176"/>
        </w:trPr>
        <w:tc>
          <w:tcPr>
            <w:tcW w:w="49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Deferred rent</w:t>
            </w:r>
          </w:p>
        </w:tc>
        <w:tc>
          <w:tcPr>
            <w:tcW w:w="1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1,436</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1,142</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366</w:t>
            </w:r>
          </w:p>
        </w:tc>
        <w:tc>
          <w:tcPr>
            <w:tcW w:w="40" w:type="dxa"/>
            <w:vAlign w:val="bottom"/>
            <w:tcBorders>
              <w:bottom w:val="single" w:sz="8" w:color="CCEEFF"/>
            </w:tcBorders>
          </w:tcPr>
          <w:p>
            <w:pPr>
              <w:spacing w:after="0"/>
              <w:rPr>
                <w:sz w:val="15"/>
                <w:szCs w:val="15"/>
                <w:color w:val="auto"/>
              </w:rPr>
            </w:pPr>
          </w:p>
        </w:tc>
      </w:tr>
      <w:tr>
        <w:trPr>
          <w:trHeight w:val="169"/>
        </w:trPr>
        <w:tc>
          <w:tcPr>
            <w:tcW w:w="4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gross deferred tax asset</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237,668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119,281</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85,602</w:t>
            </w:r>
          </w:p>
        </w:tc>
        <w:tc>
          <w:tcPr>
            <w:tcW w:w="40" w:type="dxa"/>
            <w:vAlign w:val="bottom"/>
            <w:shd w:val="clear" w:color="auto" w:fill="CCEEFF"/>
          </w:tcPr>
          <w:p>
            <w:pPr>
              <w:spacing w:after="0"/>
              <w:rPr>
                <w:sz w:val="14"/>
                <w:szCs w:val="14"/>
                <w:color w:val="auto"/>
              </w:rPr>
            </w:pP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Deferred tax liability</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(4,162)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(4,801)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(1,535)</w:t>
            </w:r>
          </w:p>
        </w:tc>
        <w:tc>
          <w:tcPr>
            <w:tcW w:w="40" w:type="dxa"/>
            <w:vAlign w:val="bottom"/>
          </w:tcPr>
          <w:p>
            <w:pPr>
              <w:spacing w:after="0"/>
              <w:rPr>
                <w:sz w:val="15"/>
                <w:szCs w:val="15"/>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Debt discount</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5"/>
                <w:szCs w:val="15"/>
                <w:color w:val="auto"/>
              </w:rPr>
            </w:pPr>
          </w:p>
        </w:tc>
      </w:tr>
      <w:tr>
        <w:trPr>
          <w:trHeight w:val="176"/>
        </w:trPr>
        <w:tc>
          <w:tcPr>
            <w:tcW w:w="49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Valuation allowance</w:t>
            </w:r>
          </w:p>
        </w:tc>
        <w:tc>
          <w:tcPr>
            <w:tcW w:w="1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(233,506)</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(114,478)</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(84,053)</w:t>
            </w:r>
          </w:p>
        </w:tc>
        <w:tc>
          <w:tcPr>
            <w:tcW w:w="40" w:type="dxa"/>
            <w:vAlign w:val="bottom"/>
            <w:tcBorders>
              <w:bottom w:val="single" w:sz="8" w:color="CCEEFF"/>
            </w:tcBorders>
          </w:tcPr>
          <w:p>
            <w:pPr>
              <w:spacing w:after="0"/>
              <w:rPr>
                <w:sz w:val="15"/>
                <w:szCs w:val="15"/>
                <w:color w:val="auto"/>
              </w:rPr>
            </w:pPr>
          </w:p>
        </w:tc>
      </w:tr>
      <w:tr>
        <w:trPr>
          <w:trHeight w:val="176"/>
        </w:trPr>
        <w:tc>
          <w:tcPr>
            <w:tcW w:w="49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 asset</w:t>
            </w:r>
          </w:p>
        </w:tc>
        <w:tc>
          <w:tcPr>
            <w:tcW w:w="1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100" w:firstLine="648"/>
        <w:spacing w:after="0" w:line="221"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$233.5 million, $114.5 million and $84.1 million has been established at December 31, 2018, 2017 and 2016, respectively. The change in the valuation allowance was $119.0 million, $30.4 million and $31.1 million for the years ended December 31, 2018, 2017 and 2016, respectively. The Company has incurred net operating losses (NOL) since inception. At December 31, 2018, the Company had federal and state NOL carryforwards of $464.9 million and $471.3 million, respectively, which expire beginning in 2030. As of December 31, 2018, the Company had federal and state research and development tax credit carryforwards of $8.5 million and $6.2 million, respectively, which expire beginning in 2029. As of December 31, 2018, the Company had federal orphan drug credits of $68.5 million, which expire beginning in 2035 and state investment tax credits of $0.5 million, which expire beginning in 2018.</w:t>
      </w:r>
    </w:p>
    <w:p>
      <w:pPr>
        <w:spacing w:after="0" w:line="167" w:lineRule="exact"/>
        <w:rPr>
          <w:sz w:val="20"/>
          <w:szCs w:val="20"/>
          <w:color w:val="auto"/>
        </w:rPr>
      </w:pPr>
    </w:p>
    <w:p>
      <w:pPr>
        <w:ind w:right="240" w:firstLine="648"/>
        <w:spacing w:after="0" w:line="236" w:lineRule="auto"/>
        <w:rPr>
          <w:sz w:val="20"/>
          <w:szCs w:val="20"/>
          <w:color w:val="auto"/>
        </w:rPr>
      </w:pPr>
      <w:r>
        <w:rPr>
          <w:rFonts w:ascii="Arial" w:cs="Arial" w:eastAsia="Arial" w:hAnsi="Arial"/>
          <w:sz w:val="16"/>
          <w:szCs w:val="16"/>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In addition, U.S. tax laws limit the time during which these carryforwards may be applied against future taxes. Therefore, the Company may not be able to take full advantage of these carryforwards for federal or state income tax purposes.</w:t>
      </w:r>
    </w:p>
    <w:p>
      <w:pPr>
        <w:spacing w:after="0" w:line="168"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statements of operations and comprehensive loss. As of December 31, 2018 and December 31, 2017, the Company has no accrued interest related to uncertain tax positions.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12" w:right="133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On December 22, 2017, H.R.1, known as the Tax Cuts and Jobs Act, was enacted. This new law did not have a significant impact on the Company’s consolidated financial statements for the year ended December 31, 2017 because it maintains a valuation allowance on the majority of its net operating losses and other deferred tax assets. However, the reduction of the U.S. federal corporate tax rate from 35% to 21% resulted in increases to the amounts reflected in “Deferred rate change” in the Company’s tax reconciliation table above for the year ended December 31, 2017 compared to the year ended December 31, 2016. The change in the U.S. federal corporate tax rate, which was effective January 1, 2018, was also reflected in the Company’s deferred tax table above.</w:t>
      </w:r>
    </w:p>
    <w:p>
      <w:pPr>
        <w:spacing w:after="0" w:line="12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As permitted by SEC Staff Accounting Bulletin 118, Income Tax Accounting Implications of the Tax Cuts and Jobs Act, we recorded provisional estimates during the year ended December 31, 2017, and have subsequently finalized our accounting analysis based on the guidance, interpretations, and data available as of December 31, 2018. Adjustments made in the fourth quarter of 2018 upon finalization of our accounting analysis were not material to the Company’s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Sidney Street</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Company is recording rent expense on a straight-line basis through the end of the lease term and deferred rent on the consolidated balance sheet accordingly. The lease provided the Company with an allowance for leasehold improvements of $4.3 million. The Company accounts for leasehold improvement incentives as a reduction to rent expense ratably over the lease term and the balance from the leasehold improvement incentives is included in lease incentive obligations on the balance sheet. The lease agreement required the Company to pay a security deposit of $1.3 million, of which $0.2 million was released in February 2018. The remaining $1.1 million is recorded in restricted cash on the Company’s balance sheet as of December 31, 2018.</w:t>
      </w:r>
    </w:p>
    <w:p>
      <w:pPr>
        <w:spacing w:after="0" w:line="170"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32-month term of the sublease agreement. During the 32-month term, the Company will be responsible for total rental payments of $6.9 million and an additional $0.7 million in total payments related to the Company’s profit on the sublease income which are payable by the Company to the landlord. As of December 31, 2018, the minimum sublease rental commitment by the sublessee was $5.7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45 Sidney Street</w:t>
      </w:r>
    </w:p>
    <w:p>
      <w:pPr>
        <w:spacing w:after="0" w:line="185"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61"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During the initial term of the lease agreement, the Company has agreed to pay an initial annual base rent of approximately $7.7 million, which increases annually until it reaches approximately $10.6 million in the last year of the initial term. The Company is recording rent expense on a straight-line basis through the end of the lease term and deferred rent on the consolidated balance sheet accordingly. The lease provided the Company with a tenant improvement allowance of approximately $14.2 million for improvements to be made to the premises. The Company accounts for leasehold improvement incentives as a reduction to rent expense ratably over the lease term and the balance from the leasehold improvement incentives is included in lease incentive obligations on the balance sheet. The lease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required the Company to pay a security deposit of $3.5 million, which is recorded in restricted cash on the Company’s balance sheet.</w:t>
      </w:r>
    </w:p>
    <w:p>
      <w:pPr>
        <w:spacing w:after="0" w:line="162"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will commence on March 1, 2019 and will expire on November 30, 2029, unless terminated sooner. Pursuant to the lease amendment, the date on which the Company will become responsible for paying rent with respect to the expansion space will be the earlier of (i) the date upon which the Company first occupies the expansion premises for business purposes or (ii) July 1, 2019. The Company currently anticipates the rent commencement date for the expansion premises will be approximately July 1, 2019.</w:t>
      </w:r>
    </w:p>
    <w:p>
      <w:pPr>
        <w:spacing w:after="0" w:line="165"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balance sheet as of December 31, 2018.</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future minimum lease payments through 2023 and thereafter under non-cancellable operating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(including the expansion premises)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140" w:type="dxa"/>
            <w:vAlign w:val="bottom"/>
            <w:shd w:val="clear" w:color="auto" w:fill="CCEEFF"/>
          </w:tcPr>
          <w:p>
            <w:pPr>
              <w:spacing w:after="0"/>
              <w:rPr>
                <w:sz w:val="17"/>
                <w:szCs w:val="17"/>
                <w:color w:val="auto"/>
              </w:rPr>
            </w:pPr>
          </w:p>
        </w:tc>
      </w:tr>
      <w:tr>
        <w:trPr>
          <w:trHeight w:val="189"/>
        </w:trPr>
        <w:tc>
          <w:tcPr>
            <w:tcW w:w="5260" w:type="dxa"/>
            <w:vAlign w:val="bottom"/>
          </w:tcPr>
          <w:p>
            <w:pPr>
              <w:ind w:left="120"/>
              <w:spacing w:after="0" w:line="189" w:lineRule="exact"/>
              <w:rPr>
                <w:sz w:val="20"/>
                <w:szCs w:val="20"/>
                <w:color w:val="auto"/>
              </w:rPr>
            </w:pPr>
            <w:r>
              <w:rPr>
                <w:rFonts w:ascii="Arial" w:cs="Arial" w:eastAsia="Arial" w:hAnsi="Arial"/>
                <w:sz w:val="18"/>
                <w:szCs w:val="18"/>
                <w:color w:val="auto"/>
              </w:rPr>
              <w:t>2020</w:t>
            </w:r>
          </w:p>
        </w:tc>
        <w:tc>
          <w:tcPr>
            <w:tcW w:w="36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14,926</w:t>
            </w:r>
          </w:p>
        </w:tc>
        <w:tc>
          <w:tcPr>
            <w:tcW w:w="140" w:type="dxa"/>
            <w:vAlign w:val="bottom"/>
          </w:tcPr>
          <w:p>
            <w:pPr>
              <w:spacing w:after="0"/>
              <w:rPr>
                <w:sz w:val="16"/>
                <w:szCs w:val="16"/>
                <w:color w:val="auto"/>
              </w:rPr>
            </w:pPr>
          </w:p>
        </w:tc>
      </w:tr>
      <w:tr>
        <w:trPr>
          <w:trHeight w:val="189"/>
        </w:trPr>
        <w:tc>
          <w:tcPr>
            <w:tcW w:w="52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2021</w:t>
            </w:r>
          </w:p>
        </w:tc>
        <w:tc>
          <w:tcPr>
            <w:tcW w:w="3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15,349</w:t>
            </w:r>
          </w:p>
        </w:tc>
        <w:tc>
          <w:tcPr>
            <w:tcW w:w="140" w:type="dxa"/>
            <w:vAlign w:val="bottom"/>
            <w:shd w:val="clear" w:color="auto" w:fill="CCEEFF"/>
          </w:tcPr>
          <w:p>
            <w:pPr>
              <w:spacing w:after="0"/>
              <w:rPr>
                <w:sz w:val="16"/>
                <w:szCs w:val="16"/>
                <w:color w:val="auto"/>
              </w:rPr>
            </w:pPr>
          </w:p>
        </w:tc>
      </w:tr>
      <w:tr>
        <w:trPr>
          <w:trHeight w:val="189"/>
        </w:trPr>
        <w:tc>
          <w:tcPr>
            <w:tcW w:w="5260" w:type="dxa"/>
            <w:vAlign w:val="bottom"/>
          </w:tcPr>
          <w:p>
            <w:pPr>
              <w:ind w:left="120"/>
              <w:spacing w:after="0" w:line="189" w:lineRule="exact"/>
              <w:rPr>
                <w:sz w:val="20"/>
                <w:szCs w:val="20"/>
                <w:color w:val="auto"/>
              </w:rPr>
            </w:pPr>
            <w:r>
              <w:rPr>
                <w:rFonts w:ascii="Arial" w:cs="Arial" w:eastAsia="Arial" w:hAnsi="Arial"/>
                <w:sz w:val="18"/>
                <w:szCs w:val="18"/>
                <w:color w:val="auto"/>
              </w:rPr>
              <w:t>2022</w:t>
            </w:r>
          </w:p>
        </w:tc>
        <w:tc>
          <w:tcPr>
            <w:tcW w:w="36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15,304</w:t>
            </w:r>
          </w:p>
        </w:tc>
        <w:tc>
          <w:tcPr>
            <w:tcW w:w="140" w:type="dxa"/>
            <w:vAlign w:val="bottom"/>
          </w:tcPr>
          <w:p>
            <w:pPr>
              <w:spacing w:after="0"/>
              <w:rPr>
                <w:sz w:val="16"/>
                <w:szCs w:val="16"/>
                <w:color w:val="auto"/>
              </w:rPr>
            </w:pPr>
          </w:p>
        </w:tc>
      </w:tr>
      <w:tr>
        <w:trPr>
          <w:trHeight w:val="189"/>
        </w:trPr>
        <w:tc>
          <w:tcPr>
            <w:tcW w:w="52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2023</w:t>
            </w:r>
          </w:p>
        </w:tc>
        <w:tc>
          <w:tcPr>
            <w:tcW w:w="3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13,331</w:t>
            </w:r>
          </w:p>
        </w:tc>
        <w:tc>
          <w:tcPr>
            <w:tcW w:w="140" w:type="dxa"/>
            <w:vAlign w:val="bottom"/>
            <w:shd w:val="clear" w:color="auto" w:fill="CCEEFF"/>
          </w:tcPr>
          <w:p>
            <w:pPr>
              <w:spacing w:after="0"/>
              <w:rPr>
                <w:sz w:val="16"/>
                <w:szCs w:val="16"/>
                <w:color w:val="auto"/>
              </w:rPr>
            </w:pPr>
          </w:p>
        </w:tc>
      </w:tr>
      <w:tr>
        <w:trPr>
          <w:trHeight w:val="189"/>
        </w:trPr>
        <w:tc>
          <w:tcPr>
            <w:tcW w:w="5260" w:type="dxa"/>
            <w:vAlign w:val="bottom"/>
          </w:tcPr>
          <w:p>
            <w:pPr>
              <w:ind w:left="120"/>
              <w:spacing w:after="0" w:line="189" w:lineRule="exact"/>
              <w:rPr>
                <w:sz w:val="20"/>
                <w:szCs w:val="20"/>
                <w:color w:val="auto"/>
              </w:rPr>
            </w:pPr>
            <w:r>
              <w:rPr>
                <w:rFonts w:ascii="Arial" w:cs="Arial" w:eastAsia="Arial" w:hAnsi="Arial"/>
                <w:sz w:val="18"/>
                <w:szCs w:val="18"/>
                <w:color w:val="auto"/>
              </w:rPr>
              <w:t>Thereafter</w:t>
            </w:r>
          </w:p>
        </w:tc>
        <w:tc>
          <w:tcPr>
            <w:tcW w:w="36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88,273</w:t>
            </w:r>
          </w:p>
        </w:tc>
        <w:tc>
          <w:tcPr>
            <w:tcW w:w="140" w:type="dxa"/>
            <w:vAlign w:val="bottom"/>
          </w:tcPr>
          <w:p>
            <w:pPr>
              <w:spacing w:after="0"/>
              <w:rPr>
                <w:sz w:val="16"/>
                <w:szCs w:val="16"/>
                <w:color w:val="auto"/>
              </w:rPr>
            </w:pPr>
          </w:p>
        </w:tc>
      </w:tr>
      <w:tr>
        <w:trPr>
          <w:trHeight w:val="176"/>
        </w:trPr>
        <w:tc>
          <w:tcPr>
            <w:tcW w:w="52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minimum lease payments (1)</w:t>
            </w:r>
          </w:p>
        </w:tc>
        <w:tc>
          <w:tcPr>
            <w:tcW w:w="27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  160,092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3" w:lineRule="exact"/>
        <w:rPr>
          <w:sz w:val="20"/>
          <w:szCs w:val="20"/>
          <w:color w:val="auto"/>
        </w:rPr>
      </w:pPr>
    </w:p>
    <w:p>
      <w:pPr>
        <w:ind w:left="660" w:right="140" w:hanging="333"/>
        <w:spacing w:after="0" w:line="224"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$5.7 million due in the future under our non-cancelable sublease for the office and laboratory space located at 38 Sidney Street, Cambridge, Massachusetts. The minimum lease payments above do not include any related common area maintenance charges or real estate taxes.</w:t>
      </w:r>
    </w:p>
    <w:p>
      <w:pPr>
        <w:spacing w:after="0" w:line="67"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Company records rent expense under its lease agreements on a straight-line basis. For the years ended December 31, 2018, 2017, and 2016, rent expense, net of sublease income, was $7.3 million, $6.3 million, and $1.8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Benefit Plan</w:t>
      </w:r>
    </w:p>
    <w:p>
      <w:pPr>
        <w:spacing w:after="0" w:line="18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Company maintains a 401(k) plan for employees (the 401(k) Plan). The 401(k) Plan is intended to qualify under Section 401(k) of the Internal Revenue Service Code of 1986, as amended, so that contributions to the 401(k) Plan by employees or by the Company, and the investment earnings thereon,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Effective September 1, 2015, the Company instituted an employer match of 50% of eligible contributions up to 6% of employee contributions. For the years ended December 31, 2018, 2017 and 2016, the Company contributed $0.8 million, $0.5 million and $0.4 million, respectively, to the 401(k)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189"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The following table contains selected quarterly financial information for 2018 and 2017. The Company believes that the following information reflects all normal recurring adjustments necessary for a fair statement of the information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presented. The operating results for any quarter are not necessarily indicative of results for any future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7"/>
              </w:rPr>
              <w:t>September 30, 2018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3"/>
              </w:rPr>
              <w:t>December 31, 2018</w:t>
            </w:r>
          </w:p>
        </w:tc>
        <w:tc>
          <w:tcPr>
            <w:tcW w:w="20" w:type="dxa"/>
            <w:vAlign w:val="bottom"/>
          </w:tcPr>
          <w:p>
            <w:pPr>
              <w:spacing w:after="0"/>
              <w:rPr>
                <w:sz w:val="13"/>
                <w:szCs w:val="13"/>
                <w:color w:val="auto"/>
              </w:rPr>
            </w:pPr>
          </w:p>
        </w:tc>
      </w:tr>
      <w:tr>
        <w:trPr>
          <w:trHeight w:val="171"/>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revenue</w:t>
            </w:r>
          </w:p>
        </w:tc>
        <w:tc>
          <w:tcPr>
            <w:tcW w:w="42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41,439</w:t>
            </w: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1,033</w:t>
            </w:r>
          </w:p>
        </w:tc>
        <w:tc>
          <w:tcPr>
            <w:tcW w:w="20" w:type="dxa"/>
            <w:vAlign w:val="bottom"/>
          </w:tcPr>
          <w:p>
            <w:pPr>
              <w:spacing w:after="0"/>
              <w:rPr>
                <w:sz w:val="15"/>
                <w:szCs w:val="15"/>
                <w:color w:val="auto"/>
              </w:rPr>
            </w:pPr>
          </w:p>
        </w:tc>
      </w:tr>
      <w:tr>
        <w:trPr>
          <w:trHeight w:val="176"/>
        </w:trPr>
        <w:tc>
          <w:tcPr>
            <w:tcW w:w="2600" w:type="dxa"/>
            <w:vAlign w:val="bottom"/>
          </w:tcPr>
          <w:p>
            <w:pPr>
              <w:spacing w:after="0" w:line="17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59,865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70,906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76,603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84,175</w:t>
            </w:r>
          </w:p>
        </w:tc>
        <w:tc>
          <w:tcPr>
            <w:tcW w:w="20" w:type="dxa"/>
            <w:vAlign w:val="bottom"/>
          </w:tcPr>
          <w:p>
            <w:pPr>
              <w:spacing w:after="0"/>
              <w:rPr>
                <w:sz w:val="15"/>
                <w:szCs w:val="15"/>
                <w:color w:val="auto"/>
              </w:rPr>
            </w:pPr>
          </w:p>
        </w:tc>
      </w:tr>
      <w:tr>
        <w:trPr>
          <w:trHeight w:val="176"/>
        </w:trPr>
        <w:tc>
          <w:tcPr>
            <w:tcW w:w="2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Total other income (expense), net</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2,820</w:t>
            </w:r>
          </w:p>
        </w:tc>
        <w:tc>
          <w:tcPr>
            <w:tcW w:w="20" w:type="dxa"/>
            <w:vAlign w:val="bottom"/>
          </w:tcPr>
          <w:p>
            <w:pPr>
              <w:spacing w:after="0"/>
              <w:rPr>
                <w:sz w:val="15"/>
                <w:szCs w:val="15"/>
                <w:color w:val="auto"/>
              </w:rPr>
            </w:pPr>
          </w:p>
        </w:tc>
      </w:tr>
      <w:tr>
        <w:trPr>
          <w:trHeight w:val="176"/>
        </w:trPr>
        <w:tc>
          <w:tcPr>
            <w:tcW w:w="2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(56,549)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(27,048)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(72,723)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(80,322)</w:t>
            </w:r>
          </w:p>
        </w:tc>
        <w:tc>
          <w:tcPr>
            <w:tcW w:w="20" w:type="dxa"/>
            <w:vAlign w:val="bottom"/>
          </w:tcPr>
          <w:p>
            <w:pPr>
              <w:spacing w:after="0"/>
              <w:rPr>
                <w:sz w:val="15"/>
                <w:szCs w:val="15"/>
                <w:color w:val="auto"/>
              </w:rPr>
            </w:pPr>
          </w:p>
        </w:tc>
      </w:tr>
      <w:tr>
        <w:trPr>
          <w:trHeight w:val="183"/>
        </w:trPr>
        <w:tc>
          <w:tcPr>
            <w:tcW w:w="27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loss per share — basic and diluted</w:t>
            </w:r>
          </w:p>
        </w:tc>
        <w:tc>
          <w:tcPr>
            <w:tcW w:w="2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(0.62)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(1.83)</w:t>
            </w:r>
          </w:p>
        </w:tc>
        <w:tc>
          <w:tcPr>
            <w:tcW w:w="20" w:type="dxa"/>
            <w:vAlign w:val="bottom"/>
          </w:tcPr>
          <w:p>
            <w:pPr>
              <w:spacing w:after="0"/>
              <w:rPr>
                <w:sz w:val="15"/>
                <w:szCs w:val="15"/>
                <w:color w:val="auto"/>
              </w:rPr>
            </w:pPr>
          </w:p>
        </w:tc>
      </w:tr>
      <w:tr>
        <w:trPr>
          <w:trHeight w:val="365"/>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7"/>
              </w:rPr>
              <w:t>September 30, 2017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13"/>
                <w:szCs w:val="13"/>
                <w:color w:val="auto"/>
              </w:rPr>
            </w:pPr>
          </w:p>
        </w:tc>
      </w:tr>
      <w:tr>
        <w:trPr>
          <w:trHeight w:val="171"/>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revenue</w:t>
            </w:r>
          </w:p>
        </w:tc>
        <w:tc>
          <w:tcPr>
            <w:tcW w:w="42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5,840</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5,890</w:t>
            </w: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8,068</w:t>
            </w: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1,628</w:t>
            </w:r>
          </w:p>
        </w:tc>
        <w:tc>
          <w:tcPr>
            <w:tcW w:w="20" w:type="dxa"/>
            <w:vAlign w:val="bottom"/>
          </w:tcPr>
          <w:p>
            <w:pPr>
              <w:spacing w:after="0"/>
              <w:rPr>
                <w:sz w:val="15"/>
                <w:szCs w:val="15"/>
                <w:color w:val="auto"/>
              </w:rPr>
            </w:pPr>
          </w:p>
        </w:tc>
      </w:tr>
      <w:tr>
        <w:trPr>
          <w:trHeight w:val="176"/>
        </w:trPr>
        <w:tc>
          <w:tcPr>
            <w:tcW w:w="2600" w:type="dxa"/>
            <w:vAlign w:val="bottom"/>
          </w:tcPr>
          <w:p>
            <w:pPr>
              <w:spacing w:after="0" w:line="17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34,170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40,104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46,678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51,721</w:t>
            </w:r>
          </w:p>
        </w:tc>
        <w:tc>
          <w:tcPr>
            <w:tcW w:w="20" w:type="dxa"/>
            <w:vAlign w:val="bottom"/>
          </w:tcPr>
          <w:p>
            <w:pPr>
              <w:spacing w:after="0"/>
              <w:rPr>
                <w:sz w:val="15"/>
                <w:szCs w:val="15"/>
                <w:color w:val="auto"/>
              </w:rPr>
            </w:pPr>
          </w:p>
        </w:tc>
      </w:tr>
      <w:tr>
        <w:trPr>
          <w:trHeight w:val="176"/>
        </w:trPr>
        <w:tc>
          <w:tcPr>
            <w:tcW w:w="2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other expense, net</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1,066</w:t>
            </w:r>
          </w:p>
        </w:tc>
        <w:tc>
          <w:tcPr>
            <w:tcW w:w="20" w:type="dxa"/>
            <w:vAlign w:val="bottom"/>
          </w:tcPr>
          <w:p>
            <w:pPr>
              <w:spacing w:after="0"/>
              <w:rPr>
                <w:sz w:val="15"/>
                <w:szCs w:val="15"/>
                <w:color w:val="auto"/>
              </w:rPr>
            </w:pPr>
          </w:p>
        </w:tc>
      </w:tr>
      <w:tr>
        <w:trPr>
          <w:trHeight w:val="176"/>
        </w:trPr>
        <w:tc>
          <w:tcPr>
            <w:tcW w:w="2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(27,977)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(33,412)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(37,703)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(49,027)</w:t>
            </w:r>
          </w:p>
        </w:tc>
        <w:tc>
          <w:tcPr>
            <w:tcW w:w="20" w:type="dxa"/>
            <w:vAlign w:val="bottom"/>
          </w:tcPr>
          <w:p>
            <w:pPr>
              <w:spacing w:after="0"/>
              <w:rPr>
                <w:sz w:val="15"/>
                <w:szCs w:val="15"/>
                <w:color w:val="auto"/>
              </w:rPr>
            </w:pPr>
          </w:p>
        </w:tc>
      </w:tr>
      <w:tr>
        <w:trPr>
          <w:trHeight w:val="183"/>
        </w:trPr>
        <w:tc>
          <w:tcPr>
            <w:tcW w:w="27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loss per share — basic and diluted</w:t>
            </w:r>
          </w:p>
        </w:tc>
        <w:tc>
          <w:tcPr>
            <w:tcW w:w="2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(1.23)</w:t>
            </w:r>
          </w:p>
        </w:tc>
        <w:tc>
          <w:tcPr>
            <w:tcW w:w="20" w:type="dxa"/>
            <w:vAlign w:val="bottom"/>
          </w:tcPr>
          <w:p>
            <w:pPr>
              <w:spacing w:after="0"/>
              <w:rPr>
                <w:sz w:val="15"/>
                <w:szCs w:val="1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8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On February 25, 2019, the Company entered into a fourth amendment to its collaboration and license agreement, as amended, with Roche, pursuant to which the Company and Roche agreed to modify certain time periods related to Roche’s option rights for one of the collaboration programs and to modify certain time periods related to the screening activities under the collaboration.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7" w:name="page148"/>
    <w:bookmarkEnd w:id="147"/>
    <w:p>
      <w:pPr>
        <w:jc w:val="right"/>
        <w:ind w:right="139"/>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ind w:left="340" w:right="339" w:firstLine="244"/>
        <w:spacing w:after="0" w:line="261" w:lineRule="auto"/>
        <w:tabs>
          <w:tab w:leader="none" w:pos="1009"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HAS BEEN OMITTED AND FOR WHICH CONFIDENTIAL TREATMENT HAS BEEN REQUESTED. ALL SUCH OMITTED MATERIAL HAS BEEN FILED WITH</w:t>
      </w: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SECURITIES AND EXCHANGE COMMISSION PURSUANT TO RULE 24b-2 PROMULGATED</w:t>
      </w:r>
    </w:p>
    <w:p>
      <w:pPr>
        <w:spacing w:after="0" w:line="9" w:lineRule="exact"/>
        <w:rPr>
          <w:rFonts w:ascii="Arial" w:cs="Arial" w:eastAsia="Arial" w:hAnsi="Arial"/>
          <w:sz w:val="18"/>
          <w:szCs w:val="18"/>
          <w:b w:val="1"/>
          <w:bCs w:val="1"/>
          <w:color w:val="auto"/>
        </w:rPr>
      </w:pPr>
    </w:p>
    <w:p>
      <w:pPr>
        <w:ind w:left="1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UNDER THE SECURITIES EXCHANGE ACT OF 1934, AS AMENDED.</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FOURTH AMENDMENT TO COLLABORATION AND LICENSE AGREEMENT</w:t>
      </w:r>
    </w:p>
    <w:p>
      <w:pPr>
        <w:spacing w:after="0" w:line="202" w:lineRule="exact"/>
        <w:rPr>
          <w:sz w:val="20"/>
          <w:szCs w:val="20"/>
          <w:color w:val="auto"/>
        </w:rPr>
      </w:pPr>
    </w:p>
    <w:p>
      <w:pPr>
        <w:jc w:val="both"/>
        <w:ind w:left="160" w:right="139" w:firstLine="648"/>
        <w:spacing w:after="0" w:line="232" w:lineRule="auto"/>
        <w:rPr>
          <w:sz w:val="20"/>
          <w:szCs w:val="20"/>
          <w:color w:val="auto"/>
        </w:rPr>
      </w:pPr>
      <w:r>
        <w:rPr>
          <w:rFonts w:ascii="Arial" w:cs="Arial" w:eastAsia="Arial" w:hAnsi="Arial"/>
          <w:sz w:val="20"/>
          <w:szCs w:val="20"/>
          <w:color w:val="auto"/>
        </w:rPr>
        <w:t>This Fourth Amendment (this “</w:t>
      </w:r>
      <w:r>
        <w:rPr>
          <w:rFonts w:ascii="Arial" w:cs="Arial" w:eastAsia="Arial" w:hAnsi="Arial"/>
          <w:sz w:val="20"/>
          <w:szCs w:val="20"/>
          <w:b w:val="1"/>
          <w:bCs w:val="1"/>
          <w:color w:val="auto"/>
        </w:rPr>
        <w:t>Amendment</w:t>
      </w:r>
      <w:r>
        <w:rPr>
          <w:rFonts w:ascii="Arial" w:cs="Arial" w:eastAsia="Arial" w:hAnsi="Arial"/>
          <w:sz w:val="20"/>
          <w:szCs w:val="20"/>
          <w:color w:val="auto"/>
        </w:rPr>
        <w:t>”), effective February 25, 2019 (“</w:t>
      </w:r>
      <w:r>
        <w:rPr>
          <w:rFonts w:ascii="Arial" w:cs="Arial" w:eastAsia="Arial" w:hAnsi="Arial"/>
          <w:sz w:val="20"/>
          <w:szCs w:val="20"/>
          <w:b w:val="1"/>
          <w:bCs w:val="1"/>
          <w:color w:val="auto"/>
        </w:rPr>
        <w:t>Fourth</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is by and between F. Hoffmann-La Roche Ltd, with an office and</w:t>
      </w:r>
      <w:r>
        <w:rPr>
          <w:rFonts w:ascii="Arial" w:cs="Arial" w:eastAsia="Arial" w:hAnsi="Arial"/>
          <w:sz w:val="20"/>
          <w:szCs w:val="20"/>
          <w:b w:val="1"/>
          <w:bCs w:val="1"/>
          <w:color w:val="auto"/>
        </w:rPr>
        <w:t xml:space="preserve"> </w:t>
      </w:r>
      <w:r>
        <w:rPr>
          <w:rFonts w:ascii="Arial" w:cs="Arial" w:eastAsia="Arial" w:hAnsi="Arial"/>
          <w:sz w:val="20"/>
          <w:szCs w:val="20"/>
          <w:color w:val="auto"/>
        </w:rPr>
        <w:t>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 and Blueprint Medicines Corporation, located at 45 Sidney Street, Cambridge, Massachusetts 02139 U.S.A. (“</w:t>
      </w:r>
      <w:r>
        <w:rPr>
          <w:rFonts w:ascii="Arial" w:cs="Arial" w:eastAsia="Arial" w:hAnsi="Arial"/>
          <w:sz w:val="20"/>
          <w:szCs w:val="20"/>
          <w:b w:val="1"/>
          <w:bCs w:val="1"/>
          <w:color w:val="auto"/>
        </w:rPr>
        <w:t>BPM</w:t>
      </w:r>
      <w:r>
        <w:rPr>
          <w:rFonts w:ascii="Arial" w:cs="Arial" w:eastAsia="Arial" w:hAnsi="Arial"/>
          <w:sz w:val="20"/>
          <w:szCs w:val="20"/>
          <w:color w:val="auto"/>
        </w:rPr>
        <w:t>”). Capitalized terms used and not otherwise defined in this Amendment shall have the meanings set forth in the Agreement.</w:t>
      </w:r>
    </w:p>
    <w:p>
      <w:pPr>
        <w:spacing w:after="0" w:line="196"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20"/>
          <w:szCs w:val="20"/>
          <w:color w:val="auto"/>
        </w:rPr>
        <w:t>WHEREAS, BPM and Roche entered into a Collaboration and License Agreement, dated March 14, 2016, as amended by an amendment, effective April 15, 2016, a second amendment, effective April 27, 2016, and a third amendment, effective August 4, 2016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95" w:lineRule="exact"/>
        <w:rPr>
          <w:sz w:val="20"/>
          <w:szCs w:val="20"/>
          <w:color w:val="auto"/>
        </w:rPr>
      </w:pPr>
    </w:p>
    <w:p>
      <w:pPr>
        <w:jc w:val="both"/>
        <w:ind w:left="160" w:right="139" w:firstLine="648"/>
        <w:spacing w:after="0" w:line="236" w:lineRule="auto"/>
        <w:rPr>
          <w:sz w:val="20"/>
          <w:szCs w:val="20"/>
          <w:color w:val="auto"/>
        </w:rPr>
      </w:pPr>
      <w:r>
        <w:rPr>
          <w:rFonts w:ascii="Arial" w:cs="Arial" w:eastAsia="Arial" w:hAnsi="Arial"/>
          <w:sz w:val="20"/>
          <w:szCs w:val="20"/>
          <w:color w:val="auto"/>
        </w:rPr>
        <w:t>WHEREAS, BPM and Roche desire to amend certain terms under the Agreement, as set forth below;</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202" w:lineRule="exact"/>
        <w:rPr>
          <w:sz w:val="20"/>
          <w:szCs w:val="20"/>
          <w:color w:val="auto"/>
        </w:rPr>
      </w:pPr>
    </w:p>
    <w:p>
      <w:pPr>
        <w:ind w:left="160" w:right="159" w:firstLine="639"/>
        <w:spacing w:after="0" w:line="236" w:lineRule="auto"/>
        <w:tabs>
          <w:tab w:leader="none" w:pos="1528" w:val="left"/>
        </w:tabs>
        <w:numPr>
          <w:ilvl w:val="0"/>
          <w:numId w:val="80"/>
        </w:numPr>
        <w:rPr>
          <w:rFonts w:ascii="Arial" w:cs="Arial" w:eastAsia="Arial" w:hAnsi="Arial"/>
          <w:sz w:val="20"/>
          <w:szCs w:val="20"/>
          <w:color w:val="auto"/>
        </w:rPr>
      </w:pPr>
      <w:r>
        <w:rPr>
          <w:rFonts w:ascii="Arial" w:cs="Arial" w:eastAsia="Arial" w:hAnsi="Arial"/>
          <w:sz w:val="20"/>
          <w:szCs w:val="20"/>
          <w:color w:val="auto"/>
        </w:rPr>
        <w:t>Section 1.86 (Option Period) of the Agreement shall be deleted in its entirety and replaced by the following:</w:t>
      </w:r>
    </w:p>
    <w:p>
      <w:pPr>
        <w:spacing w:after="0" w:line="200" w:lineRule="exact"/>
        <w:rPr>
          <w:sz w:val="20"/>
          <w:szCs w:val="20"/>
          <w:color w:val="auto"/>
        </w:rPr>
      </w:pPr>
    </w:p>
    <w:p>
      <w:pPr>
        <w:spacing w:after="0" w:line="212" w:lineRule="exact"/>
        <w:rPr>
          <w:sz w:val="20"/>
          <w:szCs w:val="20"/>
          <w:color w:val="auto"/>
        </w:rPr>
      </w:pPr>
    </w:p>
    <w:p>
      <w:pPr>
        <w:jc w:val="both"/>
        <w:ind w:left="1440" w:right="139"/>
        <w:spacing w:after="0" w:line="225" w:lineRule="auto"/>
        <w:rPr>
          <w:sz w:val="20"/>
          <w:szCs w:val="20"/>
          <w:color w:val="auto"/>
        </w:rPr>
      </w:pPr>
      <w:r>
        <w:rPr>
          <w:rFonts w:ascii="Arial" w:cs="Arial" w:eastAsia="Arial" w:hAnsi="Arial"/>
          <w:sz w:val="20"/>
          <w:szCs w:val="20"/>
          <w:color w:val="auto"/>
        </w:rPr>
        <w:t>“The term ‘Option Period’ shall mean, for each Collaboration Target, the period beginning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w:t>
      </w:r>
    </w:p>
    <w:p>
      <w:pPr>
        <w:spacing w:after="0" w:line="4" w:lineRule="exact"/>
        <w:rPr>
          <w:sz w:val="20"/>
          <w:szCs w:val="20"/>
          <w:color w:val="auto"/>
        </w:rPr>
      </w:pPr>
    </w:p>
    <w:p>
      <w:pPr>
        <w:jc w:val="both"/>
        <w:ind w:left="1440" w:right="139" w:firstLine="7"/>
        <w:spacing w:after="0" w:line="225" w:lineRule="auto"/>
        <w:tabs>
          <w:tab w:leader="none" w:pos="1852"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after achievement of Lead Series Identified Criteria has been confirmed by the JRC for such Collaboration Target if Initiation of the GLP Tox Study has not been achieved for such Collaboration Target prior to such date; </w:t>
      </w:r>
      <w:r>
        <w:rPr>
          <w:rFonts w:ascii="Arial" w:cs="Arial" w:eastAsia="Arial" w:hAnsi="Arial"/>
          <w:sz w:val="20"/>
          <w:szCs w:val="20"/>
          <w:i w:val="1"/>
          <w:iCs w:val="1"/>
          <w:color w:val="auto"/>
        </w:rPr>
        <w:t>provided, however</w:t>
      </w:r>
      <w:r>
        <w:rPr>
          <w:rFonts w:ascii="Arial" w:cs="Arial" w:eastAsia="Arial" w:hAnsi="Arial"/>
          <w:sz w:val="20"/>
          <w:szCs w:val="20"/>
          <w:color w:val="auto"/>
        </w:rPr>
        <w:t>, that</w:t>
      </w:r>
    </w:p>
    <w:p>
      <w:pPr>
        <w:spacing w:after="0" w:line="1" w:lineRule="exact"/>
        <w:rPr>
          <w:rFonts w:ascii="Arial" w:cs="Arial" w:eastAsia="Arial" w:hAnsi="Arial"/>
          <w:sz w:val="20"/>
          <w:szCs w:val="20"/>
          <w:color w:val="auto"/>
        </w:rPr>
      </w:pPr>
    </w:p>
    <w:p>
      <w:pPr>
        <w:jc w:val="both"/>
        <w:ind w:left="1440" w:right="139" w:firstLine="7"/>
        <w:spacing w:after="0" w:line="225" w:lineRule="auto"/>
        <w:tabs>
          <w:tab w:leader="none" w:pos="1850"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for purposes of this clause 1.86(v), [***];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(1) in the event that the JRC [***], then (A) [***] and (B) [***]; and (2) in the event that (A) the JRC</w:t>
      </w:r>
    </w:p>
    <w:p>
      <w:pPr>
        <w:ind w:left="1840" w:hanging="393"/>
        <w:spacing w:after="0"/>
        <w:tabs>
          <w:tab w:leader="none" w:pos="1840"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and (B) if the JRC [***], then [***].”</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60" w:right="159" w:firstLine="639"/>
        <w:spacing w:after="0" w:line="225" w:lineRule="auto"/>
        <w:tabs>
          <w:tab w:leader="none" w:pos="1514"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first sentence of Section 4.1.6 of the Agreement shall be deleted in its entirety and replaced by the following:</w:t>
      </w:r>
    </w:p>
    <w:p>
      <w:pPr>
        <w:jc w:val="both"/>
        <w:ind w:left="1440" w:right="139"/>
        <w:spacing w:after="0" w:line="231" w:lineRule="auto"/>
        <w:rPr>
          <w:rFonts w:ascii="Arial" w:cs="Arial" w:eastAsia="Arial" w:hAnsi="Arial"/>
          <w:sz w:val="20"/>
          <w:szCs w:val="20"/>
          <w:color w:val="auto"/>
        </w:rPr>
      </w:pPr>
      <w:r>
        <w:rPr>
          <w:rFonts w:ascii="Arial" w:cs="Arial" w:eastAsia="Arial" w:hAnsi="Arial"/>
          <w:sz w:val="20"/>
          <w:szCs w:val="20"/>
          <w:color w:val="auto"/>
        </w:rPr>
        <w:t>“Part 2 shall start with Screening of Library Compounds selected by both Parties (e.g., the diversity set comprised in BPM Technology) in both assays performed by BPM (Jurkat-cell based) and by Roche ([***]), and the screening and validation phase of Part 2 shall end on the earlier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469265</wp:posOffset>
            </wp:positionV>
            <wp:extent cx="554863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8" w:name="page149"/>
    <w:bookmarkEnd w:id="148"/>
    <w:p>
      <w:pPr>
        <w:ind w:left="160" w:right="139" w:firstLine="639"/>
        <w:spacing w:after="0" w:line="236" w:lineRule="auto"/>
        <w:tabs>
          <w:tab w:leader="none" w:pos="1528" w:val="left"/>
        </w:tabs>
        <w:numPr>
          <w:ilvl w:val="0"/>
          <w:numId w:val="82"/>
        </w:numPr>
        <w:rPr>
          <w:rFonts w:ascii="Arial" w:cs="Arial" w:eastAsia="Arial" w:hAnsi="Arial"/>
          <w:sz w:val="20"/>
          <w:szCs w:val="20"/>
          <w:color w:val="auto"/>
        </w:rPr>
      </w:pPr>
      <w:r>
        <w:rPr>
          <w:rFonts w:ascii="Arial" w:cs="Arial" w:eastAsia="Arial" w:hAnsi="Arial"/>
          <w:sz w:val="20"/>
          <w:szCs w:val="20"/>
          <w:color w:val="auto"/>
        </w:rPr>
        <w:t>Pursuant to Section 21.13 of the Agreement, the notice address for Blueprint shall be deleted and replaced with the following:</w:t>
      </w:r>
    </w:p>
    <w:p>
      <w:pPr>
        <w:spacing w:after="0" w:line="182" w:lineRule="exact"/>
        <w:rPr>
          <w:sz w:val="20"/>
          <w:szCs w:val="20"/>
          <w:color w:val="auto"/>
        </w:rPr>
      </w:pPr>
    </w:p>
    <w:p>
      <w:pPr>
        <w:jc w:val="center"/>
        <w:ind w:right="179"/>
        <w:spacing w:after="0"/>
        <w:tabs>
          <w:tab w:leader="none" w:pos="220" w:val="left"/>
        </w:tabs>
        <w:rPr>
          <w:sz w:val="20"/>
          <w:szCs w:val="20"/>
          <w:color w:val="auto"/>
        </w:rPr>
      </w:pPr>
      <w:r>
        <w:rPr>
          <w:rFonts w:ascii="Arial" w:cs="Arial" w:eastAsia="Arial" w:hAnsi="Arial"/>
          <w:sz w:val="20"/>
          <w:szCs w:val="20"/>
          <w:color w:val="auto"/>
        </w:rPr>
        <w:t>if to BPM, to:</w:t>
      </w:r>
      <w:r>
        <w:rPr>
          <w:sz w:val="20"/>
          <w:szCs w:val="20"/>
          <w:color w:val="auto"/>
        </w:rPr>
        <w:tab/>
      </w:r>
      <w:r>
        <w:rPr>
          <w:rFonts w:ascii="Arial" w:cs="Arial" w:eastAsia="Arial" w:hAnsi="Arial"/>
          <w:sz w:val="19"/>
          <w:szCs w:val="19"/>
          <w:color w:val="auto"/>
        </w:rPr>
        <w:t>Blueprint Medicines Corporation</w:t>
      </w:r>
    </w:p>
    <w:p>
      <w:pPr>
        <w:jc w:val="center"/>
        <w:ind w:right="139"/>
        <w:spacing w:after="0" w:line="225" w:lineRule="auto"/>
        <w:rPr>
          <w:sz w:val="20"/>
          <w:szCs w:val="20"/>
          <w:color w:val="auto"/>
        </w:rPr>
      </w:pPr>
      <w:r>
        <w:rPr>
          <w:rFonts w:ascii="Arial" w:cs="Arial" w:eastAsia="Arial" w:hAnsi="Arial"/>
          <w:sz w:val="20"/>
          <w:szCs w:val="20"/>
          <w:color w:val="auto"/>
        </w:rPr>
        <w:t>45 Sidney Street</w:t>
      </w:r>
    </w:p>
    <w:p>
      <w:pPr>
        <w:ind w:left="3700"/>
        <w:spacing w:after="0" w:line="226" w:lineRule="auto"/>
        <w:rPr>
          <w:sz w:val="20"/>
          <w:szCs w:val="20"/>
          <w:color w:val="auto"/>
        </w:rPr>
      </w:pPr>
      <w:r>
        <w:rPr>
          <w:rFonts w:ascii="Arial" w:cs="Arial" w:eastAsia="Arial" w:hAnsi="Arial"/>
          <w:sz w:val="20"/>
          <w:szCs w:val="20"/>
          <w:color w:val="auto"/>
        </w:rPr>
        <w:t>Cambridge, Massachusetts 02139</w:t>
      </w:r>
    </w:p>
    <w:p>
      <w:pPr>
        <w:ind w:left="3700"/>
        <w:spacing w:after="0" w:line="225" w:lineRule="auto"/>
        <w:rPr>
          <w:sz w:val="20"/>
          <w:szCs w:val="20"/>
          <w:color w:val="auto"/>
        </w:rPr>
      </w:pPr>
      <w:r>
        <w:rPr>
          <w:rFonts w:ascii="Arial" w:cs="Arial" w:eastAsia="Arial" w:hAnsi="Arial"/>
          <w:sz w:val="20"/>
          <w:szCs w:val="20"/>
          <w:color w:val="auto"/>
        </w:rPr>
        <w:t>U.S.A.</w:t>
      </w:r>
    </w:p>
    <w:p>
      <w:pPr>
        <w:jc w:val="center"/>
        <w:ind w:right="-480"/>
        <w:spacing w:after="0"/>
        <w:rPr>
          <w:sz w:val="20"/>
          <w:szCs w:val="20"/>
          <w:color w:val="auto"/>
        </w:rPr>
      </w:pPr>
      <w:r>
        <w:rPr>
          <w:rFonts w:ascii="Arial" w:cs="Arial" w:eastAsia="Arial" w:hAnsi="Arial"/>
          <w:sz w:val="20"/>
          <w:szCs w:val="20"/>
          <w:color w:val="auto"/>
        </w:rPr>
        <w:t>Attn: Legal Department</w:t>
      </w:r>
    </w:p>
    <w:p>
      <w:pPr>
        <w:spacing w:after="0" w:line="202"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20"/>
          <w:szCs w:val="20"/>
          <w:color w:val="auto"/>
        </w:rPr>
        <w:t>This Amendment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99" w:lineRule="exact"/>
        <w:rPr>
          <w:sz w:val="20"/>
          <w:szCs w:val="20"/>
          <w:color w:val="auto"/>
        </w:rPr>
      </w:pPr>
    </w:p>
    <w:p>
      <w:pPr>
        <w:jc w:val="both"/>
        <w:ind w:left="160" w:right="139" w:firstLine="648"/>
        <w:spacing w:after="0" w:line="228" w:lineRule="auto"/>
        <w:rPr>
          <w:sz w:val="20"/>
          <w:szCs w:val="20"/>
          <w:color w:val="auto"/>
        </w:rPr>
      </w:pPr>
      <w:r>
        <w:rPr>
          <w:rFonts w:ascii="Arial" w:cs="Arial" w:eastAsia="Arial" w:hAnsi="Arial"/>
          <w:sz w:val="20"/>
          <w:szCs w:val="20"/>
          <w:color w:val="auto"/>
        </w:rPr>
        <w:t>This Amendment shall be effective as of the Fourth Amendment Effective Date. On and after the Fourth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Amendment. Except as specifically amended above, the Agreement shall remain in full force and effect in accordance with its terms and is hereby ratified and confirmed.</w:t>
      </w:r>
    </w:p>
    <w:p>
      <w:pPr>
        <w:spacing w:after="0" w:line="199"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20"/>
          <w:szCs w:val="20"/>
          <w:color w:val="auto"/>
        </w:rPr>
        <w:t>This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486410</wp:posOffset>
            </wp:positionV>
            <wp:extent cx="554863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49" w:name="page150"/>
    <w:bookmarkEnd w:id="149"/>
    <w:p>
      <w:pPr>
        <w:ind w:left="160" w:right="259" w:firstLine="648"/>
        <w:spacing w:after="0" w:line="236" w:lineRule="auto"/>
        <w:rPr>
          <w:sz w:val="20"/>
          <w:szCs w:val="20"/>
          <w:color w:val="auto"/>
        </w:rPr>
      </w:pPr>
      <w:r>
        <w:rPr>
          <w:rFonts w:ascii="Arial" w:cs="Arial" w:eastAsia="Arial" w:hAnsi="Arial"/>
          <w:sz w:val="20"/>
          <w:szCs w:val="20"/>
          <w:color w:val="auto"/>
        </w:rPr>
        <w:t>IN WITNESS WHEREOF, the parties have caused this Amendment to be executed by their duly authorized representatives.</w:t>
      </w:r>
    </w:p>
    <w:p>
      <w:pPr>
        <w:sectPr>
          <w:pgSz w:w="11900" w:h="16838" w:orient="portrait"/>
          <w:cols w:equalWidth="0" w:num="1">
            <w:col w:w="9019"/>
          </w:cols>
          <w:pgMar w:left="14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Blueprint Medicines Corporation</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4701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96"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Jeffrey W. Albers</w:t>
      </w:r>
    </w:p>
    <w:p>
      <w:pPr>
        <w:spacing w:after="0" w:line="94"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20"/>
          <w:szCs w:val="20"/>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 Hoffmann-La Roche Ltd</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2726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96"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Stefan Arnold</w:t>
      </w:r>
    </w:p>
    <w:p>
      <w:pPr>
        <w:spacing w:after="0" w:line="94"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20"/>
          <w:szCs w:val="20"/>
          <w:color w:val="auto"/>
        </w:rPr>
        <w:t>Title:</w:t>
        <w:tab/>
        <w:t>Head Legal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4701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96"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John P. Parise</w:t>
      </w:r>
    </w:p>
    <w:p>
      <w:pPr>
        <w:spacing w:after="0" w:line="94"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20"/>
          <w:szCs w:val="20"/>
          <w:color w:val="auto"/>
        </w:rPr>
        <w:t>Title:</w:t>
        <w:tab/>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 Barbara</w:t>
      </w:r>
    </w:p>
    <w:p>
      <w:pPr>
        <w:spacing w:after="0"/>
        <w:rPr>
          <w:sz w:val="20"/>
          <w:szCs w:val="20"/>
          <w:color w:val="auto"/>
        </w:rPr>
      </w:pPr>
      <w:r>
        <w:rPr>
          <w:rFonts w:ascii="Arial" w:cs="Arial" w:eastAsia="Arial" w:hAnsi="Arial"/>
          <w:sz w:val="20"/>
          <w:szCs w:val="20"/>
          <w:color w:val="auto"/>
        </w:rPr>
        <w:t>Luekel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44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Barbara Luekel</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Global Business Development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3173730</wp:posOffset>
            </wp:positionV>
            <wp:extent cx="554863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2">
            <w:col w:w="3760" w:space="720"/>
            <w:col w:w="4539"/>
          </w:cols>
          <w:pgMar w:left="1440" w:top="136" w:right="1440" w:bottom="1440" w:gutter="0" w:footer="0" w:header="0"/>
          <w:type w:val="continuous"/>
        </w:sectPr>
      </w:pPr>
    </w:p>
    <w:bookmarkStart w:id="150" w:name="page151"/>
    <w:bookmarkEnd w:id="150"/>
    <w:p>
      <w:pPr>
        <w:ind w:left="7940"/>
        <w:spacing w:after="0"/>
        <w:rPr>
          <w:sz w:val="20"/>
          <w:szCs w:val="20"/>
          <w:color w:val="auto"/>
        </w:rPr>
      </w:pPr>
      <w:r>
        <w:rPr>
          <w:rFonts w:ascii="Arial" w:cs="Arial" w:eastAsia="Arial" w:hAnsi="Arial"/>
          <w:sz w:val="16"/>
          <w:szCs w:val="16"/>
          <w:b w:val="1"/>
          <w:bCs w:val="1"/>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2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Entity</w:t>
            </w:r>
          </w:p>
        </w:tc>
        <w:tc>
          <w:tcPr>
            <w:tcW w:w="300" w:type="dxa"/>
            <w:vAlign w:val="bottom"/>
          </w:tcPr>
          <w:p>
            <w:pPr>
              <w:spacing w:after="0"/>
              <w:rPr>
                <w:sz w:val="17"/>
                <w:szCs w:val="17"/>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1100" w:type="dxa"/>
            <w:vAlign w:val="bottom"/>
          </w:tcPr>
          <w:p>
            <w:pPr>
              <w:spacing w:after="0"/>
              <w:rPr>
                <w:sz w:val="17"/>
                <w:szCs w:val="17"/>
                <w:color w:val="auto"/>
              </w:rPr>
            </w:pPr>
          </w:p>
        </w:tc>
      </w:tr>
      <w:tr>
        <w:trPr>
          <w:trHeight w:val="304"/>
        </w:trPr>
        <w:tc>
          <w:tcPr>
            <w:tcW w:w="1100" w:type="dxa"/>
            <w:vAlign w:val="bottom"/>
          </w:tcPr>
          <w:p>
            <w:pPr>
              <w:spacing w:after="0"/>
              <w:rPr>
                <w:sz w:val="24"/>
                <w:szCs w:val="24"/>
                <w:color w:val="auto"/>
              </w:rPr>
            </w:pP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Blueprint Medicines Security Corporation</w:t>
            </w:r>
          </w:p>
        </w:tc>
        <w:tc>
          <w:tcPr>
            <w:tcW w:w="298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c>
          <w:tcPr>
            <w:tcW w:w="1100" w:type="dxa"/>
            <w:vAlign w:val="bottom"/>
          </w:tcPr>
          <w:p>
            <w:pPr>
              <w:spacing w:after="0"/>
              <w:rPr>
                <w:sz w:val="24"/>
                <w:szCs w:val="24"/>
                <w:color w:val="auto"/>
              </w:rPr>
            </w:pPr>
          </w:p>
        </w:tc>
      </w:tr>
      <w:tr>
        <w:trPr>
          <w:trHeight w:val="284"/>
        </w:trPr>
        <w:tc>
          <w:tcPr>
            <w:tcW w:w="1100" w:type="dxa"/>
            <w:vAlign w:val="bottom"/>
          </w:tcPr>
          <w:p>
            <w:pPr>
              <w:spacing w:after="0"/>
              <w:rPr>
                <w:sz w:val="24"/>
                <w:szCs w:val="24"/>
                <w:color w:val="auto"/>
              </w:rPr>
            </w:pP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Blueprint Medicines (Switzerland) GmbH</w:t>
            </w: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1100" w:type="dxa"/>
            <w:vAlign w:val="bottom"/>
          </w:tcPr>
          <w:p>
            <w:pPr>
              <w:spacing w:after="0"/>
              <w:rPr>
                <w:sz w:val="24"/>
                <w:szCs w:val="24"/>
                <w:color w:val="auto"/>
              </w:rPr>
            </w:pPr>
          </w:p>
        </w:tc>
      </w:tr>
      <w:tr>
        <w:trPr>
          <w:trHeight w:val="284"/>
        </w:trPr>
        <w:tc>
          <w:tcPr>
            <w:tcW w:w="1100" w:type="dxa"/>
            <w:vAlign w:val="bottom"/>
          </w:tcPr>
          <w:p>
            <w:pPr>
              <w:spacing w:after="0"/>
              <w:rPr>
                <w:sz w:val="24"/>
                <w:szCs w:val="24"/>
                <w:color w:val="auto"/>
              </w:rPr>
            </w:pP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Blueprint Medicines (Netherlands) B.V.</w:t>
            </w: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100" w:type="dxa"/>
            <w:vAlign w:val="bottom"/>
          </w:tcPr>
          <w:p>
            <w:pPr>
              <w:spacing w:after="0"/>
              <w:rPr>
                <w:sz w:val="24"/>
                <w:szCs w:val="24"/>
                <w:color w:val="auto"/>
              </w:rPr>
            </w:pPr>
          </w:p>
        </w:tc>
      </w:tr>
      <w:tr>
        <w:trPr>
          <w:trHeight w:val="952"/>
        </w:trPr>
        <w:tc>
          <w:tcPr>
            <w:tcW w:w="1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51" w:name="page152"/>
    <w:bookmarkEnd w:id="151"/>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120" w:hanging="321"/>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S-3 No. 333-216573) of Blueprint Medicines Corporation,</w:t>
      </w:r>
    </w:p>
    <w:p>
      <w:pPr>
        <w:spacing w:after="0" w:line="225" w:lineRule="exact"/>
        <w:rPr>
          <w:rFonts w:ascii="Arial" w:cs="Arial" w:eastAsia="Arial" w:hAnsi="Arial"/>
          <w:sz w:val="18"/>
          <w:szCs w:val="18"/>
          <w:color w:val="auto"/>
        </w:rPr>
      </w:pPr>
    </w:p>
    <w:p>
      <w:pPr>
        <w:jc w:val="both"/>
        <w:ind w:left="1120" w:right="379" w:hanging="321"/>
        <w:spacing w:after="0" w:line="264" w:lineRule="auto"/>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333-203749) pertaining to the 2011 Stock Option and Grant Plan, 2015 Stock Option and Incentive Plan, and 2015 Employee Stock Purchase Plan of Blueprint Medicines Corporation, and</w:t>
      </w:r>
    </w:p>
    <w:p>
      <w:pPr>
        <w:spacing w:after="0" w:line="181" w:lineRule="exact"/>
        <w:rPr>
          <w:rFonts w:ascii="Arial" w:cs="Arial" w:eastAsia="Arial" w:hAnsi="Arial"/>
          <w:sz w:val="18"/>
          <w:szCs w:val="18"/>
          <w:color w:val="auto"/>
        </w:rPr>
      </w:pPr>
    </w:p>
    <w:p>
      <w:pPr>
        <w:ind w:left="1120" w:right="219" w:hanging="321"/>
        <w:spacing w:after="0" w:line="264" w:lineRule="auto"/>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Statements (Form S-8 Nos. 333-210125, 333-216575 and 333-223131) pertaining to the 2015 Stock Option and Incentive Plan and 2015 Employee Stock Purchase Plan of Blueprint Medicines Corporation;</w:t>
      </w:r>
    </w:p>
    <w:p>
      <w:pPr>
        <w:spacing w:after="0" w:line="181" w:lineRule="exact"/>
        <w:rPr>
          <w:sz w:val="20"/>
          <w:szCs w:val="20"/>
          <w:color w:val="auto"/>
        </w:rPr>
      </w:pPr>
    </w:p>
    <w:p>
      <w:pPr>
        <w:ind w:left="160" w:right="199"/>
        <w:spacing w:after="0" w:line="312" w:lineRule="auto"/>
        <w:rPr>
          <w:sz w:val="20"/>
          <w:szCs w:val="20"/>
          <w:color w:val="auto"/>
        </w:rPr>
      </w:pPr>
      <w:r>
        <w:rPr>
          <w:rFonts w:ascii="Arial" w:cs="Arial" w:eastAsia="Arial" w:hAnsi="Arial"/>
          <w:sz w:val="16"/>
          <w:szCs w:val="16"/>
          <w:color w:val="auto"/>
        </w:rPr>
        <w:t>of our reports dated February 26, 2019,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2018.</w:t>
      </w:r>
    </w:p>
    <w:p>
      <w:pPr>
        <w:spacing w:after="0" w:line="14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142875</wp:posOffset>
            </wp:positionV>
            <wp:extent cx="554863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2" w:name="page153"/>
    <w:bookmarkEnd w:id="152"/>
    <w:p>
      <w:pPr>
        <w:jc w:val="right"/>
        <w:ind w:right="139"/>
        <w:spacing w:after="0"/>
        <w:rPr>
          <w:sz w:val="20"/>
          <w:szCs w:val="20"/>
          <w:color w:val="auto"/>
        </w:rPr>
      </w:pPr>
      <w:r>
        <w:rPr>
          <w:rFonts w:ascii="Arial" w:cs="Arial" w:eastAsia="Arial" w:hAnsi="Arial"/>
          <w:sz w:val="18"/>
          <w:szCs w:val="18"/>
          <w:b w:val="1"/>
          <w:bCs w:val="1"/>
          <w:color w:val="auto"/>
        </w:rPr>
        <w:t>Exhibit 31.1</w:t>
      </w: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-635</wp:posOffset>
            </wp:positionV>
            <wp:extent cx="25984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Jeffrey W. Albers</w:t>
      </w:r>
    </w:p>
    <w:p>
      <w:pPr>
        <w:ind w:left="4780"/>
        <w:spacing w:after="0" w:line="204" w:lineRule="auto"/>
        <w:rPr>
          <w:sz w:val="20"/>
          <w:szCs w:val="20"/>
          <w:color w:val="auto"/>
        </w:rPr>
      </w:pPr>
      <w:r>
        <w:rPr>
          <w:rFonts w:ascii="Arial" w:cs="Arial" w:eastAsia="Arial" w:hAnsi="Arial"/>
          <w:sz w:val="18"/>
          <w:szCs w:val="18"/>
          <w:color w:val="auto"/>
        </w:rPr>
        <w:t>President and Chief Executive Officer</w:t>
      </w: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53" w:name="page154"/>
    <w:bookmarkEnd w:id="153"/>
    <w:p>
      <w:pPr>
        <w:jc w:val="right"/>
        <w:ind w:right="139"/>
        <w:spacing w:after="0"/>
        <w:rPr>
          <w:sz w:val="20"/>
          <w:szCs w:val="20"/>
          <w:color w:val="auto"/>
        </w:rPr>
      </w:pPr>
      <w:r>
        <w:rPr>
          <w:rFonts w:ascii="Arial" w:cs="Arial" w:eastAsia="Arial" w:hAnsi="Arial"/>
          <w:sz w:val="18"/>
          <w:szCs w:val="18"/>
          <w:b w:val="1"/>
          <w:bCs w:val="1"/>
          <w:color w:val="auto"/>
        </w:rPr>
        <w:t>Exhibit 31.2</w:t>
      </w: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-635</wp:posOffset>
            </wp:positionV>
            <wp:extent cx="25984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Michael Landsittel</w:t>
      </w:r>
    </w:p>
    <w:p>
      <w:pPr>
        <w:ind w:left="4780"/>
        <w:spacing w:after="0" w:line="204" w:lineRule="auto"/>
        <w:rPr>
          <w:sz w:val="20"/>
          <w:szCs w:val="20"/>
          <w:color w:val="auto"/>
        </w:rPr>
      </w:pPr>
      <w:r>
        <w:rPr>
          <w:rFonts w:ascii="Arial" w:cs="Arial" w:eastAsia="Arial" w:hAnsi="Arial"/>
          <w:sz w:val="18"/>
          <w:szCs w:val="18"/>
          <w:color w:val="auto"/>
        </w:rPr>
        <w:t>Chief Financial Officer</w:t>
      </w:r>
    </w:p>
    <w:p>
      <w:pPr>
        <w:ind w:left="4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4" w:name="page155"/>
    <w:bookmarkEnd w:id="154"/>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Annual Report on Form 10-K of Blueprint Medicines Corporation (the “Company”) for the year ended December 31, 2018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-635</wp:posOffset>
            </wp:positionV>
            <wp:extent cx="25126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Jeffrey W. Albers</w:t>
      </w:r>
    </w:p>
    <w:p>
      <w:pPr>
        <w:ind w:left="4920"/>
        <w:spacing w:after="0" w:line="204" w:lineRule="auto"/>
        <w:rPr>
          <w:sz w:val="20"/>
          <w:szCs w:val="20"/>
          <w:color w:val="auto"/>
        </w:rPr>
      </w:pPr>
      <w:r>
        <w:rPr>
          <w:rFonts w:ascii="Arial" w:cs="Arial" w:eastAsia="Arial" w:hAnsi="Arial"/>
          <w:sz w:val="18"/>
          <w:szCs w:val="18"/>
          <w:color w:val="auto"/>
        </w:rPr>
        <w:t>President and Chief Executive Officer</w:t>
      </w:r>
    </w:p>
    <w:p>
      <w:pPr>
        <w:ind w:left="4920"/>
        <w:spacing w:after="0"/>
        <w:rPr>
          <w:sz w:val="20"/>
          <w:szCs w:val="20"/>
          <w:color w:val="auto"/>
        </w:rPr>
      </w:pPr>
      <w:r>
        <w:rPr>
          <w:rFonts w:ascii="Arial" w:cs="Arial" w:eastAsia="Arial" w:hAnsi="Arial"/>
          <w:sz w:val="18"/>
          <w:szCs w:val="18"/>
          <w:i w:val="1"/>
          <w:iCs w:val="1"/>
          <w:color w:val="auto"/>
        </w:rPr>
        <w:t>(Principal Executive Officer)</w:t>
      </w:r>
    </w:p>
    <w:p>
      <w:pPr>
        <w:spacing w:after="0" w:line="126"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6"/>
          <w:szCs w:val="16"/>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-635</wp:posOffset>
            </wp:positionV>
            <wp:extent cx="25126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Michael Landsittel</w:t>
      </w:r>
    </w:p>
    <w:p>
      <w:pPr>
        <w:ind w:left="4920"/>
        <w:spacing w:after="0" w:line="204" w:lineRule="auto"/>
        <w:rPr>
          <w:sz w:val="20"/>
          <w:szCs w:val="20"/>
          <w:color w:val="auto"/>
        </w:rPr>
      </w:pPr>
      <w:r>
        <w:rPr>
          <w:rFonts w:ascii="Arial" w:cs="Arial" w:eastAsia="Arial" w:hAnsi="Arial"/>
          <w:sz w:val="18"/>
          <w:szCs w:val="18"/>
          <w:color w:val="auto"/>
        </w:rPr>
        <w:t>Chief Financial Officer</w:t>
      </w:r>
    </w:p>
    <w:p>
      <w:pPr>
        <w:ind w:left="49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decimal"/>
      <w:start w:val="2"/>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lowerRoman"/>
      <w:start w:val="3"/>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lvl w:ilvl="1">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lowerRoman"/>
      <w:start w:val="3"/>
    </w:lvl>
  </w:abstractNum>
  <w:abstractNum w:abstractNumId="54">
    <w:nsid w:val="98A3148"/>
    <w:multiLevelType w:val="hybridMultilevel"/>
    <w:lvl w:ilvl="0">
      <w:lvlJc w:val="left"/>
      <w:lvlText w:val="%1."/>
      <w:numFmt w:val="decimal"/>
      <w:start w:val="606"/>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3"/>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lowerRoman"/>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1"/>
    </w:lvl>
    <w:lvl w:ilvl="1">
      <w:lvlJc w:val="left"/>
      <w:lvlText w:val="[***]"/>
      <w:numFmt w:val="bullet"/>
      <w:start w:val="1"/>
    </w:lvl>
  </w:abstractNum>
  <w:abstractNum w:abstractNumId="81">
    <w:nsid w:val="100F59DC"/>
    <w:multiLevelType w:val="hybridMultilevel"/>
    <w:lvl w:ilvl="0">
      <w:lvlJc w:val="left"/>
      <w:lvlText w:val="%1."/>
      <w:numFmt w:val="decimal"/>
      <w:start w:val="3"/>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2"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135" Type="http://schemas.openxmlformats.org/officeDocument/2006/relationships/hyperlink" Target="http://www.sec.gov/Archives/edgar/data/1597264/000155837015002529/bpmc-20150930ex3100367a3.htm" TargetMode="External"/><Relationship Id="rId136" Type="http://schemas.openxmlformats.org/officeDocument/2006/relationships/hyperlink" Target="http://www.sec.gov/Archives/edgar/data/1597264/000155837015002529/bpmc-20150930ex32d28c430.htm" TargetMode="External"/><Relationship Id="rId137" Type="http://schemas.openxmlformats.org/officeDocument/2006/relationships/hyperlink" Target="http://www.sec.gov/Archives/edgar/data/1597264/000104746915003668/a2224211zex-4_1.htm" TargetMode="External"/><Relationship Id="rId138" Type="http://schemas.openxmlformats.org/officeDocument/2006/relationships/hyperlink" Target="http://www.sec.gov/Archives/edgar/data/1597264/000104746915002608/a2223883zex-4_4.htm" TargetMode="External"/><Relationship Id="rId139" Type="http://schemas.openxmlformats.org/officeDocument/2006/relationships/hyperlink" Target="http://www.sec.gov/Archives/edgar/data/1597264/000104746915002608/a2223883zex-10_1.htm" TargetMode="External"/><Relationship Id="rId140" Type="http://schemas.openxmlformats.org/officeDocument/2006/relationships/hyperlink" Target="http://www.sec.gov/Archives/edgar/data/1597264/000155837016004066/bpmc-20151231ex102677f1d.htm" TargetMode="External"/><Relationship Id="rId141" Type="http://schemas.openxmlformats.org/officeDocument/2006/relationships/hyperlink" Target="http://www.sec.gov/Archives/edgar/data/1597264/000155837018006090/bpmc-20180630ex10297eaee.htm" TargetMode="External"/><Relationship Id="rId142" Type="http://schemas.openxmlformats.org/officeDocument/2006/relationships/hyperlink" Target="http://www.sec.gov/Archives/edgar/data/1597264/000155837018006090/bpmc-20180630ex1035d999c.htm" TargetMode="External"/><Relationship Id="rId143" Type="http://schemas.openxmlformats.org/officeDocument/2006/relationships/hyperlink" Target="http://www.sec.gov/Archives/edgar/data/1597264/000155837018006090/bpmc-20180630ex10422f583.htm" TargetMode="External"/><Relationship Id="rId144" Type="http://schemas.openxmlformats.org/officeDocument/2006/relationships/hyperlink" Target="http://www.sec.gov/Archives/edgar/data/1597264/000155837018006090/bpmc-20180630ex10598ed30.htm" TargetMode="External"/><Relationship Id="rId145" Type="http://schemas.openxmlformats.org/officeDocument/2006/relationships/hyperlink" Target="http://www.sec.gov/Archives/edgar/data/1597264/000155837018006090/bpmc-20180630ex106ddd629.htm" TargetMode="External"/><Relationship Id="rId146" Type="http://schemas.openxmlformats.org/officeDocument/2006/relationships/hyperlink" Target="http://www.sec.gov/Archives/edgar/data/1597264/000110465915032381/a15-10041_1ex99d3.htm" TargetMode="External"/><Relationship Id="rId147" Type="http://schemas.openxmlformats.org/officeDocument/2006/relationships/hyperlink" Target="http://www.sec.gov/Archives/edgar/data/1597264/000104746915002608/a2223883zex-10_4.htm" TargetMode="External"/><Relationship Id="rId148" Type="http://schemas.openxmlformats.org/officeDocument/2006/relationships/hyperlink" Target="http://www.sec.gov/Archives/edgar/data/1597264/000155837018000862/bpmc-20171231ex105e4bc60.htm" TargetMode="External"/><Relationship Id="rId149" Type="http://schemas.openxmlformats.org/officeDocument/2006/relationships/hyperlink" Target="http://www.sec.gov/Archives/edgar/data/1597264/000155837017003397/bpmc-20170331ex1015d322c.htm" TargetMode="External"/><Relationship Id="rId150" Type="http://schemas.openxmlformats.org/officeDocument/2006/relationships/hyperlink" Target="http://www.sec.gov/Archives/edgar/data/1597264/000155837018007557/ex-10d1.htm" TargetMode="External"/><Relationship Id="rId151" Type="http://schemas.openxmlformats.org/officeDocument/2006/relationships/hyperlink" Target="http://www.sec.gov/Archives/edgar/data/1597264/000155837015002529/bpmc-20150930ex10257b824.htm" TargetMode="External"/><Relationship Id="rId152" Type="http://schemas.openxmlformats.org/officeDocument/2006/relationships/hyperlink" Target="http://www.sec.gov/Archives/edgar/data/1597264/000155837015002529/bpmc-20150930ex1044ce742.htm" TargetMode="External"/><Relationship Id="rId153" Type="http://schemas.openxmlformats.org/officeDocument/2006/relationships/hyperlink" Target="http://www.sec.gov/Archives/edgar/data/1597264/000155837016004066/bpmc-20151231ex109ea407e.htm" TargetMode="External"/><Relationship Id="rId154" Type="http://schemas.openxmlformats.org/officeDocument/2006/relationships/hyperlink" Target="http://www.sec.gov/Archives/edgar/data/1597264/000155837019000364/ex-10d2.htm" TargetMode="External"/><Relationship Id="rId155" Type="http://schemas.openxmlformats.org/officeDocument/2006/relationships/hyperlink" Target="http://www.sec.gov/Archives/edgar/data/1597264/000155837016009951/bpmc-20160930ex1035083d6.htm" TargetMode="External"/><Relationship Id="rId156" Type="http://schemas.openxmlformats.org/officeDocument/2006/relationships/hyperlink" Target="http://www.sec.gov/Archives/edgar/data/1597264/000155837016010074/bpmc_ex101marion-employmen.htm" TargetMode="External"/><Relationship Id="rId157" Type="http://schemas.openxmlformats.org/officeDocument/2006/relationships/hyperlink" Target="http://www.sec.gov/Archives/edgar/data/1597264/000155837017007829/bpmc-20170930ex101a9a4c6.htm" TargetMode="External"/><Relationship Id="rId158" Type="http://schemas.openxmlformats.org/officeDocument/2006/relationships/hyperlink" Target="http://www.sec.gov/Archives/edgar/data/1597264/000155837017009050/ex-10d1.htm" TargetMode="External"/><Relationship Id="rId159" Type="http://schemas.openxmlformats.org/officeDocument/2006/relationships/hyperlink" Target="http://www.sec.gov/Archives/edgar/data/1597264/000155837019000364/ex-10d1.htm" TargetMode="External"/><Relationship Id="rId160" Type="http://schemas.openxmlformats.org/officeDocument/2006/relationships/hyperlink" Target="http://www.sec.gov/Archives/edgar/data/1597264/000155837018007980/ex-10d1.htm" TargetMode="External"/><Relationship Id="rId161" Type="http://schemas.openxmlformats.org/officeDocument/2006/relationships/hyperlink" Target="http://www.sec.gov/Archives/edgar/data/1597264/000155837016006732/bpmc-20160331ex1025287b1.htm" TargetMode="External"/><Relationship Id="rId163" Type="http://schemas.openxmlformats.org/officeDocument/2006/relationships/hyperlink" Target="http://www.sec.gov/Archives/edgar/data/1597264/000155837016007817/bpmc-20160630ex10190ad0c.htm" TargetMode="External"/><Relationship Id="rId164" Type="http://schemas.openxmlformats.org/officeDocument/2006/relationships/hyperlink" Target="http://www.sec.gov/Archives/edgar/data/1597264/000155837016009951/bpmc-20160930ex101983993.htm" TargetMode="External"/><Relationship Id="rId165" Type="http://schemas.openxmlformats.org/officeDocument/2006/relationships/hyperlink" Target="http://www.sec.gov/Archives/edgar/data/1597264/000155837018006090/bpmc-20180630ex101d33531.htm" TargetMode="External"/><Relationship Id="rId166" Type="http://schemas.openxmlformats.org/officeDocument/2006/relationships/hyperlink" Target="http://www.sec.gov/Archives/edgar/data/1597264/000104746915002608/a2223883zex-10_11.htm" TargetMode="External"/><Relationship Id="rId167" Type="http://schemas.openxmlformats.org/officeDocument/2006/relationships/hyperlink" Target="http://www.sec.gov/Archives/edgar/data/1597264/000104746915002608/a2223883zex-10_12.htm" TargetMode="External"/><Relationship Id="rId168" Type="http://schemas.openxmlformats.org/officeDocument/2006/relationships/hyperlink" Target="http://www.sec.gov/Archives/edgar/data/1597264/000155837016004066/bpmc-20151231ex101559e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2019-12-28T15:44:12Z</dcterms:created>
  <dcterms:modified xsi:type="dcterms:W3CDTF">2019-12-28T15:44:12Z</dcterms:modified>
</cp:coreProperties>
</file>