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887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459"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Dorsch Marion</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500" w:type="dxa"/>
            <w:vAlign w:val="bottom"/>
            <w:tcBorders>
              <w:top w:val="single" w:sz="8" w:color="0000EE"/>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03/04/2019</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23"/>
        <w:spacing w:after="0"/>
        <w:rPr>
          <w:sz w:val="20"/>
          <w:szCs w:val="20"/>
          <w:color w:val="auto"/>
        </w:rPr>
      </w:pPr>
      <w:r>
        <w:rPr>
          <w:rFonts w:ascii="Arial" w:cs="Arial" w:eastAsia="Arial" w:hAnsi="Arial"/>
          <w:sz w:val="18"/>
          <w:szCs w:val="18"/>
          <w:color w:val="0000FF"/>
        </w:rPr>
        <w:t>Chief Scientific Officer</w:t>
      </w:r>
    </w:p>
    <w:p>
      <w:pPr>
        <w:spacing w:after="0" w:line="406" w:lineRule="exact"/>
        <w:rPr>
          <w:sz w:val="20"/>
          <w:szCs w:val="20"/>
          <w:color w:val="auto"/>
        </w:rPr>
      </w:pPr>
    </w:p>
    <w:p>
      <w:pPr>
        <w:sectPr>
          <w:pgSz w:w="11900" w:h="16838" w:orient="portrait"/>
          <w:cols w:equalWidth="0" w:num="2">
            <w:col w:w="7980" w:space="77"/>
            <w:col w:w="3463"/>
          </w:cols>
          <w:pgMar w:left="240" w:top="226" w:right="139" w:bottom="459"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9"/>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0" w:type="dxa"/>
            <w:vAlign w:val="bottom"/>
            <w:gridSpan w:val="9"/>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03/04/2019</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8"/>
              </w:rPr>
              <w:t>2,300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37.11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2,300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03/04/2019</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93"/>
              </w:rPr>
              <w:t>295</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87.73</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2,005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03/04/2019</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93"/>
              </w:rPr>
              <w:t>498</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85.64</w:t>
            </w:r>
            <w:r>
              <w:rPr>
                <w:rFonts w:ascii="Arial" w:cs="Arial" w:eastAsia="Arial" w:hAnsi="Arial"/>
                <w:sz w:val="22"/>
                <w:szCs w:val="22"/>
                <w:color w:val="008000"/>
                <w:w w:val="93"/>
                <w:vertAlign w:val="superscript"/>
              </w:rPr>
              <w:t>(3)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1,507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03/04/2019</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93"/>
              </w:rPr>
              <w:t>600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84.72</w:t>
            </w:r>
            <w:r>
              <w:rPr>
                <w:rFonts w:ascii="Arial" w:cs="Arial" w:eastAsia="Arial" w:hAnsi="Arial"/>
                <w:sz w:val="22"/>
                <w:szCs w:val="22"/>
                <w:color w:val="008000"/>
                <w:w w:val="93"/>
                <w:vertAlign w:val="superscript"/>
              </w:rPr>
              <w:t>(4)</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907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03/04/2019</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93"/>
              </w:rPr>
              <w:t>800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83.16</w:t>
            </w:r>
            <w:r>
              <w:rPr>
                <w:rFonts w:ascii="Arial" w:cs="Arial" w:eastAsia="Arial" w:hAnsi="Arial"/>
                <w:sz w:val="22"/>
                <w:szCs w:val="22"/>
                <w:color w:val="008000"/>
                <w:w w:val="93"/>
                <w:vertAlign w:val="superscript"/>
              </w:rPr>
              <w:t>(5)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03/04/2019</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93"/>
              </w:rPr>
              <w:t>107</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82.56</w:t>
            </w:r>
            <w:r>
              <w:rPr>
                <w:rFonts w:ascii="Arial" w:cs="Arial" w:eastAsia="Arial" w:hAnsi="Arial"/>
                <w:sz w:val="22"/>
                <w:szCs w:val="22"/>
                <w:color w:val="008000"/>
                <w:w w:val="93"/>
                <w:vertAlign w:val="superscript"/>
              </w:rPr>
              <w:t>(6)</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1"/>
          </w:tcPr>
          <w:p>
            <w:pPr>
              <w:jc w:val="center"/>
              <w:ind w:left="34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6"/>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37.11</w:t>
            </w:r>
          </w:p>
        </w:tc>
        <w:tc>
          <w:tcPr>
            <w:tcW w:w="1080" w:type="dxa"/>
            <w:vAlign w:val="bottom"/>
          </w:tcPr>
          <w:p>
            <w:pPr>
              <w:ind w:left="260"/>
              <w:spacing w:after="0"/>
              <w:rPr>
                <w:sz w:val="20"/>
                <w:szCs w:val="20"/>
                <w:color w:val="auto"/>
              </w:rPr>
            </w:pPr>
            <w:r>
              <w:rPr>
                <w:rFonts w:ascii="Arial" w:cs="Arial" w:eastAsia="Arial" w:hAnsi="Arial"/>
                <w:sz w:val="14"/>
                <w:szCs w:val="14"/>
                <w:color w:val="0000FF"/>
              </w:rPr>
              <w:t>03/04/2019</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2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2,300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(7)</w:t>
            </w:r>
          </w:p>
        </w:tc>
        <w:tc>
          <w:tcPr>
            <w:tcW w:w="720" w:type="dxa"/>
            <w:vAlign w:val="bottom"/>
          </w:tcPr>
          <w:p>
            <w:pPr>
              <w:ind w:left="40"/>
              <w:spacing w:after="0"/>
              <w:rPr>
                <w:sz w:val="20"/>
                <w:szCs w:val="20"/>
                <w:color w:val="auto"/>
              </w:rPr>
            </w:pPr>
            <w:r>
              <w:rPr>
                <w:rFonts w:ascii="Arial" w:cs="Arial" w:eastAsia="Arial" w:hAnsi="Arial"/>
                <w:sz w:val="14"/>
                <w:szCs w:val="14"/>
                <w:color w:val="0000FF"/>
                <w:w w:val="94"/>
              </w:rPr>
              <w:t>11/21/2026</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2,300</w:t>
            </w:r>
          </w:p>
        </w:tc>
        <w:tc>
          <w:tcPr>
            <w:tcW w:w="1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40"/>
              <w:spacing w:after="0"/>
              <w:rPr>
                <w:sz w:val="20"/>
                <w:szCs w:val="20"/>
                <w:color w:val="auto"/>
              </w:rPr>
            </w:pPr>
            <w:r>
              <w:rPr>
                <w:rFonts w:ascii="Arial" w:cs="Arial" w:eastAsia="Arial" w:hAnsi="Arial"/>
                <w:sz w:val="14"/>
                <w:szCs w:val="14"/>
                <w:color w:val="0000FF"/>
                <w:w w:val="88"/>
              </w:rPr>
              <w:t>75,600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jc w:val="right"/>
              <w:ind w:right="149"/>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Effected pursuant to a trading plan adopted on December 18, 2017 pursuant to Rule 10b5-1 under the Securities Exchange Act of 1934, as amended.</w:t>
      </w:r>
    </w:p>
    <w:p>
      <w:pPr>
        <w:spacing w:after="0" w:line="41"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$87.57 to $88.04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(6)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$85.24 to $86.19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$84.17 to $85.05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$82.63 to $83.58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$82.53 to $82.56 per share.</w:t>
      </w:r>
    </w:p>
    <w:p>
      <w:pPr>
        <w:spacing w:after="0" w:line="41" w:lineRule="exact"/>
        <w:rPr>
          <w:rFonts w:ascii="Arial" w:cs="Arial" w:eastAsia="Arial" w:hAnsi="Arial"/>
          <w:sz w:val="14"/>
          <w:szCs w:val="14"/>
          <w:color w:val="008000"/>
        </w:rPr>
      </w:pPr>
    </w:p>
    <w:p>
      <w:pPr>
        <w:ind w:left="40" w:right="7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was granted on November 21, 2016. This option vested with respect to 25% of the shares underlying the option on November 21, 2017 and vests as to an additional 1/48th of the shares underlying the option each month thereafter.</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03/06/2019</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4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46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2019-12-23T22:33:20Z</dcterms:created>
  <dcterms:modified xsi:type="dcterms:W3CDTF">2019-12-23T22:33:20Z</dcterms:modified>
</cp:coreProperties>
</file>