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233680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500"/>
          </w:cols>
          <w:pgMar w:left="240" w:top="538" w:right="239" w:bottom="144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Cambridge, Massachusetts 02139</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38" w:right="2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240" w:hanging="584"/>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320"/>
        <w:spacing w:after="0"/>
        <w:rPr>
          <w:sz w:val="20"/>
          <w:szCs w:val="20"/>
          <w:color w:val="auto"/>
        </w:rPr>
      </w:pPr>
      <w:r>
        <w:rPr>
          <w:rFonts w:ascii="Times New Roman" w:cs="Times New Roman" w:eastAsia="Times New Roman" w:hAnsi="Times New Roman"/>
          <w:sz w:val="17"/>
          <w:szCs w:val="17"/>
          <w:color w:val="auto"/>
        </w:rPr>
        <w:t>Emerging growth company o</w:t>
      </w:r>
    </w:p>
    <w:p>
      <w:pPr>
        <w:spacing w:after="0" w:line="237"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395605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38" w:right="239" w:bottom="1440" w:gutter="0" w:footer="0" w:header="0"/>
          <w:type w:val="continuous"/>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On March 27, 2019, Blueprint Medicines Corporation issued a press release providing an update on recent developments and a press release announcing the commencement of an underwritten public offering of shares of its common stock. Copies of these press releases are attached to this Current Report on Form 8-K as Exhibits 99.1 and 99.2, respectively, and are each incorporated herein by reference.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40" w:type="dxa"/>
            <w:vAlign w:val="bottom"/>
          </w:tcPr>
          <w:p>
            <w:pPr>
              <w:spacing w:after="0"/>
              <w:rPr>
                <w:sz w:val="20"/>
                <w:szCs w:val="20"/>
                <w:color w:val="auto"/>
              </w:rPr>
            </w:pP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
          </w:tcPr>
          <w:p>
            <w:pPr>
              <w:ind w:left="4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right"/>
              <w:ind w:right="330"/>
              <w:spacing w:after="0" w:line="170"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auto"/>
            </w:tcBorders>
            <w:gridSpan w:val="2"/>
          </w:tcPr>
          <w:p>
            <w:pPr>
              <w:spacing w:after="0" w:line="170"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issued by Blueprint Medicines Corporation on March 27, 2019</w:t>
              </w:r>
            </w:hyperlink>
          </w:p>
        </w:tc>
        <w:tc>
          <w:tcPr>
            <w:tcW w:w="40" w:type="dxa"/>
            <w:vAlign w:val="bottom"/>
          </w:tcPr>
          <w:p>
            <w:pPr>
              <w:spacing w:after="0"/>
              <w:rPr>
                <w:sz w:val="14"/>
                <w:szCs w:val="14"/>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80" w:type="dxa"/>
            <w:vAlign w:val="bottom"/>
            <w:gridSpan w:val="2"/>
            <w:shd w:val="clear" w:color="auto" w:fill="0000EE"/>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gridSpan w:val="2"/>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340" w:type="dxa"/>
            <w:vAlign w:val="bottom"/>
          </w:tcPr>
          <w:p>
            <w:pPr>
              <w:spacing w:after="0"/>
              <w:rPr>
                <w:sz w:val="17"/>
                <w:szCs w:val="17"/>
                <w:color w:val="auto"/>
              </w:rPr>
            </w:pPr>
          </w:p>
        </w:tc>
        <w:tc>
          <w:tcPr>
            <w:tcW w:w="9920" w:type="dxa"/>
            <w:vAlign w:val="bottom"/>
            <w:gridSpan w:val="3"/>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Press release issued by Blueprint Medicines Corporation on March 27, 2019</w:t>
              </w:r>
            </w:hyperlink>
          </w:p>
        </w:tc>
        <w:tc>
          <w:tcPr>
            <w:tcW w:w="40" w:type="dxa"/>
            <w:vAlign w:val="bottom"/>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5460" w:type="dxa"/>
            <w:vAlign w:val="bottom"/>
            <w:tcBorders>
              <w:top w:val="single" w:sz="8" w:color="0000EE"/>
            </w:tcBorders>
          </w:tcPr>
          <w:p>
            <w:pPr>
              <w:jc w:val="right"/>
              <w:ind w:right="1136"/>
              <w:spacing w:after="0"/>
              <w:rPr>
                <w:sz w:val="20"/>
                <w:szCs w:val="20"/>
                <w:color w:val="auto"/>
              </w:rPr>
            </w:pPr>
            <w:r>
              <w:rPr>
                <w:rFonts w:ascii="Times New Roman" w:cs="Times New Roman" w:eastAsia="Times New Roman" w:hAnsi="Times New Roman"/>
                <w:sz w:val="18"/>
                <w:szCs w:val="18"/>
                <w:color w:val="auto"/>
              </w:rPr>
              <w:t>2</w:t>
            </w: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60" w:type="dxa"/>
            <w:vAlign w:val="bottom"/>
            <w:tcBorders>
              <w:bottom w:val="single" w:sz="8" w:color="808080"/>
            </w:tcBorders>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2019</w:t>
            </w:r>
          </w:p>
        </w:tc>
        <w:tc>
          <w:tcPr>
            <w:tcW w:w="78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Jeffrey W. Albers</w:t>
            </w:r>
          </w:p>
        </w:tc>
        <w:tc>
          <w:tcPr>
            <w:tcW w:w="40" w:type="dxa"/>
            <w:vAlign w:val="bottom"/>
          </w:tcPr>
          <w:p>
            <w:pPr>
              <w:spacing w:after="0"/>
              <w:rPr>
                <w:sz w:val="24"/>
                <w:szCs w:val="24"/>
                <w:color w:val="auto"/>
              </w:rPr>
            </w:pPr>
          </w:p>
        </w:tc>
      </w:tr>
      <w:tr>
        <w:trPr>
          <w:trHeight w:val="191"/>
        </w:trPr>
        <w:tc>
          <w:tcPr>
            <w:tcW w:w="36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Jeffrey W. Albers</w:t>
            </w:r>
          </w:p>
        </w:tc>
        <w:tc>
          <w:tcPr>
            <w:tcW w:w="4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26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2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Announces Accelerated Regulatory Submission Plans and Recent Clinical Progress</w:t>
      </w:r>
    </w:p>
    <w:p>
      <w:pPr>
        <w:spacing w:after="0" w:line="2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 Avapritinib: plan to submit MAA for PDGFRα D842V mutant GIST and fourth-line GIST in Q3 2019</w:t>
      </w:r>
    </w:p>
    <w:p>
      <w:pPr>
        <w:spacing w:after="0" w:line="2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and NDA for advanced systemic mastocytosis in Q1 2020 —</w:t>
      </w:r>
    </w:p>
    <w:p>
      <w:pPr>
        <w:spacing w:after="0" w:line="20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i w:val="1"/>
          <w:iCs w:val="1"/>
          <w:color w:val="auto"/>
        </w:rPr>
        <w:t>— BLU-667: plan to submit NDA for previously treated RET-fusion non-small cell lung cancer in Q1 2020</w:t>
      </w:r>
    </w:p>
    <w:p>
      <w:pPr>
        <w:spacing w:after="0" w:line="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i w:val="1"/>
          <w:iCs w:val="1"/>
          <w:color w:val="auto"/>
        </w:rPr>
        <w:t>based on early achievement of enrollment target; top-line interim data show 62 percent ORR —</w:t>
      </w:r>
    </w:p>
    <w:p>
      <w:pPr>
        <w:spacing w:after="0" w:line="20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i w:val="1"/>
          <w:iCs w:val="1"/>
          <w:color w:val="auto"/>
        </w:rPr>
        <w:t>— BLU-782: plan to initiate Phase 2a trial in patients with fibrodysplasia ossificans progressiva in Q4 2019 —</w:t>
      </w:r>
    </w:p>
    <w:p>
      <w:pPr>
        <w:spacing w:after="0" w:line="22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CAMBRIDGE, Mass., March 27, 2019 /PRNewswire/ — Blueprint Medicines Corporation (NASDAQ: BPMC), a precision therapy company focused on genomically defined cancers, rare diseases and cancer immunotherapy, today announced plans to expedite development of avapritinib, BLU-667 and BLU-782 based on recent clinical progress and interactions with regulatory authorities.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updates we are announcing today for avapritinib, BLU-667 and BLU-782 represent the acceleration of multiple clinical-stage programs, including planned marketing applications for avapritinib and BLU-667, and highlight our commitment to executing a portfolio-based strategy,” said Jeff Albers, Chief Executive Officer of Blueprint Medicines. “In addition, as we prepare to submit marketing applications for avapritinib for the treatment of PDGFRA-driven and fourth-line GIST in the United States in the second quarter and Europe in the third quarter, we are rapidly building global commercial capabilities to enable us to deliver this important new medicine, if approved, to patients in need.”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Accelerated Regulatory Submission Plans and Recent Clinical Progress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Avapritinib: Gastrointestinal Stromal Tumors (GIST)</w:t>
      </w:r>
    </w:p>
    <w:p>
      <w:pPr>
        <w:spacing w:after="0" w:line="227" w:lineRule="exact"/>
        <w:rPr>
          <w:sz w:val="20"/>
          <w:szCs w:val="20"/>
          <w:color w:val="auto"/>
        </w:rPr>
      </w:pPr>
    </w:p>
    <w:p>
      <w:pPr>
        <w:ind w:left="340" w:right="220" w:hanging="332"/>
        <w:spacing w:after="0" w:line="282" w:lineRule="auto"/>
        <w:tabs>
          <w:tab w:leader="none" w:pos="3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Blueprint Medicines now plans to submit a Marketing Authorization Application (MAA) to the European Medicines Agency (EMA) for avapritinib for the treatment of both PDGFRα D842V mutant GIST and fourth-line GIST in the third quarter of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Avapritinib: Advanced Systemic Mastocytosis (SM)</w:t>
      </w:r>
    </w:p>
    <w:p>
      <w:pPr>
        <w:spacing w:after="0" w:line="227" w:lineRule="exact"/>
        <w:rPr>
          <w:sz w:val="20"/>
          <w:szCs w:val="20"/>
          <w:color w:val="auto"/>
        </w:rPr>
      </w:pPr>
    </w:p>
    <w:p>
      <w:pPr>
        <w:ind w:left="340" w:right="560" w:hanging="332"/>
        <w:spacing w:after="0" w:line="266" w:lineRule="auto"/>
        <w:tabs>
          <w:tab w:leader="none" w:pos="30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Blueprint Medicines now plans to submit a New Drug Application (NDA) to the U.S. Food and Drug Administration (FDA) for avapritinib for the treatment of advanced SM in the first quarter of 2020, subject to continuing discussions with the FDA under its breakthrough therapy program to determine the required clinical data for an NDA submission.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BLU-667: RET-Altered Cancers</w:t>
      </w:r>
    </w:p>
    <w:p>
      <w:pPr>
        <w:spacing w:after="0" w:line="227" w:lineRule="exact"/>
        <w:rPr>
          <w:sz w:val="20"/>
          <w:szCs w:val="20"/>
          <w:color w:val="auto"/>
        </w:rPr>
      </w:pPr>
    </w:p>
    <w:p>
      <w:pPr>
        <w:ind w:left="340" w:right="260" w:hanging="332"/>
        <w:spacing w:after="0" w:line="266" w:lineRule="auto"/>
        <w:tabs>
          <w:tab w:leader="none" w:pos="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interim data from the Phase 1 ARROW clinical trial of BLU-667 for patients with RET-fusion non-small cell lung cancer (NSCLC) and RET-mutant medullary thyroid cancer (MTC) who were response evaluable and treated at the recommended Phase 2 dose of 400 mg once daily, as of November 14, 2018 with follow-up through a data cutoff date of March 1, 2019, showed the following:</w:t>
      </w:r>
    </w:p>
    <w:p>
      <w:pPr>
        <w:spacing w:after="0" w:line="176"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34 patients with RET-fusion NSCLC previously treated with platinum-based chemotherapy, the overall response rate (ORR) was 62 percent.</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6"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16 patients with RET-mutant MTC previously treated with the approved multi-kinase inhibitors cabozantinib and/or vandetanib, the ORR was 63 percent.(2)</w:t>
      </w:r>
    </w:p>
    <w:p>
      <w:pPr>
        <w:spacing w:after="0" w:line="161"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BLU-667 was generally well-tolerated, and most adverse events (AEs) reported by investigators were mild or moderate (Grade 1 or 2). Across all doses and treatment cohorts (n=217), only eight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ind w:left="980" w:right="600"/>
        <w:spacing w:after="0" w:line="282" w:lineRule="auto"/>
        <w:rPr>
          <w:sz w:val="20"/>
          <w:szCs w:val="20"/>
          <w:color w:val="auto"/>
        </w:rPr>
      </w:pPr>
      <w:r>
        <w:rPr>
          <w:rFonts w:ascii="Times New Roman" w:cs="Times New Roman" w:eastAsia="Times New Roman" w:hAnsi="Times New Roman"/>
          <w:sz w:val="18"/>
          <w:szCs w:val="18"/>
          <w:color w:val="auto"/>
        </w:rPr>
        <w:t>discontinued treatment with BLU-667 due to treatment-related AEs, with one Grade 5 AE (pneumonia/lung infection) determined by the investigator to be possibly related to BLU-667.</w:t>
      </w:r>
    </w:p>
    <w:p>
      <w:pPr>
        <w:spacing w:after="0" w:line="162" w:lineRule="exact"/>
        <w:rPr>
          <w:sz w:val="20"/>
          <w:szCs w:val="20"/>
          <w:color w:val="auto"/>
        </w:rPr>
      </w:pPr>
    </w:p>
    <w:p>
      <w:pPr>
        <w:ind w:left="980" w:right="500" w:hanging="324"/>
        <w:spacing w:after="0" w:line="282" w:lineRule="auto"/>
        <w:tabs>
          <w:tab w:leader="none" w:pos="9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clinical safety and efficacy data from the ARROW trial in RET-fusion NSCLC patients and RET-mutant MTC patients have been submitted for presentation at the American Society of Clinical Oncology Annual Meeting in June 2019.</w:t>
      </w:r>
    </w:p>
    <w:p>
      <w:pPr>
        <w:spacing w:after="0" w:line="161" w:lineRule="exact"/>
        <w:rPr>
          <w:rFonts w:ascii="Times New Roman" w:cs="Times New Roman" w:eastAsia="Times New Roman" w:hAnsi="Times New Roman"/>
          <w:sz w:val="18"/>
          <w:szCs w:val="18"/>
          <w:color w:val="auto"/>
        </w:rPr>
      </w:pPr>
    </w:p>
    <w:p>
      <w:pPr>
        <w:jc w:val="both"/>
        <w:ind w:left="340" w:right="40" w:hanging="332"/>
        <w:spacing w:after="0" w:line="266" w:lineRule="auto"/>
        <w:tabs>
          <w:tab w:leader="none" w:pos="3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enrollment target has been reached and patient screening is now closed for the registration-enabling ARROW trial cohort for patients with previously treated RET-fusion NSCLC. Blueprint Medicines anticipates reaching the enrollment target for the registration-enabling ARROW trial cohort for patients with previously treated MTC in the second quarter of 2019.</w:t>
      </w:r>
    </w:p>
    <w:p>
      <w:pPr>
        <w:spacing w:after="0" w:line="176" w:lineRule="exact"/>
        <w:rPr>
          <w:rFonts w:ascii="Times New Roman" w:cs="Times New Roman" w:eastAsia="Times New Roman" w:hAnsi="Times New Roman"/>
          <w:sz w:val="18"/>
          <w:szCs w:val="18"/>
          <w:color w:val="auto"/>
        </w:rPr>
      </w:pPr>
    </w:p>
    <w:p>
      <w:pPr>
        <w:ind w:left="340" w:hanging="332"/>
        <w:spacing w:after="0" w:line="261" w:lineRule="auto"/>
        <w:tabs>
          <w:tab w:leader="none" w:pos="3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early achievement of the enrollment target for the RET-fusion NSCLC cohort, Blueprint Medicines now plans to submit an NDA to the FDA for BLU-667 for the treatment of patients with NSCLC previously treated with platinum-based chemotherapy in the first quarter of 2020. Blueprint Medicines continues to expect to submit an NDA to the FDA for BLU-667 for the treatment of patients with RET-mutant MTC previously treated with an approved multi-kinase inhibitor in the first half of 2020.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BLU-782: Fibrodysplasia Ossificans Progressiva (FOP)</w:t>
      </w:r>
    </w:p>
    <w:p>
      <w:pPr>
        <w:spacing w:after="0" w:line="227" w:lineRule="exact"/>
        <w:rPr>
          <w:sz w:val="20"/>
          <w:szCs w:val="20"/>
          <w:color w:val="auto"/>
        </w:rPr>
      </w:pPr>
    </w:p>
    <w:p>
      <w:pPr>
        <w:ind w:left="340" w:right="60" w:hanging="332"/>
        <w:spacing w:after="0" w:line="282" w:lineRule="auto"/>
        <w:tabs>
          <w:tab w:leader="none" w:pos="3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progress of the ongoing Phase 1 clinical trial in healthy volunteers and input from clinical experts, Blueprint Medicines now plans to initiate a Phase 2a clinical trial of BLU-782 in patients with FOP in the fourth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31" w:lineRule="exact"/>
        <w:rPr>
          <w:sz w:val="20"/>
          <w:szCs w:val="20"/>
          <w:color w:val="auto"/>
        </w:rPr>
      </w:pPr>
    </w:p>
    <w:p>
      <w:pPr>
        <w:ind w:left="300" w:hanging="292"/>
        <w:spacing w:after="0"/>
        <w:tabs>
          <w:tab w:leader="none" w:pos="30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95 percent confidence interval (CI): 44-78 percent; five responses pending confirmation.</w:t>
      </w:r>
    </w:p>
    <w:p>
      <w:pPr>
        <w:spacing w:after="0" w:line="9" w:lineRule="exact"/>
        <w:rPr>
          <w:rFonts w:ascii="Times New Roman" w:cs="Times New Roman" w:eastAsia="Times New Roman" w:hAnsi="Times New Roman"/>
          <w:sz w:val="18"/>
          <w:szCs w:val="18"/>
          <w:b w:val="1"/>
          <w:bCs w:val="1"/>
          <w:i w:val="1"/>
          <w:iCs w:val="1"/>
          <w:color w:val="auto"/>
        </w:rPr>
      </w:pPr>
    </w:p>
    <w:p>
      <w:pPr>
        <w:ind w:left="300" w:hanging="292"/>
        <w:spacing w:after="0"/>
        <w:tabs>
          <w:tab w:leader="none" w:pos="300"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95 percent CI: 35-85 percent; three responses pending confirmation.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Blueprint Medicines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are currently advancing four investigational medicines in clinical development, along with multiple research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statements regarding plans and timelines for the development of avapritinib, BLU-667 and BLU-782; plans and timelines for submitting an MAA to the EMA for avapritinib for the treatment of PDGFRα D842V mutant GIST and fourth-line GIST; plans and timelines for submitting an NDA to the FDA for BLU-667 for the treatment of patients with NSCLC previously treated with platinum-based chemotherapy; plans and timelines for submitting an NDA to the FDA for BLU-667 for the treatment of patients with RET-mutant MTC previously treated with an approved multi-kinase inhibitor; plans and timelines for presenting additional data from the ongoing ARROW trial for BLU-667; plans and timelines for initiating a Phase 2a clinical trial of BLU-782 in patients with FOP;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18"/>
          <w:szCs w:val="18"/>
          <w:color w:val="auto"/>
        </w:rPr>
        <w:t>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BLU-667, BLU-554 and BLU-782;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including companion diagnostic tests for avapritinib for PDGFRα D842V-driven GIST, BLU-667 for RET-driven NSCLC and BLU-554 for FGFR4-driven hepatocellular carcinoma; the success of Blueprint Medicines’ current and future collaborations, including its cancer immunotherapy collaboration with F. Hoffmann-La Roche Ltd and Hoffmann-La Roche Inc. and its collaboration with CStone Pharmaceuticals. These and other risks and uncertainties are described in greater detail in the section entitled “Risk Factors” in Blueprint Medicines’ Annual Report on Form 10-K for the quarter ended December 31, 2018, as filed with the Securities and Exchange Commission (SEC) on February 26, 2019,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617-844-8236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jbaker@blueprintmedicines.com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Announces Proposed Public Offering of Shares of Common Stock</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CAMBRIDGE, Mass., March 27, 2019 — Blueprint Medicines Corporation (NASDAQ: BPMC), a precision therapy company focused on genomically defined cancers, rare diseases and cancer immunotherapy, today announced that it has commenced an underwritten public offering of $300,000,000 in shares of its common stock. In addition, Blueprint Medicines expects to grant the underwriters a 30-day option to purchase up to an additional $45,000,000 in shares of its common stock in connection with the public offering. All shares of common stock will be offered by Blueprint Medicines.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Blueprint Medicines expects to use the net proceeds of the offering to further build its commercial infrastructure and operations in support of one or more anticipated commercial launches of its drug candidates, including potential commercial launches of avapritinib in the United States and Europe, subject to regulatory approval; to fund clinical trials for avapritinib in gastrointestinal stromal tumors (GIST) and systemic mastocytosis (SM), including its planned registration-enabling Phase 3 COMPASS-2L clinical trial for second-line GIST and its ongoing registration-enabling Phase 2 PIONEER clinical trial for indolent and smoldering SM, as well as future indication expansion clinical trials; to fund clinical trials for BLU-667 in RET-driven cancers, including its planned Phase 3 clinical trial for BLU-667 in first-line RET-altered non-small cell lung cancer (NSCLC) and its planned Phase 2 clinical trial for BLU-667 in combination with osimertinib in treatment-resistant, EGFR-mutant NSCLC harboring an acquired RET alteration; to fund a planned Phase 2a clinical trial for BLU-782 in patients with fibrodysplasia ossificans progressiva; to fund manufacturing costs for ongoing and anticipated drug development efforts for its most advanced drug candidates, including a potential commercial launch of avapritinib; and the balance, if any, to fund additional discovery research efforts, its other ongoing and planned clinical trials, working capital requirements and other general corporate purposes.</w:t>
      </w:r>
    </w:p>
    <w:p>
      <w:pPr>
        <w:spacing w:after="0" w:line="1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Goldman Sachs &amp; Co. LLC and Cowen and Company, LLC are acting as joint book-running managers for the offering. Guggenheim Securities, LLC and Wedbush Securities Inc. are acting as co-lead managers for the offering. The offering is subject to market and other conditions, and there can be no assurance as to whether or when the offering may be completed or as to the actual size or terms of the offering.</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 registration statement on Form S-3 (File No. 333-216573) relating to these securities has been previously filed with the Securities and Exchange Commission (SEC) and has become effective. This press release shall not constitute an offer to sell or a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offering will be made only by means of a prospectus. A copy of the prospectus supplement relating to the offering will be filed with the SEC and may be obtained, when available, from Goldman Sachs &amp; Co. LLC by mail at Prospectus Department, 200 West Street, New York, NY 10282, by telephone at (866) 471-2526, by fax at (212) 902-9316, or by email at prospectus-ny@ny.email.gs.com, or from Cowen and Company, LLC, c/o Broadridge Financial Services, 1155 Long Island Avenue, Edgewood, NY 11717, Attention: Prospectus Department, by telephone at (631) 274-2806, or by fax at (631) 254-7140.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Blueprint Medicines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Blueprint Medicines is currently advancing four investigational medicines in clinical development, along with multiple research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statements regarding Blueprint Medicines’ anticipated public offering; future expectations, plans and prospects for Blueprint Medicines and the timing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spacing w:after="0" w:line="253" w:lineRule="auto"/>
        <w:rPr>
          <w:sz w:val="20"/>
          <w:szCs w:val="20"/>
          <w:color w:val="auto"/>
        </w:rPr>
      </w:pPr>
      <w:r>
        <w:rPr>
          <w:rFonts w:ascii="Times New Roman" w:cs="Times New Roman" w:eastAsia="Times New Roman" w:hAnsi="Times New Roman"/>
          <w:sz w:val="18"/>
          <w:szCs w:val="18"/>
          <w:color w:val="auto"/>
        </w:rPr>
        <w:t>events;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uncertainties related to market conditions and the completion of the public offering on the anticipated terms or at all. These and other risks and uncertainties are described in greater detail in the section entitled “Risk Factors” in Blueprint Medicines’ Annual Report on Form 10-K for the fiscal year ended December 31, 2018, as filed with the SEC on February 26, 2019, the prospectus supplement related to the public offering and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and 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617-844-8236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jbaker@blueprintmedicines.com</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3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emdash "/>
      <w:numFmt w:val="bullet"/>
      <w:start w:val="1"/>
    </w:lvl>
    <w:lvl w:ilvl="1">
      <w:lvlJc w:val="left"/>
      <w:lvlText w:val="\emdash "/>
      <w:numFmt w:val="bullet"/>
      <w:start w:val="1"/>
    </w:lvl>
    <w:lvl w:ilvl="2">
      <w:lvlJc w:val="left"/>
      <w:lvlText w:val="\emdash "/>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2019-12-28T14:05:43Z</dcterms:created>
  <dcterms:modified xsi:type="dcterms:W3CDTF">2019-12-28T14:05:43Z</dcterms:modified>
</cp:coreProperties>
</file>