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Blueprint Medicines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09627Y109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4,770,008</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5,003,428</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5,003,428</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8.36%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4,770,008</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5,003,428</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5,003,428</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8.36%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4,770,008</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5,003,428</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5,003,428</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8.36%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48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480" w:type="dxa"/>
            <w:vAlign w:val="bottom"/>
          </w:tcPr>
          <w:p>
            <w:pPr>
              <w:spacing w:after="0"/>
              <w:rPr>
                <w:sz w:val="21"/>
                <w:szCs w:val="21"/>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4,747,050</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480" w:type="dxa"/>
            <w:vAlign w:val="bottom"/>
          </w:tcPr>
          <w:p>
            <w:pPr>
              <w:spacing w:after="0"/>
              <w:rPr>
                <w:sz w:val="15"/>
                <w:szCs w:val="15"/>
                <w:color w:val="auto"/>
              </w:rPr>
            </w:pPr>
          </w:p>
        </w:tc>
        <w:tc>
          <w:tcPr>
            <w:tcW w:w="634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3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48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63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480" w:type="dxa"/>
            <w:vAlign w:val="bottom"/>
          </w:tcPr>
          <w:p>
            <w:pPr>
              <w:spacing w:after="0"/>
              <w:rPr>
                <w:sz w:val="24"/>
                <w:szCs w:val="24"/>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4,859,373</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4,859,373</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8.12%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5" w:name="page6"/>
    <w:bookmarkEnd w:id="5"/>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60" w:hanging="401"/>
        <w:spacing w:after="0"/>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Blueprint Medicines Corporation</w:t>
      </w:r>
    </w:p>
    <w:p>
      <w:pPr>
        <w:spacing w:after="0" w:line="97" w:lineRule="exact"/>
        <w:rPr>
          <w:rFonts w:ascii="Times New Roman" w:cs="Times New Roman" w:eastAsia="Times New Roman" w:hAnsi="Times New Roman"/>
          <w:sz w:val="22"/>
          <w:szCs w:val="22"/>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45 Sidney Street</w:t>
      </w:r>
    </w:p>
    <w:p>
      <w:pPr>
        <w:spacing w:after="0" w:line="1"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Cambridge, MA 02139</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right="5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line="92"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60" w:right="4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Times New Roman" w:cs="Times New Roman" w:eastAsia="Times New Roman" w:hAnsi="Times New Roman"/>
          <w:sz w:val="22"/>
          <w:szCs w:val="22"/>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09627Y109</w:t>
      </w:r>
    </w:p>
    <w:p>
      <w:pPr>
        <w:spacing w:after="0" w:line="45" w:lineRule="exact"/>
        <w:rPr>
          <w:sz w:val="20"/>
          <w:szCs w:val="20"/>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Rule 240.13d-1(b)(1)(ii)(E); *</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Group LLP - HC</w:t>
      </w:r>
    </w:p>
    <w:p>
      <w:pPr>
        <w:spacing w:after="0" w:line="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Group Holdings LLP - HC</w:t>
      </w:r>
    </w:p>
    <w:p>
      <w:pPr>
        <w:ind w:left="1360"/>
        <w:spacing w:after="0" w:line="230" w:lineRule="auto"/>
        <w:rPr>
          <w:sz w:val="20"/>
          <w:szCs w:val="20"/>
          <w:color w:val="auto"/>
        </w:rPr>
      </w:pPr>
      <w:r>
        <w:rPr>
          <w:rFonts w:ascii="Times New Roman" w:cs="Times New Roman" w:eastAsia="Times New Roman" w:hAnsi="Times New Roman"/>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9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ectPr>
          <w:pgSz w:w="11900" w:h="16901" w:orient="portrait"/>
          <w:cols w:equalWidth="0" w:num="1">
            <w:col w:w="11040"/>
          </w:cols>
          <w:pgMar w:left="400" w:top="405" w:right="459" w:bottom="0" w:gutter="0" w:footer="0" w:header="0"/>
        </w:sectPr>
      </w:pPr>
    </w:p>
    <w:bookmarkStart w:id="6" w:name="page7"/>
    <w:bookmarkEnd w:id="6"/>
    <w:p>
      <w:pPr>
        <w:spacing w:after="0" w:line="65" w:lineRule="exact"/>
        <w:rPr>
          <w:sz w:val="20"/>
          <w:szCs w:val="20"/>
          <w:color w:val="auto"/>
        </w:rPr>
      </w:pPr>
    </w:p>
    <w:p>
      <w:pPr>
        <w:ind w:left="1760" w:hanging="401"/>
        <w:spacing w:after="0"/>
        <w:tabs>
          <w:tab w:leader="none" w:pos="17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such person has:</w:t>
      </w:r>
    </w:p>
    <w:p>
      <w:pPr>
        <w:spacing w:after="0" w:line="136" w:lineRule="exact"/>
        <w:rPr>
          <w:rFonts w:ascii="Times New Roman" w:cs="Times New Roman" w:eastAsia="Times New Roman" w:hAnsi="Times New Roman"/>
          <w:sz w:val="21"/>
          <w:szCs w:val="21"/>
          <w:color w:val="auto"/>
        </w:rPr>
      </w:pPr>
    </w:p>
    <w:p>
      <w:pPr>
        <w:ind w:left="2220" w:hanging="456"/>
        <w:spacing w:after="0"/>
        <w:tabs>
          <w:tab w:leader="none" w:pos="22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46" w:lineRule="exact"/>
        <w:rPr>
          <w:rFonts w:ascii="Times New Roman" w:cs="Times New Roman" w:eastAsia="Times New Roman" w:hAnsi="Times New Roman"/>
          <w:sz w:val="22"/>
          <w:szCs w:val="22"/>
          <w:color w:val="auto"/>
        </w:rPr>
      </w:pPr>
    </w:p>
    <w:p>
      <w:pPr>
        <w:ind w:left="2220" w:hanging="456"/>
        <w:spacing w:after="0"/>
        <w:tabs>
          <w:tab w:leader="none" w:pos="2220"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125"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50" w:lineRule="exact"/>
        <w:rPr>
          <w:sz w:val="20"/>
          <w:szCs w:val="20"/>
          <w:color w:val="auto"/>
        </w:rPr>
      </w:pPr>
    </w:p>
    <w:p>
      <w:pPr>
        <w:sectPr>
          <w:pgSz w:w="11900" w:h="16903" w:orient="portrait"/>
          <w:cols w:equalWidth="0" w:num="2">
            <w:col w:w="5900" w:space="720"/>
            <w:col w:w="4320"/>
          </w:cols>
          <w:pgMar w:left="400" w:top="247" w:right="559" w:bottom="0" w:gutter="0" w:footer="0" w:header="0"/>
        </w:sectPr>
      </w:pPr>
    </w:p>
    <w:p>
      <w:pPr>
        <w:ind w:left="2220" w:hanging="456"/>
        <w:spacing w:after="0"/>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2220" w:right="800" w:hanging="456"/>
        <w:spacing w:after="0" w:line="185" w:lineRule="auto"/>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903" w:orient="portrait"/>
          <w:cols w:equalWidth="0" w:num="2">
            <w:col w:w="6420" w:space="200"/>
            <w:col w:w="4320"/>
          </w:cols>
          <w:pgMar w:left="400" w:top="247" w:right="559" w:bottom="0"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Class.</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w w:val="98"/>
              </w:rPr>
              <w:t>If this statement is being filed to report the fact that as of the date hereof the reporting person has ceased to be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sale of, such securities. No such client is known to have such right or power with respect to more than five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w w:val="99"/>
              </w:rPr>
              <w:t>Identification and Classification of the Subsidiary Which Acquired the Security Being Reported on by</w:t>
            </w:r>
          </w:p>
        </w:tc>
      </w:tr>
      <w:tr>
        <w:trPr>
          <w:trHeight w:val="2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See attached Exhibit A.</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of or with the effect of changing or influencing the control of the issuer of the securities and were not acquired</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Management Group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2023</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Group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2023</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bl>
    <w:p>
      <w:pPr>
        <w:sectPr>
          <w:pgSz w:w="11900" w:h="16903" w:orient="portrait"/>
          <w:cols w:equalWidth="0" w:num="1">
            <w:col w:w="10940"/>
          </w:cols>
          <w:pgMar w:left="400" w:top="247" w:right="559" w:bottom="0" w:gutter="0" w:footer="0" w:header="0"/>
          <w:type w:val="continuous"/>
        </w:sectPr>
      </w:pPr>
    </w:p>
    <w:bookmarkStart w:id="7" w:name="page8"/>
    <w:bookmarkEnd w:id="7"/>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360680</wp:posOffset>
            </wp:positionV>
            <wp:extent cx="5730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18" w:lineRule="exact"/>
        <w:rPr>
          <w:sz w:val="20"/>
          <w:szCs w:val="20"/>
          <w:color w:val="auto"/>
        </w:rPr>
      </w:pPr>
    </w:p>
    <w:p>
      <w:pPr>
        <w:ind w:left="60" w:right="219"/>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54" w:lineRule="exact"/>
        <w:rPr>
          <w:sz w:val="20"/>
          <w:szCs w:val="20"/>
          <w:color w:val="auto"/>
        </w:rPr>
      </w:pPr>
    </w:p>
    <w:p>
      <w:pPr>
        <w:ind w:left="60" w:right="4399"/>
        <w:spacing w:after="0" w:line="295" w:lineRule="auto"/>
        <w:rPr>
          <w:sz w:val="20"/>
          <w:szCs w:val="20"/>
          <w:color w:val="auto"/>
        </w:rPr>
      </w:pPr>
      <w:r>
        <w:rPr>
          <w:rFonts w:ascii="Times New Roman" w:cs="Times New Roman" w:eastAsia="Times New Roman" w:hAnsi="Times New Roman"/>
          <w:sz w:val="22"/>
          <w:szCs w:val="22"/>
          <w:color w:val="auto"/>
        </w:rPr>
        <w:t>Wellington Group Holdings LLP – HC Wellington Investment Advisors LLP – HC Wellington Management Global Holdings, Ltd. - HC</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287" w:lineRule="exact"/>
        <w:rPr>
          <w:sz w:val="20"/>
          <w:szCs w:val="20"/>
          <w:color w:val="auto"/>
        </w:rPr>
      </w:pPr>
    </w:p>
    <w:p>
      <w:pPr>
        <w:ind w:left="60" w:right="119"/>
        <w:spacing w:after="0" w:line="235"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5730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8" w:lineRule="exact"/>
        <w:rPr>
          <w:sz w:val="20"/>
          <w:szCs w:val="20"/>
          <w:color w:val="auto"/>
        </w:rPr>
      </w:pPr>
    </w:p>
    <w:p>
      <w:pPr>
        <w:ind w:left="60" w:right="11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Blueprint Medicines Corporation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ectPr>
          <w:pgSz w:w="11900" w:h="16838" w:orient="portrait"/>
          <w:cols w:equalWidth="0" w:num="1">
            <w:col w:w="9019"/>
          </w:cols>
          <w:pgMar w:left="1440" w:top="139" w:right="1440" w:bottom="0" w:gutter="0" w:footer="0" w:header="0"/>
        </w:sectPr>
      </w:pPr>
    </w:p>
    <w:bookmarkStart w:id="8" w:name="page9"/>
    <w:bookmarkEnd w:id="8"/>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color w:val="auto"/>
        </w:rPr>
        <w:t>By: Wellington Investment Advisors Holdings LLP</w:t>
      </w:r>
    </w:p>
    <w:p>
      <w:pPr>
        <w:spacing w:after="0" w:line="5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2023-02-06T13:54:27Z</dcterms:created>
  <dcterms:modified xsi:type="dcterms:W3CDTF">2023-02-06T13:54:27Z</dcterms:modified>
</cp:coreProperties>
</file>