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242025_080653.xml.htm"/>
      <w:bookmarkStart w:id="1" w:name="ksform406242025_0806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COATS LONNEL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BLUEPRINT MEDICINES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SIDNEY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Blueprint Medicines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BPMC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12,812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6,144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involved the Reporting Person's receipt of a grant of restricted stock units. The restricted stock units vest with respect to 100% of the shares underlying the restricted stock units on the earlier of (i) June 18, 2026 and (ii) the next annual meeting of the Issuer's stockholders. Each restricted stock unit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Masse,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2528" TargetMode="External"/><Relationship Id="rId5" Type="http://schemas.openxmlformats.org/officeDocument/2006/relationships/hyperlink" Target="http://www.sec.gov/cgi-bin/browse-edgar?action=getcompany&amp;CIK=00015972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3412</Characters>
  <CharactersWithSpaces>3980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