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2407285</wp:posOffset>
            </wp:positionH>
            <wp:positionV relativeFrom="paragraph">
              <wp:posOffset>192405</wp:posOffset>
            </wp:positionV>
            <wp:extent cx="16040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4010" cy="762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2407285</wp:posOffset>
            </wp:positionH>
            <wp:positionV relativeFrom="paragraph">
              <wp:posOffset>210185</wp:posOffset>
            </wp:positionV>
            <wp:extent cx="160401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401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June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2407285</wp:posOffset>
            </wp:positionH>
            <wp:positionV relativeFrom="paragraph">
              <wp:posOffset>205105</wp:posOffset>
            </wp:positionV>
            <wp:extent cx="16040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4010" cy="762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2407285</wp:posOffset>
            </wp:positionH>
            <wp:positionV relativeFrom="paragraph">
              <wp:posOffset>192405</wp:posOffset>
            </wp:positionV>
            <wp:extent cx="16040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4010" cy="7620"/>
                    </a:xfrm>
                    <a:prstGeom prst="rect">
                      <a:avLst/>
                    </a:prstGeom>
                    <a:noFill/>
                  </pic:spPr>
                </pic:pic>
              </a:graphicData>
            </a:graphic>
          </wp:anchor>
        </w:drawing>
      </w:r>
    </w:p>
    <w:p>
      <w:pPr>
        <w:sectPr>
          <w:pgSz w:w="11900" w:h="16838" w:orient="portrait"/>
          <w:cols w:equalWidth="0" w:num="1">
            <w:col w:w="10100"/>
          </w:cols>
          <w:pgMar w:left="900" w:top="194"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001-37359</w:t>
      </w:r>
    </w:p>
    <w:p>
      <w:pPr>
        <w:spacing w:after="0" w:line="2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26-3632015</w:t>
      </w:r>
    </w:p>
    <w:p>
      <w:pPr>
        <w:spacing w:after="0" w:line="2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(I.R.S. Employer</w:t>
      </w:r>
    </w:p>
    <w:p>
      <w:pPr>
        <w:spacing w:after="0" w:line="1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3440" w:space="720"/>
            <w:col w:w="3000" w:space="720"/>
            <w:col w:w="2220"/>
          </w:cols>
          <w:pgMar w:left="900" w:top="194" w:right="899" w:bottom="1440" w:gutter="0" w:footer="0" w:header="0"/>
          <w:type w:val="continuous"/>
        </w:sectPr>
      </w:pPr>
    </w:p>
    <w:p>
      <w:pPr>
        <w:spacing w:after="0" w:line="282"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45 Sidney Street</w:t>
      </w:r>
    </w:p>
    <w:p>
      <w:pPr>
        <w:spacing w:after="0" w:line="208"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6540" w:space="720"/>
            <w:col w:w="2840"/>
          </w:cols>
          <w:pgMar w:left="900" w:top="194" w:right="899" w:bottom="1440" w:gutter="0" w:footer="0" w:header="0"/>
          <w:type w:val="continuous"/>
        </w:sectPr>
      </w:pP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(617) 374-7580</w:t>
      </w:r>
    </w:p>
    <w:p>
      <w:pPr>
        <w:spacing w:after="0" w:line="2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2407285</wp:posOffset>
            </wp:positionH>
            <wp:positionV relativeFrom="paragraph">
              <wp:posOffset>79375</wp:posOffset>
            </wp:positionV>
            <wp:extent cx="160401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4010" cy="1524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20" w:right="220" w:firstLine="586"/>
        <w:spacing w:after="0" w:line="28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880" w:hanging="28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 w:lineRule="exact"/>
        <w:rPr>
          <w:rFonts w:ascii="Times New Roman" w:cs="Times New Roman" w:eastAsia="Times New Roman" w:hAnsi="Times New Roman"/>
          <w:sz w:val="16"/>
          <w:szCs w:val="16"/>
          <w:color w:val="auto"/>
        </w:rPr>
      </w:pPr>
    </w:p>
    <w:p>
      <w:pPr>
        <w:ind w:left="880" w:hanging="284"/>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1" w:lineRule="exact"/>
        <w:rPr>
          <w:sz w:val="24"/>
          <w:szCs w:val="24"/>
          <w:color w:val="auto"/>
        </w:rPr>
      </w:pPr>
    </w:p>
    <w:p>
      <w:pPr>
        <w:ind w:left="20" w:right="100" w:firstLine="586"/>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7" w:lineRule="exact"/>
        <w:rPr>
          <w:sz w:val="24"/>
          <w:szCs w:val="24"/>
          <w:color w:val="auto"/>
        </w:rPr>
      </w:pPr>
    </w:p>
    <w:p>
      <w:pPr>
        <w:ind w:left="6120"/>
        <w:spacing w:after="0" w:line="184" w:lineRule="exact"/>
        <w:tabs>
          <w:tab w:leader="none" w:pos="804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32" w:lineRule="exact"/>
        <w:rPr>
          <w:sz w:val="24"/>
          <w:szCs w:val="24"/>
          <w:color w:val="auto"/>
        </w:rPr>
      </w:pPr>
    </w:p>
    <w:p>
      <w:pPr>
        <w:ind w:left="20" w:right="80" w:firstLine="586"/>
        <w:spacing w:after="0" w:line="21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p>
      <w:pPr>
        <w:spacing w:after="0" w:line="118"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20" w:type="dxa"/>
            <w:vAlign w:val="bottom"/>
            <w:tcBorders>
              <w:top w:val="single" w:sz="8" w:color="auto"/>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7"/>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020" w:type="dxa"/>
            <w:vAlign w:val="bottom"/>
            <w:tcBorders>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BPMC</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680"/>
        </w:trPr>
        <w:tc>
          <w:tcPr>
            <w:tcW w:w="39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194" w:right="899" w:bottom="1440" w:gutter="0" w:footer="0" w:header="0"/>
          <w:type w:val="continuous"/>
        </w:sectPr>
      </w:pPr>
    </w:p>
    <w:bookmarkStart w:id="1" w:name="page2"/>
    <w:bookmarkEnd w:id="1"/>
    <w:p>
      <w:pPr>
        <w:ind w:left="1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7.01</w:t>
        <w:tab/>
        <w:t>Regulation FD Disclosure.</w:t>
      </w:r>
    </w:p>
    <w:p>
      <w:pPr>
        <w:spacing w:after="0" w:line="208" w:lineRule="exact"/>
        <w:rPr>
          <w:sz w:val="20"/>
          <w:szCs w:val="20"/>
          <w:color w:val="auto"/>
        </w:rPr>
      </w:pPr>
    </w:p>
    <w:p>
      <w:pPr>
        <w:ind w:left="140" w:right="219" w:firstLine="586"/>
        <w:spacing w:after="0" w:line="261" w:lineRule="auto"/>
        <w:rPr>
          <w:sz w:val="20"/>
          <w:szCs w:val="20"/>
          <w:color w:val="auto"/>
        </w:rPr>
      </w:pPr>
      <w:r>
        <w:rPr>
          <w:rFonts w:ascii="Times New Roman" w:cs="Times New Roman" w:eastAsia="Times New Roman" w:hAnsi="Times New Roman"/>
          <w:sz w:val="16"/>
          <w:szCs w:val="16"/>
          <w:color w:val="auto"/>
        </w:rPr>
        <w:t>On June 14, 2019, Blueprint Medicines Corporation (the “Company”) issued a press release announcing the submission of a new drug application (“NDA”) to the U.S. Food and Drug Administration (“FDA”) for avapritinib for the treatment of adult patients with PDGFRA Exon 18 mutant gastrointestinal stromal tumors (“GIST”), regardless of prior therapy, and fourth-line GIST. The Company has requested priority review for the application, which, if granted, could result in a six-month review process. The FDA has a 60-day filing review period to determine whether the NDA is complete and acceptable for filing. A copy of the press release is furnished as Exhibit 99.1 to this Current Report on Form 8-K.</w:t>
      </w:r>
    </w:p>
    <w:p>
      <w:pPr>
        <w:spacing w:after="0" w:line="166" w:lineRule="exact"/>
        <w:rPr>
          <w:sz w:val="20"/>
          <w:szCs w:val="20"/>
          <w:color w:val="auto"/>
        </w:rPr>
      </w:pPr>
    </w:p>
    <w:p>
      <w:pPr>
        <w:ind w:left="140" w:right="239" w:firstLine="586"/>
        <w:spacing w:after="0" w:line="263" w:lineRule="auto"/>
        <w:rPr>
          <w:sz w:val="20"/>
          <w:szCs w:val="20"/>
          <w:color w:val="auto"/>
        </w:rPr>
      </w:pPr>
      <w:r>
        <w:rPr>
          <w:rFonts w:ascii="Times New Roman" w:cs="Times New Roman" w:eastAsia="Times New Roman" w:hAnsi="Times New Roman"/>
          <w:sz w:val="16"/>
          <w:szCs w:val="16"/>
          <w:color w:val="auto"/>
        </w:rPr>
        <w:t>On June 15, 2019, the Company announced updated data from its Phase 1 EXPLORER clinical trial evaluating avapritinib for the treatment of patients with advanced systemic mastocytosis (“SM”). The data were presented on Saturday, June 15, 2019 in an oral presentation at the 24</w:t>
      </w:r>
      <w:r>
        <w:rPr>
          <w:rFonts w:ascii="Times New Roman" w:cs="Times New Roman" w:eastAsia="Times New Roman" w:hAnsi="Times New Roman"/>
          <w:sz w:val="8"/>
          <w:szCs w:val="8"/>
          <w:color w:val="auto"/>
        </w:rPr>
        <w:t>th</w:t>
      </w:r>
      <w:r>
        <w:rPr>
          <w:rFonts w:ascii="Times New Roman" w:cs="Times New Roman" w:eastAsia="Times New Roman" w:hAnsi="Times New Roman"/>
          <w:sz w:val="16"/>
          <w:szCs w:val="16"/>
          <w:color w:val="auto"/>
        </w:rPr>
        <w:t xml:space="preserve"> Congress of the European Hematology Association (“EHA Annual Meeting”) in Amsterdam, The Netherlands. A copy of the press release is furnished as Exhibit 99.2 to this Current Report on Form 8-K, and a copy of the presentation is furnished as Exhibit 99.3 to this Current Report on Form 8-K.</w:t>
      </w:r>
    </w:p>
    <w:p>
      <w:pPr>
        <w:spacing w:after="0" w:line="163" w:lineRule="exact"/>
        <w:rPr>
          <w:sz w:val="20"/>
          <w:szCs w:val="20"/>
          <w:color w:val="auto"/>
        </w:rPr>
      </w:pPr>
    </w:p>
    <w:p>
      <w:pPr>
        <w:ind w:left="140" w:right="199" w:firstLine="586"/>
        <w:spacing w:after="0" w:line="266" w:lineRule="auto"/>
        <w:rPr>
          <w:sz w:val="20"/>
          <w:szCs w:val="20"/>
          <w:color w:val="auto"/>
        </w:rPr>
      </w:pPr>
      <w:r>
        <w:rPr>
          <w:rFonts w:ascii="Times New Roman" w:cs="Times New Roman" w:eastAsia="Times New Roman" w:hAnsi="Times New Roman"/>
          <w:sz w:val="16"/>
          <w:szCs w:val="16"/>
          <w:color w:val="auto"/>
        </w:rPr>
        <w:t>On June 17, 2019, the Company will host an investor call and live webcast to discuss the updated data from its Phase 1 EXPLORER clinical trial, which were presented at the EHA Annual Meeting, and its NDA submission to the FDA for avapritinib for the treatment of adult patients with PDGFRA Exon 18 mutant GIST, regardless of prior therapy, and fourth-line GIST. A copy of the presentation from the investor call is furnished as Exhibit 99.4 to this Current Report on Form 8-K.</w:t>
      </w:r>
    </w:p>
    <w:p>
      <w:pPr>
        <w:spacing w:after="0" w:line="160" w:lineRule="exact"/>
        <w:rPr>
          <w:sz w:val="20"/>
          <w:szCs w:val="20"/>
          <w:color w:val="auto"/>
        </w:rPr>
      </w:pPr>
    </w:p>
    <w:p>
      <w:pPr>
        <w:jc w:val="both"/>
        <w:ind w:left="140" w:right="259" w:firstLine="586"/>
        <w:spacing w:after="0" w:line="266"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including Exhibits 99.1, 99.2, 99.3 and 99.4,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58" w:lineRule="exact"/>
        <w:rPr>
          <w:sz w:val="20"/>
          <w:szCs w:val="20"/>
          <w:color w:val="auto"/>
        </w:rPr>
      </w:pPr>
    </w:p>
    <w:p>
      <w:pPr>
        <w:ind w:left="1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9.01</w:t>
        <w:tab/>
        <w:t>Financial Statements and Exhibits.</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211"/>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 Exhibits.</w:t>
            </w:r>
          </w:p>
        </w:tc>
        <w:tc>
          <w:tcPr>
            <w:tcW w:w="1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03"/>
        </w:trPr>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 w:type="dxa"/>
            <w:vAlign w:val="bottom"/>
          </w:tcPr>
          <w:p>
            <w:pPr>
              <w:spacing w:after="0"/>
              <w:rPr>
                <w:sz w:val="24"/>
                <w:szCs w:val="24"/>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2"/>
        </w:trPr>
        <w:tc>
          <w:tcPr>
            <w:tcW w:w="1260" w:type="dxa"/>
            <w:vAlign w:val="bottom"/>
            <w:tcBorders>
              <w:top w:val="single" w:sz="8" w:color="auto"/>
            </w:tcBorders>
          </w:tcPr>
          <w:p>
            <w:pPr>
              <w:ind w:left="100"/>
              <w:spacing w:after="0" w:line="152" w:lineRule="exact"/>
              <w:rPr>
                <w:sz w:val="20"/>
                <w:szCs w:val="20"/>
                <w:color w:val="auto"/>
              </w:rPr>
            </w:pPr>
            <w:r>
              <w:rPr>
                <w:rFonts w:ascii="Times New Roman" w:cs="Times New Roman" w:eastAsia="Times New Roman" w:hAnsi="Times New Roman"/>
                <w:sz w:val="16"/>
                <w:szCs w:val="16"/>
                <w:color w:val="auto"/>
              </w:rPr>
              <w:t>99.1</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40" w:type="dxa"/>
            <w:vAlign w:val="bottom"/>
            <w:tcBorders>
              <w:top w:val="single" w:sz="8" w:color="auto"/>
              <w:bottom w:val="single" w:sz="8" w:color="0000EE"/>
            </w:tcBorders>
          </w:tcPr>
          <w:p>
            <w:pPr>
              <w:spacing w:after="0" w:line="152" w:lineRule="exact"/>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Press release issued by Blueprint Medicines Corporation on June 14, 2019</w:t>
              </w:r>
            </w:hyperlink>
          </w:p>
        </w:tc>
        <w:tc>
          <w:tcPr>
            <w:tcW w:w="2280" w:type="dxa"/>
            <w:vAlign w:val="bottom"/>
            <w:tcBorders>
              <w:top w:val="single" w:sz="8" w:color="auto"/>
            </w:tcBorders>
            <w:gridSpan w:val="3"/>
          </w:tcPr>
          <w:p>
            <w:pPr>
              <w:spacing w:after="0"/>
              <w:rPr>
                <w:sz w:val="13"/>
                <w:szCs w:val="13"/>
                <w:color w:val="auto"/>
              </w:rPr>
            </w:pPr>
          </w:p>
        </w:tc>
      </w:tr>
      <w:tr>
        <w:trPr>
          <w:trHeight w:val="175"/>
        </w:trPr>
        <w:tc>
          <w:tcPr>
            <w:tcW w:w="126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99.2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tcBorders>
              <w:bottom w:val="single" w:sz="8" w:color="0000EE"/>
            </w:tcBorders>
          </w:tcPr>
          <w:p>
            <w:pPr>
              <w:spacing w:after="0" w:line="175" w:lineRule="exact"/>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Press release issued by Blueprint Medicines Corporation on June 15, 2019</w:t>
              </w:r>
            </w:hyperlink>
          </w:p>
        </w:tc>
        <w:tc>
          <w:tcPr>
            <w:tcW w:w="2280" w:type="dxa"/>
            <w:vAlign w:val="bottom"/>
            <w:gridSpan w:val="3"/>
          </w:tcPr>
          <w:p>
            <w:pPr>
              <w:spacing w:after="0"/>
              <w:rPr>
                <w:sz w:val="15"/>
                <w:szCs w:val="15"/>
                <w:color w:val="auto"/>
              </w:rPr>
            </w:pPr>
          </w:p>
        </w:tc>
      </w:tr>
      <w:tr>
        <w:trPr>
          <w:trHeight w:val="175"/>
        </w:trPr>
        <w:tc>
          <w:tcPr>
            <w:tcW w:w="126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99.3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40" w:type="dxa"/>
            <w:vAlign w:val="bottom"/>
            <w:tcBorders>
              <w:bottom w:val="single" w:sz="8" w:color="0000EE"/>
            </w:tcBorders>
            <w:gridSpan w:val="3"/>
          </w:tcPr>
          <w:p>
            <w:pPr>
              <w:spacing w:after="0" w:line="175" w:lineRule="exact"/>
              <w:rPr>
                <w:rFonts w:ascii="Times New Roman" w:cs="Times New Roman" w:eastAsia="Times New Roman" w:hAnsi="Times New Roman"/>
                <w:sz w:val="16"/>
                <w:szCs w:val="16"/>
                <w:color w:val="0000EE"/>
              </w:rPr>
            </w:pPr>
            <w:hyperlink w:anchor="page13">
              <w:r>
                <w:rPr>
                  <w:rFonts w:ascii="Times New Roman" w:cs="Times New Roman" w:eastAsia="Times New Roman" w:hAnsi="Times New Roman"/>
                  <w:sz w:val="16"/>
                  <w:szCs w:val="16"/>
                  <w:color w:val="0000EE"/>
                </w:rPr>
                <w:t>Presentation by Blueprint Medicines Corporation at the EHA Annual Meeting on June 15, 2019</w:t>
              </w:r>
            </w:hyperlink>
          </w:p>
        </w:tc>
        <w:tc>
          <w:tcPr>
            <w:tcW w:w="880" w:type="dxa"/>
            <w:vAlign w:val="bottom"/>
          </w:tcPr>
          <w:p>
            <w:pPr>
              <w:spacing w:after="0"/>
              <w:rPr>
                <w:sz w:val="15"/>
                <w:szCs w:val="15"/>
                <w:color w:val="auto"/>
              </w:rPr>
            </w:pPr>
          </w:p>
        </w:tc>
      </w:tr>
      <w:tr>
        <w:trPr>
          <w:trHeight w:val="175"/>
        </w:trPr>
        <w:tc>
          <w:tcPr>
            <w:tcW w:w="126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99.4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60" w:type="dxa"/>
            <w:vAlign w:val="bottom"/>
            <w:tcBorders>
              <w:bottom w:val="single" w:sz="8" w:color="0000EE"/>
            </w:tcBorders>
            <w:gridSpan w:val="2"/>
          </w:tcPr>
          <w:p>
            <w:pPr>
              <w:spacing w:after="0" w:line="175" w:lineRule="exact"/>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Presentation by Blueprint Medicines Corporation at investor call on June 17, 2019</w:t>
              </w:r>
            </w:hyperlink>
          </w:p>
        </w:tc>
        <w:tc>
          <w:tcPr>
            <w:tcW w:w="1760" w:type="dxa"/>
            <w:vAlign w:val="bottom"/>
            <w:gridSpan w:val="2"/>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327660</wp:posOffset>
            </wp:positionV>
            <wp:extent cx="5554980"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4980" cy="23495"/>
                    </a:xfrm>
                    <a:prstGeom prst="rect">
                      <a:avLst/>
                    </a:prstGeom>
                    <a:noFill/>
                  </pic:spPr>
                </pic:pic>
              </a:graphicData>
            </a:graphic>
          </wp:anchor>
        </w:drawing>
      </w:r>
    </w:p>
    <w:p>
      <w:pPr>
        <w:sectPr>
          <w:pgSz w:w="11900" w:h="16838" w:orient="portrait"/>
          <w:cols w:equalWidth="0" w:num="1">
            <w:col w:w="9019"/>
          </w:cols>
          <w:pgMar w:left="1440" w:top="41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8" w:lineRule="exact"/>
        <w:rPr>
          <w:sz w:val="20"/>
          <w:szCs w:val="20"/>
          <w:color w:val="auto"/>
        </w:rPr>
      </w:pPr>
    </w:p>
    <w:p>
      <w:pPr>
        <w:ind w:left="140" w:right="299" w:firstLine="586"/>
        <w:spacing w:after="0" w:line="28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48"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5520" w:type="dxa"/>
            <w:vAlign w:val="bottom"/>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BLUEPRINT MEDICINES CORPORATION</w:t>
            </w:r>
          </w:p>
        </w:tc>
        <w:tc>
          <w:tcPr>
            <w:tcW w:w="400" w:type="dxa"/>
            <w:vAlign w:val="bottom"/>
          </w:tcPr>
          <w:p>
            <w:pPr>
              <w:spacing w:after="0"/>
              <w:rPr>
                <w:sz w:val="18"/>
                <w:szCs w:val="18"/>
                <w:color w:val="auto"/>
              </w:rPr>
            </w:pPr>
          </w:p>
        </w:tc>
      </w:tr>
      <w:tr>
        <w:trPr>
          <w:trHeight w:val="57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Date: June 17, 2019</w:t>
            </w:r>
          </w:p>
        </w:tc>
        <w:tc>
          <w:tcPr>
            <w:tcW w:w="552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By: /s/ Tracey L.</w:t>
            </w:r>
          </w:p>
        </w:tc>
        <w:tc>
          <w:tcPr>
            <w:tcW w:w="400" w:type="dxa"/>
            <w:vAlign w:val="bottom"/>
          </w:tcPr>
          <w:p>
            <w:pPr>
              <w:spacing w:after="0"/>
              <w:rPr>
                <w:sz w:val="24"/>
                <w:szCs w:val="24"/>
                <w:color w:val="auto"/>
              </w:rPr>
            </w:pPr>
          </w:p>
        </w:tc>
      </w:tr>
      <w:tr>
        <w:trPr>
          <w:trHeight w:val="211"/>
        </w:trPr>
        <w:tc>
          <w:tcPr>
            <w:tcW w:w="28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McCain</w:t>
            </w:r>
          </w:p>
        </w:tc>
        <w:tc>
          <w:tcPr>
            <w:tcW w:w="400" w:type="dxa"/>
            <w:vAlign w:val="bottom"/>
          </w:tcPr>
          <w:p>
            <w:pPr>
              <w:spacing w:after="0"/>
              <w:rPr>
                <w:sz w:val="18"/>
                <w:szCs w:val="18"/>
                <w:color w:val="auto"/>
              </w:rPr>
            </w:pPr>
          </w:p>
        </w:tc>
      </w:tr>
      <w:tr>
        <w:trPr>
          <w:trHeight w:val="196"/>
        </w:trPr>
        <w:tc>
          <w:tcPr>
            <w:tcW w:w="28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171"/>
        </w:trPr>
        <w:tc>
          <w:tcPr>
            <w:tcW w:w="2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Tracey L. McCain</w:t>
            </w:r>
          </w:p>
        </w:tc>
        <w:tc>
          <w:tcPr>
            <w:tcW w:w="400" w:type="dxa"/>
            <w:vAlign w:val="bottom"/>
          </w:tcPr>
          <w:p>
            <w:pPr>
              <w:spacing w:after="0"/>
              <w:rPr>
                <w:sz w:val="14"/>
                <w:szCs w:val="14"/>
                <w:color w:val="auto"/>
              </w:rPr>
            </w:pPr>
          </w:p>
        </w:tc>
      </w:tr>
      <w:tr>
        <w:trPr>
          <w:trHeight w:val="211"/>
        </w:trPr>
        <w:tc>
          <w:tcPr>
            <w:tcW w:w="28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Chief Legal Officer</w:t>
            </w:r>
          </w:p>
        </w:tc>
        <w:tc>
          <w:tcPr>
            <w:tcW w:w="400" w:type="dxa"/>
            <w:vAlign w:val="bottom"/>
          </w:tcPr>
          <w:p>
            <w:pPr>
              <w:spacing w:after="0"/>
              <w:rPr>
                <w:sz w:val="18"/>
                <w:szCs w:val="18"/>
                <w:color w:val="auto"/>
              </w:rPr>
            </w:pPr>
          </w:p>
        </w:tc>
      </w:tr>
      <w:tr>
        <w:trPr>
          <w:trHeight w:val="781"/>
        </w:trPr>
        <w:tc>
          <w:tcPr>
            <w:tcW w:w="2820" w:type="dxa"/>
            <w:vAlign w:val="bottom"/>
          </w:tcPr>
          <w:p>
            <w:pPr>
              <w:spacing w:after="0"/>
              <w:rPr>
                <w:sz w:val="24"/>
                <w:szCs w:val="24"/>
                <w:color w:val="auto"/>
              </w:rPr>
            </w:pPr>
          </w:p>
        </w:tc>
        <w:tc>
          <w:tcPr>
            <w:tcW w:w="1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5"/>
        </w:trPr>
        <w:tc>
          <w:tcPr>
            <w:tcW w:w="28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14" w:right="1440" w:bottom="1440" w:gutter="0" w:footer="0" w:header="0"/>
        </w:sectPr>
      </w:pPr>
    </w:p>
    <w:bookmarkStart w:id="3" w:name="page4"/>
    <w:bookmarkEnd w:id="3"/>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4445</wp:posOffset>
            </wp:positionV>
            <wp:extent cx="1518285" cy="511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8285" cy="51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1600"/>
        <w:spacing w:after="0" w:line="236" w:lineRule="auto"/>
        <w:rPr>
          <w:sz w:val="20"/>
          <w:szCs w:val="20"/>
          <w:color w:val="auto"/>
        </w:rPr>
      </w:pPr>
      <w:r>
        <w:rPr>
          <w:rFonts w:ascii="Times New Roman" w:cs="Times New Roman" w:eastAsia="Times New Roman" w:hAnsi="Times New Roman"/>
          <w:sz w:val="18"/>
          <w:szCs w:val="18"/>
          <w:b w:val="1"/>
          <w:bCs w:val="1"/>
          <w:color w:val="auto"/>
        </w:rPr>
        <w:t>Blueprint Medicines Submits New Drug Application to U.S. Food and Drug Administration for Avapritinib for the Treatment of PDGFRA Exon 18 Mutant GIST and Fourth-Line GIST</w:t>
      </w:r>
    </w:p>
    <w:p>
      <w:pPr>
        <w:spacing w:after="0" w:line="109" w:lineRule="exact"/>
        <w:rPr>
          <w:sz w:val="20"/>
          <w:szCs w:val="20"/>
          <w:color w:val="auto"/>
        </w:rPr>
      </w:pPr>
    </w:p>
    <w:p>
      <w:pPr>
        <w:ind w:left="140" w:right="479"/>
        <w:spacing w:after="0" w:line="210" w:lineRule="auto"/>
        <w:rPr>
          <w:sz w:val="20"/>
          <w:szCs w:val="20"/>
          <w:color w:val="auto"/>
        </w:rPr>
      </w:pPr>
      <w:r>
        <w:rPr>
          <w:rFonts w:ascii="Times New Roman" w:cs="Times New Roman" w:eastAsia="Times New Roman" w:hAnsi="Times New Roman"/>
          <w:sz w:val="18"/>
          <w:szCs w:val="18"/>
          <w:color w:val="auto"/>
        </w:rPr>
        <w:t>CAMBRIDGE, Mass., June 14, 2019 – Blueprint Medicines Corporation (NASDAQ: BPMC), a precision therapy company focused on genomically defined cancers, rare diseases and cancer immunotherapy, today announced it has submitted a New Drug Application (NDA) to the U.S. Food and Drug Administration (FDA) for avapritinib for the treatment of adult patients with PDGFRA Exon 18 mutant gastrointestinal stromal tumors (GIST), regardless of prior therapy, and fourth-line GIST. Currently, no effective therapy exists for either population. Avapritinib is an investigational, potent and highly selective KIT and PDGFRA inhibitor for patients with advanced GIST.</w:t>
      </w:r>
    </w:p>
    <w:p>
      <w:pPr>
        <w:spacing w:after="0" w:line="109" w:lineRule="exact"/>
        <w:rPr>
          <w:sz w:val="20"/>
          <w:szCs w:val="20"/>
          <w:color w:val="auto"/>
        </w:rPr>
      </w:pPr>
    </w:p>
    <w:p>
      <w:pPr>
        <w:ind w:left="140" w:right="159"/>
        <w:spacing w:after="0" w:line="216" w:lineRule="auto"/>
        <w:rPr>
          <w:sz w:val="20"/>
          <w:szCs w:val="20"/>
          <w:color w:val="auto"/>
        </w:rPr>
      </w:pPr>
      <w:r>
        <w:rPr>
          <w:rFonts w:ascii="Times New Roman" w:cs="Times New Roman" w:eastAsia="Times New Roman" w:hAnsi="Times New Roman"/>
          <w:sz w:val="18"/>
          <w:szCs w:val="18"/>
          <w:color w:val="auto"/>
        </w:rPr>
        <w:t>Avapritinib has received Breakthrough Therapy Designation from the FDA for the treatment of patients with unresectable or metastatic GIST harboring the PDGFRα D842V mutation, as well as Fast Track Designations for the treatment of patients with GIST harboring a PDGFRα D842V mutation regardless of prior therapy, and patients with GIST who have progressed following treatment with imatinib and a second tyrosine kinase inhibitor.</w:t>
      </w:r>
    </w:p>
    <w:p>
      <w:pPr>
        <w:spacing w:after="0" w:line="109" w:lineRule="exact"/>
        <w:rPr>
          <w:sz w:val="20"/>
          <w:szCs w:val="20"/>
          <w:color w:val="auto"/>
        </w:rPr>
      </w:pPr>
    </w:p>
    <w:p>
      <w:pPr>
        <w:ind w:left="140" w:right="139"/>
        <w:spacing w:after="0" w:line="222" w:lineRule="auto"/>
        <w:rPr>
          <w:sz w:val="20"/>
          <w:szCs w:val="20"/>
          <w:color w:val="auto"/>
        </w:rPr>
      </w:pPr>
      <w:r>
        <w:rPr>
          <w:rFonts w:ascii="Times New Roman" w:cs="Times New Roman" w:eastAsia="Times New Roman" w:hAnsi="Times New Roman"/>
          <w:sz w:val="18"/>
          <w:szCs w:val="18"/>
          <w:color w:val="auto"/>
        </w:rPr>
        <w:t>Blueprint Medicines has requested priority review for the application, which, if granted, could result in a six-month review process. The FDA has a 60-day filing review period to determine whether the NDA is complete and acceptable for filing.</w:t>
      </w:r>
    </w:p>
    <w:p>
      <w:pPr>
        <w:spacing w:after="0" w:line="109" w:lineRule="exact"/>
        <w:rPr>
          <w:sz w:val="20"/>
          <w:szCs w:val="20"/>
          <w:color w:val="auto"/>
        </w:rPr>
      </w:pPr>
    </w:p>
    <w:p>
      <w:pPr>
        <w:ind w:left="140" w:right="319"/>
        <w:spacing w:after="0" w:line="223" w:lineRule="auto"/>
        <w:rPr>
          <w:sz w:val="20"/>
          <w:szCs w:val="20"/>
          <w:color w:val="auto"/>
        </w:rPr>
      </w:pPr>
      <w:r>
        <w:rPr>
          <w:rFonts w:ascii="Times New Roman" w:cs="Times New Roman" w:eastAsia="Times New Roman" w:hAnsi="Times New Roman"/>
          <w:sz w:val="18"/>
          <w:szCs w:val="18"/>
          <w:color w:val="auto"/>
        </w:rPr>
        <w:t>“There is an important need for new treatment options that offer durable responses for PDGFRA Exon 18 mutant and fourth-line GIST patients,” said Andy Boral, M.D., Ph.D., Chief Medical Officer at Blueprint Medicines. “By targeting the underlying molecular drivers of GIST, avapritinib has the potential to help these patients realize the benefits of precision therapy. We plan to work closely with the FDA to bring avapritinib to appropriate GIST patients as quickly as possible.”</w:t>
      </w:r>
    </w:p>
    <w:p>
      <w:pPr>
        <w:spacing w:after="0" w:line="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About GIST</w:t>
      </w:r>
    </w:p>
    <w:p>
      <w:pPr>
        <w:spacing w:after="0" w:line="139" w:lineRule="exact"/>
        <w:rPr>
          <w:sz w:val="20"/>
          <w:szCs w:val="20"/>
          <w:color w:val="auto"/>
        </w:rPr>
      </w:pPr>
    </w:p>
    <w:p>
      <w:pPr>
        <w:jc w:val="both"/>
        <w:ind w:left="140" w:right="199"/>
        <w:spacing w:after="0" w:line="216" w:lineRule="auto"/>
        <w:rPr>
          <w:sz w:val="20"/>
          <w:szCs w:val="20"/>
          <w:color w:val="auto"/>
        </w:rPr>
      </w:pPr>
      <w:r>
        <w:rPr>
          <w:rFonts w:ascii="Times New Roman" w:cs="Times New Roman" w:eastAsia="Times New Roman" w:hAnsi="Times New Roman"/>
          <w:sz w:val="18"/>
          <w:szCs w:val="18"/>
          <w:color w:val="auto"/>
        </w:rPr>
        <w:t>GIST is a sarcoma, or tumor of bone or connective tissue, of the gastrointestinal (GI) tract. Tumors arise from cells in the wall of the GI tract and occur most often in the stomach or small intestine. Most patients are diagnosed between the ages of 50 to 80, and diagnosis is typically triggered by GI bleeding, incidental findings during surgery or imaging and, in rare cases, tumor rupture or GI obstruction.</w:t>
      </w:r>
    </w:p>
    <w:p>
      <w:pPr>
        <w:spacing w:after="0" w:line="109" w:lineRule="exact"/>
        <w:rPr>
          <w:sz w:val="20"/>
          <w:szCs w:val="20"/>
          <w:color w:val="auto"/>
        </w:rPr>
      </w:pPr>
    </w:p>
    <w:p>
      <w:pPr>
        <w:ind w:left="140" w:right="379"/>
        <w:spacing w:after="0" w:line="235" w:lineRule="auto"/>
        <w:rPr>
          <w:sz w:val="20"/>
          <w:szCs w:val="20"/>
          <w:color w:val="auto"/>
        </w:rPr>
      </w:pPr>
      <w:r>
        <w:rPr>
          <w:rFonts w:ascii="Times New Roman" w:cs="Times New Roman" w:eastAsia="Times New Roman" w:hAnsi="Times New Roman"/>
          <w:sz w:val="17"/>
          <w:szCs w:val="17"/>
          <w:color w:val="auto"/>
        </w:rPr>
        <w:t>Most GIST cases are caused by a spectrum of clinically relevant mutations that force the KIT or PDGFRA protein kinases into an increasingly active state. Because currently available therapies primarily bind to the inactive protein conformations, certain primary and secondary mutations typically lead to treatment resistance and disease progression.</w:t>
      </w:r>
    </w:p>
    <w:p>
      <w:pPr>
        <w:spacing w:after="0" w:line="109" w:lineRule="exact"/>
        <w:rPr>
          <w:sz w:val="20"/>
          <w:szCs w:val="20"/>
          <w:color w:val="auto"/>
        </w:rPr>
      </w:pPr>
    </w:p>
    <w:p>
      <w:pPr>
        <w:ind w:left="140" w:right="339"/>
        <w:spacing w:after="0" w:line="212" w:lineRule="auto"/>
        <w:rPr>
          <w:sz w:val="20"/>
          <w:szCs w:val="20"/>
          <w:color w:val="auto"/>
        </w:rPr>
      </w:pPr>
      <w:r>
        <w:rPr>
          <w:rFonts w:ascii="Times New Roman" w:cs="Times New Roman" w:eastAsia="Times New Roman" w:hAnsi="Times New Roman"/>
          <w:sz w:val="18"/>
          <w:szCs w:val="18"/>
          <w:color w:val="auto"/>
        </w:rPr>
        <w:t>In unresectable or metastatic GIST, clinical benefits from existing treatments can vary by mutation type. Mutational testing is critical to tailor therapy to the underlying disease driver and is recommended in expert guidelines. Currently, there are no approved therapies for patients with KIT-driven GIST whose disease progresses beyond imatinib, sunitinib and regorafenib. In patients with metastatic PDGFRα D842V-driven GIST, progression occurs in a median of approximately three to four months with available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292735</wp:posOffset>
            </wp:positionV>
            <wp:extent cx="5554980"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4980" cy="2349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140"/>
        <w:spacing w:after="0"/>
        <w:rPr>
          <w:sz w:val="20"/>
          <w:szCs w:val="20"/>
          <w:color w:val="auto"/>
        </w:rPr>
      </w:pPr>
      <w:r>
        <w:rPr>
          <w:rFonts w:ascii="Times New Roman" w:cs="Times New Roman" w:eastAsia="Times New Roman" w:hAnsi="Times New Roman"/>
          <w:sz w:val="18"/>
          <w:szCs w:val="18"/>
          <w:b w:val="1"/>
          <w:bCs w:val="1"/>
          <w:color w:val="auto"/>
        </w:rPr>
        <w:t>About Avapritinib</w:t>
      </w:r>
    </w:p>
    <w:p>
      <w:pPr>
        <w:spacing w:after="0" w:line="139" w:lineRule="exact"/>
        <w:rPr>
          <w:sz w:val="20"/>
          <w:szCs w:val="20"/>
          <w:color w:val="auto"/>
        </w:rPr>
      </w:pPr>
    </w:p>
    <w:p>
      <w:pPr>
        <w:ind w:left="140" w:right="359"/>
        <w:spacing w:after="0" w:line="212" w:lineRule="auto"/>
        <w:rPr>
          <w:sz w:val="20"/>
          <w:szCs w:val="20"/>
          <w:color w:val="auto"/>
        </w:rPr>
      </w:pPr>
      <w:r>
        <w:rPr>
          <w:rFonts w:ascii="Times New Roman" w:cs="Times New Roman" w:eastAsia="Times New Roman" w:hAnsi="Times New Roman"/>
          <w:sz w:val="18"/>
          <w:szCs w:val="18"/>
          <w:color w:val="auto"/>
        </w:rPr>
        <w:t>Avapritinib is an investigational, oral precision therapy that selectively and potently inhibits KIT and PDGFRA mutant kinases. It is a type 1 inhibitor designed to target the active kinase conformation; all oncogenic kinases signal via this conformation. Avapritinib has demonstrated broad inhibition of KIT and PDGFRA mutations associated with GIST, including potent activity against activation loop mutations that are associated with resistance to currently approved therapies.</w:t>
      </w:r>
    </w:p>
    <w:p>
      <w:pPr>
        <w:spacing w:after="0" w:line="111" w:lineRule="exact"/>
        <w:rPr>
          <w:sz w:val="20"/>
          <w:szCs w:val="20"/>
          <w:color w:val="auto"/>
        </w:rPr>
      </w:pPr>
    </w:p>
    <w:p>
      <w:pPr>
        <w:ind w:left="140" w:right="239"/>
        <w:spacing w:after="0" w:line="212" w:lineRule="auto"/>
        <w:rPr>
          <w:sz w:val="20"/>
          <w:szCs w:val="20"/>
          <w:color w:val="auto"/>
        </w:rPr>
      </w:pPr>
      <w:r>
        <w:rPr>
          <w:rFonts w:ascii="Times New Roman" w:cs="Times New Roman" w:eastAsia="Times New Roman" w:hAnsi="Times New Roman"/>
          <w:sz w:val="18"/>
          <w:szCs w:val="18"/>
          <w:color w:val="auto"/>
        </w:rPr>
        <w:t>Blueprint Medicines is initially developing avapritinib for the treatment of advanced GIST, advanced systemic mastocytosis (SM), and indolent and smoldering SM. The FDA has granted Breakthrough Therapy Designation to avapritinib for two indications: one for the treatment of unresectable or metastatic GIST harboring the PDGFRα D842V mutation and one for the treatment of advanced SM, including the subtypes of aggressive SM, SM with an associated hematologic neoplasm and mast cell leukemia.</w:t>
      </w:r>
    </w:p>
    <w:p>
      <w:pPr>
        <w:spacing w:after="0" w:line="111" w:lineRule="exact"/>
        <w:rPr>
          <w:sz w:val="20"/>
          <w:szCs w:val="20"/>
          <w:color w:val="auto"/>
        </w:rPr>
      </w:pPr>
    </w:p>
    <w:p>
      <w:pPr>
        <w:ind w:left="140" w:right="479"/>
        <w:spacing w:after="0" w:line="216" w:lineRule="auto"/>
        <w:rPr>
          <w:sz w:val="20"/>
          <w:szCs w:val="20"/>
          <w:color w:val="auto"/>
        </w:rPr>
      </w:pPr>
      <w:r>
        <w:rPr>
          <w:rFonts w:ascii="Times New Roman" w:cs="Times New Roman" w:eastAsia="Times New Roman" w:hAnsi="Times New Roman"/>
          <w:sz w:val="18"/>
          <w:szCs w:val="18"/>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1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139" w:lineRule="exact"/>
        <w:rPr>
          <w:sz w:val="20"/>
          <w:szCs w:val="20"/>
          <w:color w:val="auto"/>
        </w:rPr>
      </w:pPr>
    </w:p>
    <w:p>
      <w:pPr>
        <w:ind w:left="140" w:right="339"/>
        <w:spacing w:after="0" w:line="222" w:lineRule="auto"/>
        <w:rPr>
          <w:sz w:val="20"/>
          <w:szCs w:val="20"/>
          <w:color w:val="auto"/>
        </w:rPr>
      </w:pPr>
      <w:r>
        <w:rPr>
          <w:rFonts w:ascii="Times New Roman" w:cs="Times New Roman" w:eastAsia="Times New Roman" w:hAnsi="Times New Roman"/>
          <w:sz w:val="17"/>
          <w:szCs w:val="17"/>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four investigational medicines in clinical development, along with multiple research programs. For more information, visit </w:t>
      </w:r>
      <w:r>
        <w:rPr>
          <w:rFonts w:ascii="Times New Roman" w:cs="Times New Roman" w:eastAsia="Times New Roman" w:hAnsi="Times New Roman"/>
          <w:sz w:val="17"/>
          <w:szCs w:val="17"/>
          <w:color w:val="006E96"/>
          <w:highlight w:val="white"/>
        </w:rPr>
        <w:t>www.BlueprintMedicines.com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A0A0A"/>
          <w:highlight w:val="white"/>
        </w:rPr>
        <w:t>and follow us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Twitter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A0A0A"/>
          <w:highlight w:val="white"/>
        </w:rPr>
        <w:t>(@BlueprintMeds)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6E96"/>
          <w:highlight w:val="white"/>
        </w:rPr>
        <w:t>LinkedIn</w:t>
      </w:r>
      <w:r>
        <w:rPr>
          <w:rFonts w:ascii="Times New Roman" w:cs="Times New Roman" w:eastAsia="Times New Roman" w:hAnsi="Times New Roman"/>
          <w:sz w:val="17"/>
          <w:szCs w:val="17"/>
          <w:color w:val="0A0A0A"/>
          <w:highlight w:val="white"/>
        </w:rPr>
        <w:t>.</w:t>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9" w:lineRule="exact"/>
        <w:rPr>
          <w:sz w:val="20"/>
          <w:szCs w:val="20"/>
          <w:color w:val="auto"/>
        </w:rPr>
      </w:pPr>
    </w:p>
    <w:p>
      <w:pPr>
        <w:ind w:left="140" w:right="219"/>
        <w:spacing w:after="0" w:line="20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the potential benefits of avapritinib in treating patients with GIST; plans, timelines and expectations for interactions with the FDA; plans, timelines and expectations for the commercialization of avapritinib for the treatment of GIST, if approved by the FDA;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BLU-667, BLU-554 and BLU-782; Blueprint Medicines’ advancement of multiple early-stage efforts;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292735</wp:posOffset>
            </wp:positionV>
            <wp:extent cx="5554980"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4980" cy="23495"/>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5" w:name="page6"/>
    <w:bookmarkEnd w:id="5"/>
    <w:p>
      <w:pPr>
        <w:ind w:left="140" w:right="159"/>
        <w:spacing w:after="0" w:line="203" w:lineRule="auto"/>
        <w:rPr>
          <w:sz w:val="20"/>
          <w:szCs w:val="20"/>
          <w:color w:val="auto"/>
        </w:rPr>
      </w:pPr>
      <w:r>
        <w:rPr>
          <w:rFonts w:ascii="Times New Roman" w:cs="Times New Roman" w:eastAsia="Times New Roman" w:hAnsi="Times New Roman"/>
          <w:sz w:val="18"/>
          <w:szCs w:val="18"/>
          <w:color w:val="auto"/>
        </w:rPr>
        <w:t>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period ended March 31, 2019, as filed with the Securities and Exchange Commission (SEC) on May 9, 2019,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Kristin Hodous</w:t>
      </w:r>
    </w:p>
    <w:p>
      <w:pPr>
        <w:ind w:left="140"/>
        <w:spacing w:after="0" w:line="198" w:lineRule="auto"/>
        <w:rPr>
          <w:sz w:val="20"/>
          <w:szCs w:val="20"/>
          <w:color w:val="auto"/>
        </w:rPr>
      </w:pPr>
      <w:r>
        <w:rPr>
          <w:rFonts w:ascii="Times New Roman" w:cs="Times New Roman" w:eastAsia="Times New Roman" w:hAnsi="Times New Roman"/>
          <w:sz w:val="18"/>
          <w:szCs w:val="18"/>
          <w:color w:val="auto"/>
        </w:rPr>
        <w:t>617-714-6674</w:t>
      </w:r>
    </w:p>
    <w:p>
      <w:pPr>
        <w:ind w:left="140"/>
        <w:spacing w:after="0"/>
        <w:rPr>
          <w:sz w:val="20"/>
          <w:szCs w:val="20"/>
          <w:color w:val="auto"/>
        </w:rPr>
      </w:pPr>
      <w:r>
        <w:rPr>
          <w:rFonts w:ascii="Times New Roman" w:cs="Times New Roman" w:eastAsia="Times New Roman" w:hAnsi="Times New Roman"/>
          <w:sz w:val="18"/>
          <w:szCs w:val="18"/>
          <w:color w:val="auto"/>
        </w:rPr>
        <w:t>ir@blueprintmedicines.com</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Andrew Law</w:t>
      </w:r>
    </w:p>
    <w:p>
      <w:pPr>
        <w:ind w:left="140"/>
        <w:spacing w:after="0" w:line="198" w:lineRule="auto"/>
        <w:rPr>
          <w:sz w:val="20"/>
          <w:szCs w:val="20"/>
          <w:color w:val="auto"/>
        </w:rPr>
      </w:pPr>
      <w:r>
        <w:rPr>
          <w:rFonts w:ascii="Times New Roman" w:cs="Times New Roman" w:eastAsia="Times New Roman" w:hAnsi="Times New Roman"/>
          <w:sz w:val="18"/>
          <w:szCs w:val="18"/>
          <w:color w:val="auto"/>
        </w:rPr>
        <w:t>617-844-8205</w:t>
      </w:r>
    </w:p>
    <w:p>
      <w:pPr>
        <w:ind w:left="140"/>
        <w:spacing w:after="0"/>
        <w:rPr>
          <w:sz w:val="20"/>
          <w:szCs w:val="20"/>
          <w:color w:val="auto"/>
        </w:rPr>
      </w:pPr>
      <w:r>
        <w:rPr>
          <w:rFonts w:ascii="Times New Roman" w:cs="Times New Roman" w:eastAsia="Times New Roman" w:hAnsi="Times New Roman"/>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295275</wp:posOffset>
            </wp:positionV>
            <wp:extent cx="555498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23495"/>
                    </a:xfrm>
                    <a:prstGeom prst="rect">
                      <a:avLst/>
                    </a:prstGeom>
                    <a:noFill/>
                  </pic:spPr>
                </pic:pic>
              </a:graphicData>
            </a:graphic>
          </wp:anchor>
        </w:drawing>
      </w:r>
    </w:p>
    <w:p>
      <w:pPr>
        <w:sectPr>
          <w:pgSz w:w="11900" w:h="16838" w:orient="portrait"/>
          <w:cols w:equalWidth="0" w:num="1">
            <w:col w:w="9019"/>
          </w:cols>
          <w:pgMar w:left="1440" w:top="326" w:right="1440" w:bottom="1440" w:gutter="0" w:footer="0" w:header="0"/>
        </w:sectPr>
      </w:pPr>
    </w:p>
    <w:bookmarkStart w:id="6" w:name="page7"/>
    <w:bookmarkEnd w:id="6"/>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4445</wp:posOffset>
            </wp:positionV>
            <wp:extent cx="1518285" cy="511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8285" cy="51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1600" w:right="380"/>
        <w:spacing w:after="0" w:line="269" w:lineRule="auto"/>
        <w:rPr>
          <w:sz w:val="20"/>
          <w:szCs w:val="20"/>
          <w:color w:val="auto"/>
        </w:rPr>
      </w:pPr>
      <w:r>
        <w:rPr>
          <w:rFonts w:ascii="Times New Roman" w:cs="Times New Roman" w:eastAsia="Times New Roman" w:hAnsi="Times New Roman"/>
          <w:sz w:val="18"/>
          <w:szCs w:val="18"/>
          <w:b w:val="1"/>
          <w:bCs w:val="1"/>
          <w:color w:val="auto"/>
        </w:rPr>
        <w:t>Blueprint Medicines Presents Updated EXPLORER Trial Data for Avapritinib in Patients with Systemic Mastocytosis at 24</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8"/>
          <w:szCs w:val="18"/>
          <w:b w:val="1"/>
          <w:bCs w:val="1"/>
          <w:color w:val="auto"/>
        </w:rPr>
        <w:t xml:space="preserve"> EHA Congress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Confirmed 77% ORR per central review in advanced SM --</w:t>
      </w:r>
    </w:p>
    <w:p>
      <w:pPr>
        <w:spacing w:after="0" w:line="135" w:lineRule="exact"/>
        <w:rPr>
          <w:sz w:val="20"/>
          <w:szCs w:val="20"/>
          <w:color w:val="auto"/>
        </w:rPr>
      </w:pPr>
    </w:p>
    <w:p>
      <w:pPr>
        <w:jc w:val="center"/>
        <w:ind w:left="3120" w:right="279" w:hanging="2836"/>
        <w:spacing w:after="0" w:line="235" w:lineRule="auto"/>
        <w:tabs>
          <w:tab w:leader="none" w:pos="457"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Consistent and profound improvements on measures of mast cell burden across all disease subtypes, including in 15 indolent and smoldering SM patients --</w:t>
      </w:r>
    </w:p>
    <w:p>
      <w:pPr>
        <w:spacing w:after="0" w:line="107" w:lineRule="exact"/>
        <w:rPr>
          <w:rFonts w:ascii="Times New Roman" w:cs="Times New Roman" w:eastAsia="Times New Roman" w:hAnsi="Times New Roman"/>
          <w:sz w:val="18"/>
          <w:szCs w:val="18"/>
          <w:i w:val="1"/>
          <w:iCs w:val="1"/>
          <w:color w:val="auto"/>
        </w:rPr>
      </w:pPr>
    </w:p>
    <w:p>
      <w:pPr>
        <w:ind w:left="1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Median overall survival not reached with ongoing treatment durations up to 34 months --</w:t>
      </w:r>
    </w:p>
    <w:p>
      <w:pPr>
        <w:spacing w:after="0" w:line="134" w:lineRule="exact"/>
        <w:rPr>
          <w:rFonts w:ascii="Times New Roman" w:cs="Times New Roman" w:eastAsia="Times New Roman" w:hAnsi="Times New Roman"/>
          <w:sz w:val="18"/>
          <w:szCs w:val="18"/>
          <w:i w:val="1"/>
          <w:iCs w:val="1"/>
          <w:color w:val="auto"/>
        </w:rPr>
      </w:pPr>
    </w:p>
    <w:p>
      <w:pPr>
        <w:ind w:left="1240" w:hanging="173"/>
        <w:spacing w:after="0"/>
        <w:tabs>
          <w:tab w:leader="none" w:pos="124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Updated data support plans to submit NDA to FDA in advanced SM in first quarter of 2020 --</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Blueprint Medicines to host investor conference call and webcast on Monday, June 17, 2019 at 8:30 a.m. ET --</w:t>
      </w:r>
    </w:p>
    <w:p>
      <w:pPr>
        <w:spacing w:after="0" w:line="137" w:lineRule="exact"/>
        <w:rPr>
          <w:sz w:val="20"/>
          <w:szCs w:val="20"/>
          <w:color w:val="auto"/>
        </w:rPr>
      </w:pPr>
    </w:p>
    <w:p>
      <w:pPr>
        <w:ind w:left="140" w:right="139"/>
        <w:spacing w:after="0" w:line="206" w:lineRule="auto"/>
        <w:rPr>
          <w:sz w:val="20"/>
          <w:szCs w:val="20"/>
          <w:color w:val="auto"/>
        </w:rPr>
      </w:pPr>
      <w:r>
        <w:rPr>
          <w:rFonts w:ascii="Times New Roman" w:cs="Times New Roman" w:eastAsia="Times New Roman" w:hAnsi="Times New Roman"/>
          <w:sz w:val="18"/>
          <w:szCs w:val="18"/>
          <w:color w:val="auto"/>
        </w:rPr>
        <w:t>CAMBRIDGE, Mass., June 15, 2019 – Blueprint Medicines Corporation (NASDAQ: BPMC), a precision therapy company focused on genomically defined cancers, rare diseases and cancer immunotherapy, today announced updated data from the ongoing, registration-enabling EXPLORER trial of avapritinib in patients with systemic mastocytosis (SM). The updated data showed a confirmed overall response rate (ORR) of 77 percent in advanced SM patients, as assessed by a central review committee of SM clinical experts. In addition, the data showed durable clinical activity across advanced, smoldering and indolent forms of SM, with patients on therapy up to 34 months and responses continuing to deepen over time. Avapritinib was generally well-tolerated, with most adverse events (AEs) reported by investigators as Grade 1 or 2. The results are being presented today in an oral presentation at the 24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8"/>
          <w:szCs w:val="18"/>
          <w:color w:val="auto"/>
        </w:rPr>
        <w:t xml:space="preserve"> Congress of the European Hematology Association (EHA) in Amsterdam, The Netherlands.</w:t>
      </w:r>
    </w:p>
    <w:p>
      <w:pPr>
        <w:spacing w:after="0" w:line="109" w:lineRule="exact"/>
        <w:rPr>
          <w:sz w:val="20"/>
          <w:szCs w:val="20"/>
          <w:color w:val="auto"/>
        </w:rPr>
      </w:pPr>
    </w:p>
    <w:p>
      <w:pPr>
        <w:ind w:left="140" w:right="159"/>
        <w:spacing w:after="0" w:line="210" w:lineRule="auto"/>
        <w:rPr>
          <w:sz w:val="20"/>
          <w:szCs w:val="20"/>
          <w:color w:val="auto"/>
        </w:rPr>
      </w:pPr>
      <w:r>
        <w:rPr>
          <w:rFonts w:ascii="Times New Roman" w:cs="Times New Roman" w:eastAsia="Times New Roman" w:hAnsi="Times New Roman"/>
          <w:sz w:val="18"/>
          <w:szCs w:val="18"/>
          <w:color w:val="auto"/>
        </w:rPr>
        <w:t>These updated data from the EXPLORER trial support Blueprint Medicines' plans to submit a New Drug Application (NDA) to the U.S. Food and Drug Administration (FDA) for avapritinib for the treatment of advanced SM in the first quarter of 2020, subject to continued discussions with the FDA regarding the data required to support an NDA submission. Avapritinib has received FDA Breakthrough Therapy Designation for the treatment of patients with advanced SM, including the subtypes of aggressive SM (ASM), SM with an associated hematologic neoplasm (SM-AHN) and mast cell leukemia (MCL).</w:t>
      </w:r>
    </w:p>
    <w:p>
      <w:pPr>
        <w:spacing w:after="0" w:line="109" w:lineRule="exact"/>
        <w:rPr>
          <w:sz w:val="20"/>
          <w:szCs w:val="20"/>
          <w:color w:val="auto"/>
        </w:rPr>
      </w:pPr>
    </w:p>
    <w:p>
      <w:pPr>
        <w:ind w:left="140" w:right="299"/>
        <w:spacing w:after="0" w:line="208" w:lineRule="auto"/>
        <w:rPr>
          <w:sz w:val="20"/>
          <w:szCs w:val="20"/>
          <w:color w:val="auto"/>
        </w:rPr>
      </w:pPr>
      <w:r>
        <w:rPr>
          <w:rFonts w:ascii="Times New Roman" w:cs="Times New Roman" w:eastAsia="Times New Roman" w:hAnsi="Times New Roman"/>
          <w:sz w:val="18"/>
          <w:szCs w:val="18"/>
          <w:color w:val="auto"/>
        </w:rPr>
        <w:t>“I believe that potently and selectively targeting KIT D816V, the disease driver in nearly all systemic mastocytosis patients, represents a promising therapeutic approach,” said Dr. Deepti Radia, a hematologist and an investigator on the EXPLORER trial. “These new data showed avapritinib led to profound reductions of objective mast cell burden and durable clinical responses across a broad patient population. In advanced systemic mastocytosis, I am particularly encouraged by the strong activity shown in patients with especially poor survival rates, such as those with mast cell leukemia or high-risk genotypes. These data further reinforce the broad potential of avapritinib to address important medical needs across the spectrum of the disease.”</w:t>
      </w:r>
    </w:p>
    <w:p>
      <w:pPr>
        <w:spacing w:after="0" w:line="111" w:lineRule="exact"/>
        <w:rPr>
          <w:sz w:val="20"/>
          <w:szCs w:val="20"/>
          <w:color w:val="auto"/>
        </w:rPr>
      </w:pPr>
    </w:p>
    <w:p>
      <w:pPr>
        <w:jc w:val="both"/>
        <w:ind w:left="140" w:right="579"/>
        <w:spacing w:after="0" w:line="222" w:lineRule="auto"/>
        <w:rPr>
          <w:sz w:val="20"/>
          <w:szCs w:val="20"/>
          <w:color w:val="auto"/>
        </w:rPr>
      </w:pPr>
      <w:r>
        <w:rPr>
          <w:rFonts w:ascii="Times New Roman" w:cs="Times New Roman" w:eastAsia="Times New Roman" w:hAnsi="Times New Roman"/>
          <w:sz w:val="18"/>
          <w:szCs w:val="18"/>
          <w:color w:val="auto"/>
        </w:rPr>
        <w:t>“These results highlight the promise of avapritinib, a potent and selective KIT D816V inhibitor, to be an important disease-modifying treatment in patients with systemic mastocytosis,” said Andy Boral, M.D., Ph.D., Chief Medical Officer at Blueprint Medicines. “The updated data, including high confirmed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523875</wp:posOffset>
            </wp:positionV>
            <wp:extent cx="555498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4980" cy="1524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ind w:left="140" w:right="219"/>
        <w:spacing w:after="0" w:line="212" w:lineRule="auto"/>
        <w:rPr>
          <w:sz w:val="20"/>
          <w:szCs w:val="20"/>
          <w:color w:val="auto"/>
        </w:rPr>
      </w:pPr>
      <w:r>
        <w:rPr>
          <w:rFonts w:ascii="Times New Roman" w:cs="Times New Roman" w:eastAsia="Times New Roman" w:hAnsi="Times New Roman"/>
          <w:sz w:val="18"/>
          <w:szCs w:val="18"/>
          <w:color w:val="auto"/>
        </w:rPr>
        <w:t>response rates per central review, support our plans to submit a New Drug Application for advanced systemic mastocytosis in the first quarter of 2020. Avapritinib had strong activity in patients with indolent or smoldering systemic mastocytosis as well, providing further confidence in our approach for our ongoing registration-enabling PIONEER trial. By selectively targeting the common driver across all forms of systemic mastocytosis, avapritinib has the potential to address the spectrum of disease manifestations that significantly affect patients with different subtypes.”</w:t>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Highlights from EHA Presentation of EXPLORER Trial Data</w:t>
      </w:r>
    </w:p>
    <w:p>
      <w:pPr>
        <w:spacing w:after="0" w:line="139" w:lineRule="exact"/>
        <w:rPr>
          <w:sz w:val="20"/>
          <w:szCs w:val="20"/>
          <w:color w:val="auto"/>
        </w:rPr>
      </w:pPr>
    </w:p>
    <w:p>
      <w:pPr>
        <w:ind w:left="140" w:right="139"/>
        <w:spacing w:after="0" w:line="210" w:lineRule="auto"/>
        <w:rPr>
          <w:sz w:val="20"/>
          <w:szCs w:val="20"/>
          <w:color w:val="auto"/>
        </w:rPr>
      </w:pPr>
      <w:r>
        <w:rPr>
          <w:rFonts w:ascii="Times New Roman" w:cs="Times New Roman" w:eastAsia="Times New Roman" w:hAnsi="Times New Roman"/>
          <w:sz w:val="18"/>
          <w:szCs w:val="18"/>
          <w:color w:val="auto"/>
        </w:rPr>
        <w:t>As of the data cutoff date of January 2, 2019, 69 patients were treated with avapritinib in the Phase 1 EXPLORER clinical trial, including seven patients with ASM, 37 patients with SM-AHN, nine patients with MCL, 15 patients with indolent or smoldering SM, and one patient without SM who had chronic myelomonocytic leukemia. Diagnoses were centrally reviewed by a committee of SM experts following an initial assessment by local investigators. Forty-two patients (61 percent) had a prior treatment, including 15 patients (22 percent) who had previously received the multi-kinase inhibitor midostaurin.</w:t>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Clinical Activity Data</w:t>
      </w:r>
    </w:p>
    <w:p>
      <w:pPr>
        <w:spacing w:after="0" w:line="137" w:lineRule="exact"/>
        <w:rPr>
          <w:sz w:val="20"/>
          <w:szCs w:val="20"/>
          <w:color w:val="auto"/>
        </w:rPr>
      </w:pPr>
    </w:p>
    <w:p>
      <w:pPr>
        <w:ind w:left="140" w:right="319"/>
        <w:spacing w:after="0" w:line="216" w:lineRule="auto"/>
        <w:rPr>
          <w:sz w:val="20"/>
          <w:szCs w:val="20"/>
          <w:color w:val="auto"/>
        </w:rPr>
      </w:pPr>
      <w:r>
        <w:rPr>
          <w:rFonts w:ascii="Times New Roman" w:cs="Times New Roman" w:eastAsia="Times New Roman" w:hAnsi="Times New Roman"/>
          <w:sz w:val="18"/>
          <w:szCs w:val="18"/>
          <w:color w:val="auto"/>
        </w:rPr>
        <w:t>Thirty-nine patients with advanced SM (three ASM, 28 SM-AHN, eight MCL) were evaluable for response by the modified IWG-MRT-ECNM criteria, a rigorous method for assessing clinical response in advanced SM patients with regulatory precedent in the U.S. and Europe. Confirmation of response was defined as a response duration of at least 12 weeks. Evaluable patients generally had more advanced disease at baseline than the overall trial population.</w:t>
      </w:r>
    </w:p>
    <w:p>
      <w:pPr>
        <w:spacing w:after="0" w:line="109" w:lineRule="exact"/>
        <w:rPr>
          <w:sz w:val="20"/>
          <w:szCs w:val="20"/>
          <w:color w:val="auto"/>
        </w:rPr>
      </w:pPr>
    </w:p>
    <w:p>
      <w:pPr>
        <w:ind w:left="140" w:right="239"/>
        <w:spacing w:after="0" w:line="212" w:lineRule="auto"/>
        <w:rPr>
          <w:sz w:val="20"/>
          <w:szCs w:val="20"/>
          <w:color w:val="auto"/>
        </w:rPr>
      </w:pPr>
      <w:r>
        <w:rPr>
          <w:rFonts w:ascii="Times New Roman" w:cs="Times New Roman" w:eastAsia="Times New Roman" w:hAnsi="Times New Roman"/>
          <w:sz w:val="18"/>
          <w:szCs w:val="18"/>
          <w:color w:val="auto"/>
        </w:rPr>
        <w:t>In evaluable patients across all doses studied, the confirmed ORR was 77 percent. Nine patients had complete remission with a full or partial recovery of peripheral blood counts (CR/CRh; 23 percent), 18 patients had partial remission (46 percent) and three patients had clinical improvement (8 percent). No patients had progressive disease as the initial response. In addition, the 12-month duration of response (DOR) rate was 74 percent, and 49 patients (71 percent) remained on treatment with durations up to nearly three years (34 months).</w:t>
      </w:r>
    </w:p>
    <w:p>
      <w:pPr>
        <w:spacing w:after="0" w:line="111" w:lineRule="exact"/>
        <w:rPr>
          <w:sz w:val="20"/>
          <w:szCs w:val="20"/>
          <w:color w:val="auto"/>
        </w:rPr>
      </w:pPr>
    </w:p>
    <w:p>
      <w:pPr>
        <w:ind w:left="140" w:right="319"/>
        <w:spacing w:after="0" w:line="222" w:lineRule="auto"/>
        <w:rPr>
          <w:sz w:val="20"/>
          <w:szCs w:val="20"/>
          <w:color w:val="auto"/>
        </w:rPr>
      </w:pPr>
      <w:r>
        <w:rPr>
          <w:rFonts w:ascii="Times New Roman" w:cs="Times New Roman" w:eastAsia="Times New Roman" w:hAnsi="Times New Roman"/>
          <w:sz w:val="18"/>
          <w:szCs w:val="18"/>
          <w:color w:val="auto"/>
        </w:rPr>
        <w:t>Across all enrolled patients, the median overall survival (OS) was not reached. The estimated 24-month OS rate was 78 percent in all advanced SM patients: 100 percent in ASM patients, 70 percent in SM-AHN patients and 88 percent in MCL patients.</w:t>
      </w:r>
    </w:p>
    <w:p>
      <w:pPr>
        <w:spacing w:after="0" w:line="109" w:lineRule="exact"/>
        <w:rPr>
          <w:sz w:val="20"/>
          <w:szCs w:val="20"/>
          <w:color w:val="auto"/>
        </w:rPr>
      </w:pPr>
    </w:p>
    <w:p>
      <w:pPr>
        <w:ind w:left="140" w:right="179"/>
        <w:spacing w:after="0" w:line="222" w:lineRule="auto"/>
        <w:rPr>
          <w:sz w:val="20"/>
          <w:szCs w:val="20"/>
          <w:color w:val="auto"/>
        </w:rPr>
      </w:pPr>
      <w:r>
        <w:rPr>
          <w:rFonts w:ascii="Times New Roman" w:cs="Times New Roman" w:eastAsia="Times New Roman" w:hAnsi="Times New Roman"/>
          <w:sz w:val="18"/>
          <w:szCs w:val="18"/>
          <w:color w:val="auto"/>
        </w:rPr>
        <w:t>Avapritinib demonstrated strong clinical activity in patients with SRSF2, ASXL1 and/or RUNX1 (S/A/R) mutation positive genotypes, who historically have particularly poor prognoses. In 22 evaluable patients with S/A/R genotypes, the confirmed ORR was 73 percent and five patients had a CR/CRh (23 percent).</w:t>
      </w:r>
    </w:p>
    <w:p>
      <w:pPr>
        <w:spacing w:after="0" w:line="109" w:lineRule="exact"/>
        <w:rPr>
          <w:sz w:val="20"/>
          <w:szCs w:val="20"/>
          <w:color w:val="auto"/>
        </w:rPr>
      </w:pPr>
    </w:p>
    <w:p>
      <w:pPr>
        <w:ind w:left="140" w:right="219"/>
        <w:spacing w:after="0" w:line="216" w:lineRule="auto"/>
        <w:rPr>
          <w:sz w:val="20"/>
          <w:szCs w:val="20"/>
          <w:color w:val="auto"/>
        </w:rPr>
      </w:pPr>
      <w:r>
        <w:rPr>
          <w:rFonts w:ascii="Times New Roman" w:cs="Times New Roman" w:eastAsia="Times New Roman" w:hAnsi="Times New Roman"/>
          <w:sz w:val="18"/>
          <w:szCs w:val="18"/>
          <w:color w:val="auto"/>
        </w:rPr>
        <w:t>Nearly all patients had significant declines on objective measures of mast cell burden. Across all patients evaluable on these measures, 100 percent had a ≥50 percent decline in serum tryptase, 93 percent had a ≥50 percent reduction in bone marrow mast cells, 84 percent had palpable spleens become non-palpable, and 88 percent had a ≥50 percent reduction in KIT D816V mutation allele fraction.</w:t>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Clinical Activity Data – Indolent or Smoldering SM</w:t>
      </w:r>
    </w:p>
    <w:p>
      <w:pPr>
        <w:spacing w:after="0" w:line="137" w:lineRule="exact"/>
        <w:rPr>
          <w:sz w:val="20"/>
          <w:szCs w:val="20"/>
          <w:color w:val="auto"/>
        </w:rPr>
      </w:pPr>
    </w:p>
    <w:p>
      <w:pPr>
        <w:ind w:left="140" w:right="679"/>
        <w:spacing w:after="0" w:line="234" w:lineRule="auto"/>
        <w:rPr>
          <w:sz w:val="20"/>
          <w:szCs w:val="20"/>
          <w:color w:val="auto"/>
        </w:rPr>
      </w:pPr>
      <w:r>
        <w:rPr>
          <w:rFonts w:ascii="Times New Roman" w:cs="Times New Roman" w:eastAsia="Times New Roman" w:hAnsi="Times New Roman"/>
          <w:sz w:val="18"/>
          <w:szCs w:val="18"/>
          <w:color w:val="auto"/>
        </w:rPr>
        <w:t>Avapritinib showed strong clinical activity in patients with indolent or smoldering SM. Nearly all patients had ≥50 percent reductions in serum tryptase, bone marrow mast cells and KIT D816V mutation allele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523875</wp:posOffset>
            </wp:positionV>
            <wp:extent cx="555498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4980" cy="23495"/>
                    </a:xfrm>
                    <a:prstGeom prst="rect">
                      <a:avLst/>
                    </a:prstGeom>
                    <a:noFill/>
                  </pic:spPr>
                </pic:pic>
              </a:graphicData>
            </a:graphic>
          </wp:anchor>
        </w:drawing>
      </w:r>
    </w:p>
    <w:p>
      <w:pPr>
        <w:sectPr>
          <w:pgSz w:w="11900" w:h="16838" w:orient="portrait"/>
          <w:cols w:equalWidth="0" w:num="1">
            <w:col w:w="9019"/>
          </w:cols>
          <w:pgMar w:left="1440" w:top="277" w:right="1440" w:bottom="1440" w:gutter="0" w:footer="0" w:header="0"/>
        </w:sectPr>
      </w:pPr>
    </w:p>
    <w:bookmarkStart w:id="8" w:name="page9"/>
    <w:bookmarkEnd w:id="8"/>
    <w:p>
      <w:pPr>
        <w:ind w:left="140" w:right="159"/>
        <w:spacing w:after="0" w:line="216" w:lineRule="auto"/>
        <w:rPr>
          <w:sz w:val="20"/>
          <w:szCs w:val="20"/>
          <w:color w:val="auto"/>
        </w:rPr>
      </w:pPr>
      <w:r>
        <w:rPr>
          <w:rFonts w:ascii="Times New Roman" w:cs="Times New Roman" w:eastAsia="Times New Roman" w:hAnsi="Times New Roman"/>
          <w:sz w:val="18"/>
          <w:szCs w:val="18"/>
          <w:color w:val="auto"/>
        </w:rPr>
        <w:t>fraction. In addition, improvements on these measures were deep and rapid. Thirteen of 15 evaluable patients had normalized serum tryptase levels, and 12 of 13 evaluable patients had complete clearance of mast cell aggregates from the bone marrow. All indolent and smoldering SM patients achieved a ≥50 percent reduction in serum tryptase by the first post-baseline assessment.</w:t>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Safety Data</w:t>
      </w:r>
    </w:p>
    <w:p>
      <w:pPr>
        <w:spacing w:after="0" w:line="137" w:lineRule="exact"/>
        <w:rPr>
          <w:sz w:val="20"/>
          <w:szCs w:val="20"/>
          <w:color w:val="auto"/>
        </w:rPr>
      </w:pPr>
    </w:p>
    <w:p>
      <w:pPr>
        <w:ind w:left="140" w:right="159"/>
        <w:spacing w:after="0" w:line="204" w:lineRule="auto"/>
        <w:rPr>
          <w:sz w:val="20"/>
          <w:szCs w:val="20"/>
          <w:color w:val="auto"/>
        </w:rPr>
      </w:pPr>
      <w:r>
        <w:rPr>
          <w:rFonts w:ascii="Times New Roman" w:cs="Times New Roman" w:eastAsia="Times New Roman" w:hAnsi="Times New Roman"/>
          <w:sz w:val="18"/>
          <w:szCs w:val="18"/>
          <w:color w:val="auto"/>
        </w:rPr>
        <w:t>Avapritinib was generally well-tolerated with most AEs reported by investigators as Grade 1 or 2. Across all grades, the most common non-hematologic treatment-emergent AEs (regardless of relationship to avapritinib) reported by investigators (&gt;15 percent) were periorbital edema, diarrhea, nausea, fatigue, peripheral edema, vomiting, cognitive effects, hair color changes, arthralgia, abdominal pain, dizziness, decreased appetite, pruritis, constipation and dysgeusia. The most common hematologic treatment-emergent AEs reported by investigators (&gt;10 percent) were anemia, thrombocytopenia and neutropenia. In addition, intracranial bleeding occurred in six patients with pre-existing thrombocytopenia, a known risk factor for intracranial bleeding, and one patient who had a life-threatening fall prior to intracranial bleeding. Five of these patients resumed and remain on treatment with avapritinib following dose modifications. Updated dose modification procedures have been implemented for patients with thrombocytopenia, and to date, no new intracranial bleeding events have been observed. Cytopenias were the most common Grade 3 and 4 treatment-related AEs. No Grade 5 treatment-related AEs were reported by investigators.</w:t>
      </w:r>
    </w:p>
    <w:p>
      <w:pPr>
        <w:spacing w:after="0" w:line="115" w:lineRule="exact"/>
        <w:rPr>
          <w:sz w:val="20"/>
          <w:szCs w:val="20"/>
          <w:color w:val="auto"/>
        </w:rPr>
      </w:pPr>
    </w:p>
    <w:p>
      <w:pPr>
        <w:ind w:left="140" w:right="139"/>
        <w:spacing w:after="0" w:line="222" w:lineRule="auto"/>
        <w:rPr>
          <w:sz w:val="20"/>
          <w:szCs w:val="20"/>
          <w:color w:val="auto"/>
        </w:rPr>
      </w:pPr>
      <w:r>
        <w:rPr>
          <w:rFonts w:ascii="Times New Roman" w:cs="Times New Roman" w:eastAsia="Times New Roman" w:hAnsi="Times New Roman"/>
          <w:sz w:val="18"/>
          <w:szCs w:val="18"/>
          <w:color w:val="auto"/>
        </w:rPr>
        <w:t>Only three patients (4 percent) discontinued treatment with avapritinib due to treatment-related AEs. Nine patients (13 percent) discontinued treatment with avapritinib due to disease progression, with the majority due to either acute myeloid leukemia (n=3) or associated hematologic neoplasm (n=3).</w:t>
      </w:r>
    </w:p>
    <w:p>
      <w:pPr>
        <w:spacing w:after="0" w:line="109" w:lineRule="exact"/>
        <w:rPr>
          <w:sz w:val="20"/>
          <w:szCs w:val="20"/>
          <w:color w:val="auto"/>
        </w:rPr>
      </w:pPr>
    </w:p>
    <w:p>
      <w:pPr>
        <w:ind w:left="140" w:right="299"/>
        <w:spacing w:after="0" w:line="222" w:lineRule="auto"/>
        <w:rPr>
          <w:sz w:val="20"/>
          <w:szCs w:val="20"/>
          <w:color w:val="auto"/>
        </w:rPr>
      </w:pPr>
      <w:r>
        <w:rPr>
          <w:rFonts w:ascii="Times New Roman" w:cs="Times New Roman" w:eastAsia="Times New Roman" w:hAnsi="Times New Roman"/>
          <w:sz w:val="18"/>
          <w:szCs w:val="18"/>
          <w:color w:val="auto"/>
        </w:rPr>
        <w:t>These updated data on avapritinib are being presented at the 24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8"/>
          <w:szCs w:val="18"/>
          <w:color w:val="auto"/>
        </w:rPr>
        <w:t xml:space="preserve"> Congress of EHA on Saturday, June 15 (Abstract Number: S830). A copy of the oral presentation is available in the “Science—Publications and Presentations” section of Blueprint Medicines’ website at www.BlueprintMedicines.com.</w:t>
      </w:r>
    </w:p>
    <w:p>
      <w:pPr>
        <w:spacing w:after="0" w:line="1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39" w:lineRule="exact"/>
        <w:rPr>
          <w:sz w:val="20"/>
          <w:szCs w:val="20"/>
          <w:color w:val="auto"/>
        </w:rPr>
      </w:pPr>
    </w:p>
    <w:p>
      <w:pPr>
        <w:ind w:left="140" w:right="179"/>
        <w:spacing w:after="0" w:line="220" w:lineRule="auto"/>
        <w:rPr>
          <w:sz w:val="20"/>
          <w:szCs w:val="20"/>
          <w:color w:val="auto"/>
        </w:rPr>
      </w:pPr>
      <w:r>
        <w:rPr>
          <w:rFonts w:ascii="Times New Roman" w:cs="Times New Roman" w:eastAsia="Times New Roman" w:hAnsi="Times New Roman"/>
          <w:sz w:val="17"/>
          <w:szCs w:val="17"/>
          <w:color w:val="auto"/>
        </w:rPr>
        <w:t>Blueprint Medicines will host a live conference call and webcast on Monday, June 17, 2019 at 8:30 a.m. ET to review the updated data for avapritinib in SM, as well as the recently announced NDA submission to the FDA for avapritinib for the treatment of PDGFRA Exon 18 mutant gastrointestinal stromal tumors (GIST), regardless of prior therapy, and fourth-line GIST. The conference call may be accessed by dialing (855) 728-4793 (domestic) or (503) 343-6666 (international) and referring to conference ID 8549897. A live webcast of the conference call will be available under the “Investors &amp; Media—Events &amp; Presentations” section of Blueprint Medicines’ website at www.BlueprintMedicines.com. A replay of the webcast will be available approximately two hours after the call and will be available for 30 days following the call.</w:t>
      </w:r>
    </w:p>
    <w:p>
      <w:pPr>
        <w:spacing w:after="0" w:line="1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About the Clinical Development Program for Avapritinib in 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-107315</wp:posOffset>
            </wp:positionV>
            <wp:extent cx="5554980" cy="650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54980" cy="650875"/>
                    </a:xfrm>
                    <a:prstGeom prst="rect">
                      <a:avLst/>
                    </a:prstGeom>
                    <a:noFill/>
                  </pic:spPr>
                </pic:pic>
              </a:graphicData>
            </a:graphic>
          </wp:anchor>
        </w:drawing>
      </w:r>
    </w:p>
    <w:p>
      <w:pPr>
        <w:spacing w:after="0" w:line="119" w:lineRule="exact"/>
        <w:rPr>
          <w:sz w:val="20"/>
          <w:szCs w:val="20"/>
          <w:color w:val="auto"/>
        </w:rPr>
      </w:pPr>
    </w:p>
    <w:p>
      <w:pPr>
        <w:ind w:left="140" w:right="159"/>
        <w:spacing w:after="0" w:line="222" w:lineRule="auto"/>
        <w:rPr>
          <w:sz w:val="20"/>
          <w:szCs w:val="20"/>
          <w:color w:val="auto"/>
        </w:rPr>
      </w:pPr>
      <w:r>
        <w:rPr>
          <w:rFonts w:ascii="Times New Roman" w:cs="Times New Roman" w:eastAsia="Times New Roman" w:hAnsi="Times New Roman"/>
          <w:sz w:val="18"/>
          <w:szCs w:val="18"/>
          <w:color w:val="auto"/>
        </w:rPr>
        <w:t>Blueprint Medicines is pursuing a broad clinical development program for avapritinib across advanced, indolent and smoldering forms of SM. Avapritinib is currently being evaluated in three ongoing, registration-enabling clinical trials for SM: the Phase 1 EXPLORER trial, the Phase 2 PATHFINDER trial and the Phase 2 PIONEER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632460</wp:posOffset>
            </wp:positionV>
            <wp:extent cx="555498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4980" cy="23495"/>
                    </a:xfrm>
                    <a:prstGeom prst="rect">
                      <a:avLst/>
                    </a:prstGeom>
                    <a:noFill/>
                  </pic:spPr>
                </pic:pic>
              </a:graphicData>
            </a:graphic>
          </wp:anchor>
        </w:drawing>
      </w:r>
    </w:p>
    <w:p>
      <w:pPr>
        <w:sectPr>
          <w:pgSz w:w="11900" w:h="16838" w:orient="portrait"/>
          <w:cols w:equalWidth="0" w:num="1">
            <w:col w:w="9019"/>
          </w:cols>
          <w:pgMar w:left="1440" w:top="277" w:right="1440" w:bottom="1440" w:gutter="0" w:footer="0" w:header="0"/>
        </w:sectPr>
      </w:pPr>
    </w:p>
    <w:bookmarkStart w:id="9" w:name="page10"/>
    <w:bookmarkEnd w:id="9"/>
    <w:p>
      <w:pPr>
        <w:ind w:left="140" w:right="179"/>
        <w:spacing w:after="0" w:line="212" w:lineRule="auto"/>
        <w:rPr>
          <w:sz w:val="20"/>
          <w:szCs w:val="20"/>
          <w:color w:val="auto"/>
        </w:rPr>
      </w:pPr>
      <w:r>
        <w:rPr>
          <w:rFonts w:ascii="Times New Roman" w:cs="Times New Roman" w:eastAsia="Times New Roman" w:hAnsi="Times New Roman"/>
          <w:sz w:val="18"/>
          <w:szCs w:val="18"/>
          <w:color w:val="auto"/>
        </w:rPr>
        <w:t>The Phase 1 EXPLORER trial was designed to identify the recommended Phase 2 dose for further study and demonstrate proof-of-concept in advanced SM, including patients with ASM, SM-AHN and MCL. The dose escalation portion is complete, and the expansion portion of the trial is ongoing at multiple sites in the United States and United Kingdom. Trial objectives include assessing safety and tolerability, response per modified IWG-MRT-ECNM criteria and patient-reported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-558800</wp:posOffset>
            </wp:positionV>
            <wp:extent cx="5554980" cy="3905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54980" cy="3905250"/>
                    </a:xfrm>
                    <a:prstGeom prst="rect">
                      <a:avLst/>
                    </a:prstGeom>
                    <a:noFill/>
                  </pic:spPr>
                </pic:pic>
              </a:graphicData>
            </a:graphic>
          </wp:anchor>
        </w:drawing>
      </w:r>
    </w:p>
    <w:p>
      <w:pPr>
        <w:spacing w:after="0" w:line="91" w:lineRule="exact"/>
        <w:rPr>
          <w:sz w:val="20"/>
          <w:szCs w:val="20"/>
          <w:color w:val="auto"/>
        </w:rPr>
      </w:pPr>
    </w:p>
    <w:p>
      <w:pPr>
        <w:ind w:left="140" w:right="319"/>
        <w:spacing w:after="0" w:line="216" w:lineRule="auto"/>
        <w:rPr>
          <w:sz w:val="20"/>
          <w:szCs w:val="20"/>
          <w:color w:val="auto"/>
        </w:rPr>
      </w:pPr>
      <w:r>
        <w:rPr>
          <w:rFonts w:ascii="Times New Roman" w:cs="Times New Roman" w:eastAsia="Times New Roman" w:hAnsi="Times New Roman"/>
          <w:sz w:val="18"/>
          <w:szCs w:val="18"/>
          <w:color w:val="auto"/>
        </w:rPr>
        <w:t>The Phase 2 PATHFINDER trial is an open-label, single-arm, registration-enabling trial in patients with advanced SM. Patient dosing is ongoing in the trial, which is designed to enroll up to 60 advanced SM patients at sites in the United States, Canada and European Union. The primary efficacy endpoints are ORR and DOR based on modified IWG-MRT-ECNM criteria.</w:t>
      </w:r>
    </w:p>
    <w:p>
      <w:pPr>
        <w:spacing w:after="0" w:line="109" w:lineRule="exact"/>
        <w:rPr>
          <w:sz w:val="20"/>
          <w:szCs w:val="20"/>
          <w:color w:val="auto"/>
        </w:rPr>
      </w:pPr>
    </w:p>
    <w:p>
      <w:pPr>
        <w:ind w:left="140" w:right="219"/>
        <w:spacing w:after="0" w:line="210" w:lineRule="auto"/>
        <w:rPr>
          <w:sz w:val="20"/>
          <w:szCs w:val="20"/>
          <w:color w:val="auto"/>
        </w:rPr>
      </w:pPr>
      <w:r>
        <w:rPr>
          <w:rFonts w:ascii="Times New Roman" w:cs="Times New Roman" w:eastAsia="Times New Roman" w:hAnsi="Times New Roman"/>
          <w:sz w:val="18"/>
          <w:szCs w:val="18"/>
          <w:color w:val="auto"/>
        </w:rPr>
        <w:t>The Phase 2 PIONEER trial is a randomized, placebo-controlled, registration-enabling trial in patients with indolent and smoldering SM. Patient dosing is ongoing in the trial, which is designed to enroll up to 112 indolent and smoldering SM patients at sites in the United States, Canada and European Union. The primary endpoint is symptom reductions for avapritinib versus placebo based on the Indolent and Smoldering SM Assessment Form Total Symptom Score. All patients who complete the dose-finding (part 1) and placebo-controlled efficacy (part 2) portions of this trial will have an opportunity to receive avapritinib in an open-label extension (part 3).</w:t>
      </w:r>
    </w:p>
    <w:p>
      <w:pPr>
        <w:spacing w:after="0" w:line="109" w:lineRule="exact"/>
        <w:rPr>
          <w:sz w:val="20"/>
          <w:szCs w:val="20"/>
          <w:color w:val="auto"/>
        </w:rPr>
      </w:pPr>
    </w:p>
    <w:p>
      <w:pPr>
        <w:ind w:left="140" w:right="799"/>
        <w:spacing w:after="0" w:line="222" w:lineRule="auto"/>
        <w:rPr>
          <w:sz w:val="20"/>
          <w:szCs w:val="20"/>
          <w:color w:val="auto"/>
        </w:rPr>
      </w:pPr>
      <w:r>
        <w:rPr>
          <w:rFonts w:ascii="Times New Roman" w:cs="Times New Roman" w:eastAsia="Times New Roman" w:hAnsi="Times New Roman"/>
          <w:sz w:val="18"/>
          <w:szCs w:val="18"/>
          <w:color w:val="auto"/>
        </w:rPr>
        <w:t>SM patients and clinicians interested in ongoing clinical trials can contact the Blueprint Medicines study director at SM@blueprintmedicines.com or 1-617-714-6707. Additional details are available at www.blueprintclinicaltrials.com/SM/ or www.clinicaltrials.gov.</w:t>
      </w:r>
    </w:p>
    <w:p>
      <w:pPr>
        <w:spacing w:after="0" w:line="1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About SM</w:t>
      </w:r>
    </w:p>
    <w:p>
      <w:pPr>
        <w:spacing w:after="0" w:line="139" w:lineRule="exact"/>
        <w:rPr>
          <w:sz w:val="20"/>
          <w:szCs w:val="20"/>
          <w:color w:val="auto"/>
        </w:rPr>
      </w:pPr>
    </w:p>
    <w:p>
      <w:pPr>
        <w:ind w:left="140" w:right="199"/>
        <w:spacing w:after="0" w:line="220" w:lineRule="auto"/>
        <w:rPr>
          <w:sz w:val="20"/>
          <w:szCs w:val="20"/>
          <w:color w:val="auto"/>
        </w:rPr>
      </w:pPr>
      <w:r>
        <w:rPr>
          <w:rFonts w:ascii="Times New Roman" w:cs="Times New Roman" w:eastAsia="Times New Roman" w:hAnsi="Times New Roman"/>
          <w:sz w:val="17"/>
          <w:szCs w:val="17"/>
          <w:color w:val="auto"/>
        </w:rPr>
        <w:t>SM results from the abnormal proliferation and survival of mast cells, which mediate allergic responses. The clinical presentation of SM is heterogeneous, ranging from indolent or smoldering SM to three advanced subtypes – ASM, SM-AHN and MCL. The KIT D816V mutation drives approximately 95 percent of all SM cases, causing debilitating and difficult-to-manage symptoms such as pruritus, flushing, headaches, bone pain, nausea, vomiting, diarrhea, anaphylaxis, abdominal pain and fatigue. While these effects occur across SM patients, symptom burden and poor quality of life are the predominant disease manifestations of indolent and smoldering SM. Advanced SM patients experience organ damage and a median overall survival of about 3.5 years in ASM, two years in SM-AHN and less than six months in MCL.</w:t>
      </w:r>
    </w:p>
    <w:p>
      <w:pPr>
        <w:spacing w:after="0" w:line="112" w:lineRule="exact"/>
        <w:rPr>
          <w:sz w:val="20"/>
          <w:szCs w:val="20"/>
          <w:color w:val="auto"/>
        </w:rPr>
      </w:pPr>
    </w:p>
    <w:p>
      <w:pPr>
        <w:ind w:left="140" w:right="139"/>
        <w:spacing w:after="0" w:line="216" w:lineRule="auto"/>
        <w:rPr>
          <w:sz w:val="20"/>
          <w:szCs w:val="20"/>
          <w:color w:val="auto"/>
        </w:rPr>
      </w:pPr>
      <w:r>
        <w:rPr>
          <w:rFonts w:ascii="Times New Roman" w:cs="Times New Roman" w:eastAsia="Times New Roman" w:hAnsi="Times New Roman"/>
          <w:sz w:val="18"/>
          <w:szCs w:val="18"/>
          <w:color w:val="auto"/>
        </w:rPr>
        <w:t>Currently, there are no approved therapies that selectively inhibit KIT D816V in advanced SM, and no approved therapies for indolent and smoldering SM. New treatments are needed that are more effective and better tolerated than existing advanced SM therapy, as well as for indolent and smoldering SM patients whose symptoms are often not well controlled with symptom-directed therapies.</w:t>
      </w:r>
    </w:p>
    <w:p>
      <w:pPr>
        <w:spacing w:after="0" w:line="1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About Avapritinib</w:t>
      </w:r>
    </w:p>
    <w:p>
      <w:pPr>
        <w:spacing w:after="0" w:line="139" w:lineRule="exact"/>
        <w:rPr>
          <w:sz w:val="20"/>
          <w:szCs w:val="20"/>
          <w:color w:val="auto"/>
        </w:rPr>
      </w:pPr>
    </w:p>
    <w:p>
      <w:pPr>
        <w:ind w:left="140" w:right="159"/>
        <w:spacing w:after="0" w:line="210" w:lineRule="auto"/>
        <w:rPr>
          <w:sz w:val="20"/>
          <w:szCs w:val="20"/>
          <w:color w:val="auto"/>
        </w:rPr>
      </w:pPr>
      <w:r>
        <w:rPr>
          <w:rFonts w:ascii="Times New Roman" w:cs="Times New Roman" w:eastAsia="Times New Roman" w:hAnsi="Times New Roman"/>
          <w:sz w:val="18"/>
          <w:szCs w:val="18"/>
          <w:color w:val="auto"/>
        </w:rPr>
        <w:t>Avapritinib is an investigational, oral precision therapy that selectively and potently inhibits KIT and PDGFRA mutant kinases. It is a type 1 inhibitor designed to target the active kinase conformation; all oncogenic kinases signal via this conformation. Avapritinib has demonstrated broad inhibition of KIT and PDGFRA mutations associated with GIST, including potent activity against activation loop mutations that are associated with resistance to currently approved therapies. In contrast to approved multi-kinase inhibitors, avapritinib has shown marked selectivity for KIT and PDGFRA over other kinases.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523875</wp:posOffset>
            </wp:positionV>
            <wp:extent cx="555498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4980" cy="15240"/>
                    </a:xfrm>
                    <a:prstGeom prst="rect">
                      <a:avLst/>
                    </a:prstGeom>
                    <a:noFill/>
                  </pic:spPr>
                </pic:pic>
              </a:graphicData>
            </a:graphic>
          </wp:anchor>
        </w:drawing>
      </w:r>
    </w:p>
    <w:p>
      <w:pPr>
        <w:sectPr>
          <w:pgSz w:w="11900" w:h="16838" w:orient="portrait"/>
          <w:cols w:equalWidth="0" w:num="1">
            <w:col w:w="9019"/>
          </w:cols>
          <w:pgMar w:left="1440" w:top="412" w:right="1440" w:bottom="1440" w:gutter="0" w:footer="0" w:header="0"/>
        </w:sectPr>
      </w:pPr>
    </w:p>
    <w:bookmarkStart w:id="10" w:name="page11"/>
    <w:bookmarkEnd w:id="10"/>
    <w:p>
      <w:pPr>
        <w:ind w:left="140" w:right="219"/>
        <w:spacing w:after="0" w:line="222" w:lineRule="auto"/>
        <w:rPr>
          <w:sz w:val="20"/>
          <w:szCs w:val="20"/>
          <w:color w:val="auto"/>
        </w:rPr>
      </w:pPr>
      <w:r>
        <w:rPr>
          <w:rFonts w:ascii="Times New Roman" w:cs="Times New Roman" w:eastAsia="Times New Roman" w:hAnsi="Times New Roman"/>
          <w:sz w:val="18"/>
          <w:szCs w:val="18"/>
          <w:color w:val="auto"/>
        </w:rPr>
        <w:t>avapritinib is uniquely designed to selectively bind and inhibit D816V mutant KIT, the common driver of disease in approximately 95 percent of all SM patients. Preclinical studies have shown avapritinib potently inhibited KIT D816V at sub-nanomolar potencies with minimal off-target activity.</w:t>
      </w:r>
    </w:p>
    <w:p>
      <w:pPr>
        <w:spacing w:after="0" w:line="109" w:lineRule="exact"/>
        <w:rPr>
          <w:sz w:val="20"/>
          <w:szCs w:val="20"/>
          <w:color w:val="auto"/>
        </w:rPr>
      </w:pPr>
    </w:p>
    <w:p>
      <w:pPr>
        <w:ind w:left="140" w:right="199"/>
        <w:spacing w:after="0" w:line="216" w:lineRule="auto"/>
        <w:rPr>
          <w:sz w:val="20"/>
          <w:szCs w:val="20"/>
          <w:color w:val="auto"/>
        </w:rPr>
      </w:pPr>
      <w:r>
        <w:rPr>
          <w:rFonts w:ascii="Times New Roman" w:cs="Times New Roman" w:eastAsia="Times New Roman" w:hAnsi="Times New Roman"/>
          <w:sz w:val="18"/>
          <w:szCs w:val="18"/>
          <w:color w:val="auto"/>
        </w:rPr>
        <w:t>Blueprint Medicines is initially developing avapritinib for the treatment of advanced GIST, advanced SM, and indolent and smoldering SM. The FDA has granted Breakthrough Therapy Designation to avapritinib for two indications: one for the treatment of unresectable or metastatic GIST harboring the PDGFRα D842V mutation and one for the treatment of advanced SM, including the subtypes of ASM, SM-AHN and MCL.</w:t>
      </w:r>
    </w:p>
    <w:p>
      <w:pPr>
        <w:spacing w:after="0" w:line="109" w:lineRule="exact"/>
        <w:rPr>
          <w:sz w:val="20"/>
          <w:szCs w:val="20"/>
          <w:color w:val="auto"/>
        </w:rPr>
      </w:pPr>
    </w:p>
    <w:p>
      <w:pPr>
        <w:ind w:left="140" w:right="479"/>
        <w:spacing w:after="0" w:line="216" w:lineRule="auto"/>
        <w:rPr>
          <w:sz w:val="20"/>
          <w:szCs w:val="20"/>
          <w:color w:val="auto"/>
        </w:rPr>
      </w:pPr>
      <w:r>
        <w:rPr>
          <w:rFonts w:ascii="Times New Roman" w:cs="Times New Roman" w:eastAsia="Times New Roman" w:hAnsi="Times New Roman"/>
          <w:sz w:val="18"/>
          <w:szCs w:val="18"/>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1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139" w:lineRule="exact"/>
        <w:rPr>
          <w:sz w:val="20"/>
          <w:szCs w:val="20"/>
          <w:color w:val="auto"/>
        </w:rPr>
      </w:pPr>
    </w:p>
    <w:p>
      <w:pPr>
        <w:ind w:left="140" w:right="339"/>
        <w:spacing w:after="0" w:line="222" w:lineRule="auto"/>
        <w:rPr>
          <w:sz w:val="20"/>
          <w:szCs w:val="20"/>
          <w:color w:val="auto"/>
        </w:rPr>
      </w:pPr>
      <w:r>
        <w:rPr>
          <w:rFonts w:ascii="Times New Roman" w:cs="Times New Roman" w:eastAsia="Times New Roman" w:hAnsi="Times New Roman"/>
          <w:sz w:val="17"/>
          <w:szCs w:val="17"/>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four investigational medicines in clinical development, along with multiple research programs. For more information, visit </w:t>
      </w:r>
      <w:r>
        <w:rPr>
          <w:rFonts w:ascii="Times New Roman" w:cs="Times New Roman" w:eastAsia="Times New Roman" w:hAnsi="Times New Roman"/>
          <w:sz w:val="17"/>
          <w:szCs w:val="17"/>
          <w:color w:val="006E96"/>
          <w:highlight w:val="white"/>
        </w:rPr>
        <w:t>www.BlueprintMedicines.com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A0A0A"/>
          <w:highlight w:val="white"/>
        </w:rPr>
        <w:t>and follow us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Twitter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A0A0A"/>
          <w:highlight w:val="white"/>
        </w:rPr>
        <w:t>(@BlueprintMeds)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6E96"/>
          <w:highlight w:val="white"/>
        </w:rPr>
        <w:t>LinkedIn</w:t>
      </w:r>
      <w:r>
        <w:rPr>
          <w:rFonts w:ascii="Times New Roman" w:cs="Times New Roman" w:eastAsia="Times New Roman" w:hAnsi="Times New Roman"/>
          <w:sz w:val="17"/>
          <w:szCs w:val="17"/>
          <w:color w:val="0A0A0A"/>
          <w:highlight w:val="white"/>
        </w:rPr>
        <w:t>.</w:t>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9" w:lineRule="exact"/>
        <w:rPr>
          <w:sz w:val="20"/>
          <w:szCs w:val="20"/>
          <w:color w:val="auto"/>
        </w:rPr>
      </w:pPr>
    </w:p>
    <w:p>
      <w:pPr>
        <w:ind w:left="140" w:right="159"/>
        <w:spacing w:after="0" w:line="20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plans and timelines for the clinical development of avapritinib and Blueprint Medicines’ ability to implement those plans; expectations regarding the potential for Blueprint Medicines’ current or future clinical trials to be registration-enabling; plans, timelines and expectations for interactions with the FDA and other regulatory authorities; plans and timelines for submitting an NDA to the FDA for avapritinib for the treatment of advanced SM; expectations regarding the potential benefits of avapritinib in treating patients with SM;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BLU-667, BLU-554 and BLU-782;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524510</wp:posOffset>
            </wp:positionV>
            <wp:extent cx="555498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23495"/>
                    </a:xfrm>
                    <a:prstGeom prst="rect">
                      <a:avLst/>
                    </a:prstGeom>
                    <a:noFill/>
                  </pic:spPr>
                </pic:pic>
              </a:graphicData>
            </a:graphic>
          </wp:anchor>
        </w:drawing>
      </w:r>
    </w:p>
    <w:p>
      <w:pPr>
        <w:sectPr>
          <w:pgSz w:w="11900" w:h="16838" w:orient="portrait"/>
          <w:cols w:equalWidth="0" w:num="1">
            <w:col w:w="9019"/>
          </w:cols>
          <w:pgMar w:left="1440" w:top="277" w:right="1440" w:bottom="1440" w:gutter="0" w:footer="0" w:header="0"/>
        </w:sectPr>
      </w:pPr>
    </w:p>
    <w:bookmarkStart w:id="11" w:name="page12"/>
    <w:bookmarkEnd w:id="11"/>
    <w:p>
      <w:pPr>
        <w:ind w:left="140" w:right="159"/>
        <w:spacing w:after="0" w:line="204" w:lineRule="auto"/>
        <w:rPr>
          <w:sz w:val="20"/>
          <w:szCs w:val="20"/>
          <w:color w:val="auto"/>
        </w:rPr>
      </w:pPr>
      <w:r>
        <w:rPr>
          <w:rFonts w:ascii="Times New Roman" w:cs="Times New Roman" w:eastAsia="Times New Roman" w:hAnsi="Times New Roman"/>
          <w:sz w:val="18"/>
          <w:szCs w:val="18"/>
          <w:color w:val="auto"/>
        </w:rPr>
        <w:t>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period ended March 31, 2019, as filed with the Securities and Exchange Commission (SEC) on May 9, 2019,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Kristin Hodous</w:t>
      </w:r>
    </w:p>
    <w:p>
      <w:pPr>
        <w:ind w:left="140"/>
        <w:spacing w:after="0" w:line="198" w:lineRule="auto"/>
        <w:rPr>
          <w:sz w:val="20"/>
          <w:szCs w:val="20"/>
          <w:color w:val="auto"/>
        </w:rPr>
      </w:pPr>
      <w:r>
        <w:rPr>
          <w:rFonts w:ascii="Times New Roman" w:cs="Times New Roman" w:eastAsia="Times New Roman" w:hAnsi="Times New Roman"/>
          <w:sz w:val="18"/>
          <w:szCs w:val="18"/>
          <w:color w:val="auto"/>
        </w:rPr>
        <w:t>617-714-6674</w:t>
      </w:r>
    </w:p>
    <w:p>
      <w:pPr>
        <w:ind w:left="140"/>
        <w:spacing w:after="0"/>
        <w:rPr>
          <w:sz w:val="20"/>
          <w:szCs w:val="20"/>
          <w:color w:val="auto"/>
        </w:rPr>
      </w:pPr>
      <w:r>
        <w:rPr>
          <w:rFonts w:ascii="Times New Roman" w:cs="Times New Roman" w:eastAsia="Times New Roman" w:hAnsi="Times New Roman"/>
          <w:sz w:val="18"/>
          <w:szCs w:val="18"/>
          <w:color w:val="auto"/>
        </w:rPr>
        <w:t>ir@blueprintmedicines.com</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Andrew Law</w:t>
      </w:r>
    </w:p>
    <w:p>
      <w:pPr>
        <w:ind w:left="140"/>
        <w:spacing w:after="0" w:line="198" w:lineRule="auto"/>
        <w:rPr>
          <w:sz w:val="20"/>
          <w:szCs w:val="20"/>
          <w:color w:val="auto"/>
        </w:rPr>
      </w:pPr>
      <w:r>
        <w:rPr>
          <w:rFonts w:ascii="Times New Roman" w:cs="Times New Roman" w:eastAsia="Times New Roman" w:hAnsi="Times New Roman"/>
          <w:sz w:val="18"/>
          <w:szCs w:val="18"/>
          <w:color w:val="auto"/>
        </w:rPr>
        <w:t>617-844-8205</w:t>
      </w:r>
    </w:p>
    <w:p>
      <w:pPr>
        <w:ind w:left="140"/>
        <w:spacing w:after="0"/>
        <w:rPr>
          <w:sz w:val="20"/>
          <w:szCs w:val="20"/>
          <w:color w:val="auto"/>
        </w:rPr>
      </w:pPr>
      <w:r>
        <w:rPr>
          <w:rFonts w:ascii="Times New Roman" w:cs="Times New Roman" w:eastAsia="Times New Roman" w:hAnsi="Times New Roman"/>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527685</wp:posOffset>
            </wp:positionV>
            <wp:extent cx="555498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4980" cy="23495"/>
                    </a:xfrm>
                    <a:prstGeom prst="rect">
                      <a:avLst/>
                    </a:prstGeom>
                    <a:noFill/>
                  </pic:spPr>
                </pic:pic>
              </a:graphicData>
            </a:graphic>
          </wp:anchor>
        </w:drawing>
      </w:r>
    </w:p>
    <w:p>
      <w:pPr>
        <w:sectPr>
          <w:pgSz w:w="11900" w:h="16838" w:orient="portrait"/>
          <w:cols w:equalWidth="0" w:num="1">
            <w:col w:w="9019"/>
          </w:cols>
          <w:pgMar w:left="1440" w:top="277" w:right="1440" w:bottom="1440" w:gutter="0" w:footer="0" w:header="0"/>
        </w:sectPr>
      </w:pPr>
    </w:p>
    <w:bookmarkStart w:id="12" w:name="page13"/>
    <w:bookmarkEnd w:id="12"/>
    <w:p>
      <w:pPr>
        <w:ind w:left="848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150495</wp:posOffset>
            </wp:positionV>
            <wp:extent cx="6097905" cy="3680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0" w:num="1">
            <w:col w:w="9320"/>
          </w:cols>
          <w:pgMar w:left="1440" w:top="121" w:right="11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905" cy="3680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905" cy="3680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905" cy="3680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905" cy="3656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7905" cy="3656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905" cy="3680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905" cy="3641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7905" cy="3641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0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905" cy="3680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7905" cy="3680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112395</wp:posOffset>
            </wp:positionV>
            <wp:extent cx="6097905" cy="3688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7905" cy="3688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ind w:left="8480"/>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4326890</wp:posOffset>
            </wp:positionV>
            <wp:extent cx="609790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150495</wp:posOffset>
            </wp:positionV>
            <wp:extent cx="6430645" cy="3618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0" w:num="1">
            <w:col w:w="9320"/>
          </w:cols>
          <w:pgMar w:left="1440" w:top="121" w:right="1139"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4265295</wp:posOffset>
            </wp:positionV>
            <wp:extent cx="609790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88900</wp:posOffset>
            </wp:positionV>
            <wp:extent cx="6430645" cy="3618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4257040</wp:posOffset>
            </wp:positionV>
            <wp:extent cx="609790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88900</wp:posOffset>
            </wp:positionV>
            <wp:extent cx="6430645" cy="3610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0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4265295</wp:posOffset>
            </wp:positionV>
            <wp:extent cx="6097905"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88900</wp:posOffset>
            </wp:positionV>
            <wp:extent cx="6430645" cy="36182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4187825</wp:posOffset>
            </wp:positionV>
            <wp:extent cx="6097905"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88900</wp:posOffset>
            </wp:positionV>
            <wp:extent cx="6430645" cy="3540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4265295</wp:posOffset>
            </wp:positionV>
            <wp:extent cx="6097905"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88900</wp:posOffset>
            </wp:positionV>
            <wp:extent cx="6430645" cy="36182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4288155</wp:posOffset>
            </wp:positionV>
            <wp:extent cx="6097905"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4265295</wp:posOffset>
            </wp:positionV>
            <wp:extent cx="6097905"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88900</wp:posOffset>
            </wp:positionV>
            <wp:extent cx="6430645" cy="36182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4265295</wp:posOffset>
            </wp:positionV>
            <wp:extent cx="6097905"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88900</wp:posOffset>
            </wp:positionV>
            <wp:extent cx="6430645" cy="36182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4164330</wp:posOffset>
            </wp:positionV>
            <wp:extent cx="6097905"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97905" cy="23495"/>
                    </a:xfrm>
                    <a:prstGeom prst="rect">
                      <a:avLst/>
                    </a:prstGeom>
                    <a:noFill/>
                  </pic:spPr>
                </pic:pic>
              </a:graphicData>
            </a:graphic>
          </wp:anchor>
        </w:drawing>
        <w:drawing>
          <wp:anchor simplePos="0" relativeHeight="251657728" behindDoc="1" locked="0" layoutInCell="0" allowOverlap="1">
            <wp:simplePos x="0" y="0"/>
            <wp:positionH relativeFrom="page">
              <wp:posOffset>802005</wp:posOffset>
            </wp:positionH>
            <wp:positionV relativeFrom="page">
              <wp:posOffset>112395</wp:posOffset>
            </wp:positionV>
            <wp:extent cx="6430645" cy="36182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430645" cy="3618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2019-12-28T10:55:26Z</dcterms:created>
  <dcterms:modified xsi:type="dcterms:W3CDTF">2019-12-28T10:55:26Z</dcterms:modified>
</cp:coreProperties>
</file>