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10060"/>
          </w:cols>
          <w:pgMar w:left="920" w:top="206" w:right="9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20" w:space="720"/>
            <w:col w:w="2960" w:space="720"/>
            <w:col w:w="2340"/>
          </w:cols>
          <w:pgMar w:left="920" w:top="206" w:right="919" w:bottom="1440" w:gutter="0" w:footer="0" w:header="0"/>
          <w:type w:val="continuous"/>
        </w:sectPr>
      </w:pPr>
    </w:p>
    <w:p>
      <w:pPr>
        <w:spacing w:after="0" w:line="223"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40" w:space="720"/>
            <w:col w:w="2900"/>
          </w:cols>
          <w:pgMar w:left="920" w:top="206" w:right="91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220980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8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8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416560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206" w:right="9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Blueprint Medicines Corporation (the “Company”) held its annual meeting of stockholders on June 20, 2018. The following is a summary of the matters voted on at the meeting.</w:t>
      </w:r>
    </w:p>
    <w:p>
      <w:pPr>
        <w:spacing w:after="0" w:line="62" w:lineRule="exact"/>
        <w:rPr>
          <w:sz w:val="20"/>
          <w:szCs w:val="20"/>
          <w:color w:val="auto"/>
        </w:rPr>
      </w:pPr>
    </w:p>
    <w:p>
      <w:pPr>
        <w:ind w:left="980" w:hanging="329"/>
        <w:spacing w:after="0" w:line="25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stockholders elected Daniel S. Lynch, George D. Demetri, M.D. and Lynn Seely, M.D. as Class III directors, each to serve until the 2021 annual meeting of stockholders and until his or her successor has been duly elected and qualified. The results of the stockholders’ vote with respect to the election of such Class III directors were as follows:</w:t>
      </w:r>
    </w:p>
    <w:p>
      <w:pPr>
        <w:spacing w:after="0" w:line="88"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For</w:t>
            </w: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Withheld</w:t>
            </w:r>
          </w:p>
        </w:tc>
        <w:tc>
          <w:tcPr>
            <w:tcW w:w="16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Broker Non-Votes</w:t>
            </w:r>
          </w:p>
        </w:tc>
      </w:tr>
      <w:tr>
        <w:trPr>
          <w:trHeight w:val="210"/>
        </w:trPr>
        <w:tc>
          <w:tcPr>
            <w:tcW w:w="21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Daniel S. Lynch</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32,852,065</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6,048,688</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2,467,641</w:t>
            </w:r>
          </w:p>
        </w:tc>
      </w:tr>
      <w:tr>
        <w:trPr>
          <w:trHeight w:val="216"/>
        </w:trPr>
        <w:tc>
          <w:tcPr>
            <w:tcW w:w="2100" w:type="dxa"/>
            <w:vAlign w:val="bottom"/>
          </w:tcPr>
          <w:p>
            <w:pPr>
              <w:ind w:left="120"/>
              <w:spacing w:after="0"/>
              <w:rPr>
                <w:sz w:val="20"/>
                <w:szCs w:val="20"/>
                <w:color w:val="auto"/>
              </w:rPr>
            </w:pPr>
            <w:r>
              <w:rPr>
                <w:rFonts w:ascii="Arial" w:cs="Arial" w:eastAsia="Arial" w:hAnsi="Arial"/>
                <w:sz w:val="18"/>
                <w:szCs w:val="18"/>
                <w:color w:val="auto"/>
                <w:w w:val="98"/>
              </w:rPr>
              <w:t>George D. Demetri, M.D.</w:t>
            </w:r>
          </w:p>
        </w:tc>
        <w:tc>
          <w:tcPr>
            <w:tcW w:w="980" w:type="dxa"/>
            <w:vAlign w:val="bottom"/>
          </w:tcPr>
          <w:p>
            <w:pPr>
              <w:jc w:val="right"/>
              <w:spacing w:after="0"/>
              <w:rPr>
                <w:sz w:val="20"/>
                <w:szCs w:val="20"/>
                <w:color w:val="auto"/>
              </w:rPr>
            </w:pPr>
            <w:r>
              <w:rPr>
                <w:rFonts w:ascii="Arial" w:cs="Arial" w:eastAsia="Arial" w:hAnsi="Arial"/>
                <w:sz w:val="18"/>
                <w:szCs w:val="18"/>
                <w:color w:val="auto"/>
              </w:rPr>
              <w:t>32,196,702</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6,704,051</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2,467,641</w:t>
            </w:r>
          </w:p>
        </w:tc>
      </w:tr>
      <w:tr>
        <w:trPr>
          <w:trHeight w:val="216"/>
        </w:trPr>
        <w:tc>
          <w:tcPr>
            <w:tcW w:w="2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Lynn Seely, M.D.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33,062,895</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5,837,858</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2,467,641</w:t>
            </w:r>
          </w:p>
        </w:tc>
      </w:tr>
    </w:tbl>
    <w:p>
      <w:pPr>
        <w:spacing w:after="0" w:line="337" w:lineRule="exact"/>
        <w:rPr>
          <w:sz w:val="20"/>
          <w:szCs w:val="20"/>
          <w:color w:val="auto"/>
        </w:rPr>
      </w:pPr>
    </w:p>
    <w:p>
      <w:pPr>
        <w:ind w:left="980" w:right="200" w:hanging="329"/>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stockholders approved the non-binding, advisory vote on the compensation paid to its named executive officers. The results of the stockholders’ non-binding, advisory vote with respect to compensation paid to the Company’s named executive officers were as follows:</w:t>
      </w:r>
    </w:p>
    <w:p>
      <w:pPr>
        <w:spacing w:after="0" w:line="83" w:lineRule="exact"/>
        <w:rPr>
          <w:sz w:val="20"/>
          <w:szCs w:val="20"/>
          <w:color w:val="auto"/>
        </w:rPr>
      </w:pPr>
    </w:p>
    <w:tbl>
      <w:tblPr>
        <w:tblLayout w:type="fixed"/>
        <w:tblInd w:w="1400" w:type="dxa"/>
        <w:tblCellMar>
          <w:top w:w="0" w:type="dxa"/>
          <w:left w:w="0" w:type="dxa"/>
          <w:bottom w:w="0" w:type="dxa"/>
          <w:right w:w="0" w:type="dxa"/>
        </w:tblCellMar>
      </w:tblPr>
      <w:tr>
        <w:trPr>
          <w:trHeight w:val="234"/>
        </w:trPr>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For</w:t>
            </w: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Votes Against</w:t>
            </w: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Votes Abstaining</w:t>
            </w: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Broker Non-Votes</w:t>
            </w:r>
          </w:p>
        </w:tc>
      </w:tr>
      <w:tr>
        <w:trPr>
          <w:trHeight w:val="210"/>
        </w:trPr>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38,403,708</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492,764</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2,467,641</w:t>
            </w:r>
          </w:p>
        </w:tc>
      </w:tr>
    </w:tbl>
    <w:p>
      <w:pPr>
        <w:spacing w:after="0" w:line="310" w:lineRule="exact"/>
        <w:rPr>
          <w:sz w:val="20"/>
          <w:szCs w:val="20"/>
          <w:color w:val="auto"/>
        </w:rPr>
      </w:pPr>
    </w:p>
    <w:p>
      <w:pPr>
        <w:ind w:left="980" w:right="140" w:hanging="329"/>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stockholders determined that future advisory votes on the compensation paid to its named executive officers would be held every year. The results of the stockholders’ non-binding, advisory vote with respect to the frequency of future advisory votes on the compensation paid to the Company’s named executive officers were as follows:</w:t>
      </w:r>
    </w:p>
    <w:p>
      <w:pPr>
        <w:spacing w:after="0" w:line="88"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540" w:type="dxa"/>
            <w:vAlign w:val="bottom"/>
            <w:gridSpan w:val="2"/>
          </w:tcPr>
          <w:p>
            <w:pPr>
              <w:ind w:left="380"/>
              <w:spacing w:after="0"/>
              <w:rPr>
                <w:sz w:val="20"/>
                <w:szCs w:val="20"/>
                <w:color w:val="auto"/>
              </w:rPr>
            </w:pPr>
            <w:r>
              <w:rPr>
                <w:rFonts w:ascii="Arial" w:cs="Arial" w:eastAsia="Arial" w:hAnsi="Arial"/>
                <w:sz w:val="18"/>
                <w:szCs w:val="18"/>
                <w:b w:val="1"/>
                <w:bCs w:val="1"/>
                <w:color w:val="auto"/>
              </w:rPr>
              <w:t>1 Year</w:t>
            </w:r>
          </w:p>
        </w:tc>
        <w:tc>
          <w:tcPr>
            <w:tcW w:w="1360" w:type="dxa"/>
            <w:vAlign w:val="bottom"/>
            <w:gridSpan w:val="2"/>
          </w:tcPr>
          <w:p>
            <w:pPr>
              <w:ind w:left="240"/>
              <w:spacing w:after="0"/>
              <w:rPr>
                <w:sz w:val="20"/>
                <w:szCs w:val="20"/>
                <w:color w:val="auto"/>
              </w:rPr>
            </w:pPr>
            <w:r>
              <w:rPr>
                <w:rFonts w:ascii="Arial" w:cs="Arial" w:eastAsia="Arial" w:hAnsi="Arial"/>
                <w:sz w:val="18"/>
                <w:szCs w:val="18"/>
                <w:b w:val="1"/>
                <w:bCs w:val="1"/>
                <w:color w:val="auto"/>
              </w:rPr>
              <w:t>2 Years</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3 Years</w:t>
            </w:r>
          </w:p>
        </w:tc>
        <w:tc>
          <w:tcPr>
            <w:tcW w:w="1940" w:type="dxa"/>
            <w:vAlign w:val="bottom"/>
            <w:gridSpan w:val="2"/>
          </w:tcPr>
          <w:p>
            <w:pPr>
              <w:ind w:left="180"/>
              <w:spacing w:after="0"/>
              <w:rPr>
                <w:sz w:val="20"/>
                <w:szCs w:val="20"/>
                <w:color w:val="auto"/>
              </w:rPr>
            </w:pPr>
            <w:r>
              <w:rPr>
                <w:rFonts w:ascii="Arial" w:cs="Arial" w:eastAsia="Arial" w:hAnsi="Arial"/>
                <w:sz w:val="18"/>
                <w:szCs w:val="18"/>
                <w:b w:val="1"/>
                <w:bCs w:val="1"/>
                <w:color w:val="auto"/>
              </w:rPr>
              <w:t>Votes Abstaining</w:t>
            </w: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38,805,413</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91,145</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3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2,467,641</w:t>
            </w:r>
          </w:p>
        </w:tc>
      </w:tr>
    </w:tbl>
    <w:p>
      <w:pPr>
        <w:spacing w:after="0" w:line="310" w:lineRule="exact"/>
        <w:rPr>
          <w:sz w:val="20"/>
          <w:szCs w:val="20"/>
          <w:color w:val="auto"/>
        </w:rPr>
      </w:pPr>
    </w:p>
    <w:p>
      <w:pPr>
        <w:jc w:val="both"/>
        <w:ind w:left="980" w:right="200"/>
        <w:spacing w:after="0" w:line="259" w:lineRule="auto"/>
        <w:rPr>
          <w:sz w:val="20"/>
          <w:szCs w:val="20"/>
          <w:color w:val="auto"/>
        </w:rPr>
      </w:pPr>
      <w:r>
        <w:rPr>
          <w:rFonts w:ascii="Arial" w:cs="Arial" w:eastAsia="Arial" w:hAnsi="Arial"/>
          <w:sz w:val="18"/>
          <w:szCs w:val="18"/>
          <w:color w:val="auto"/>
        </w:rPr>
        <w:t>After taking into consideration the foregoing voting results and the prior recommendation of the Company’s Board of Directors (the “Board”) in favor of an annual stockholder advisory vote on the compensation of the Company’s named executive officers, the Board intends to hold future advisory votes on the compensation of the Company’s named executive officers every year.</w:t>
      </w:r>
    </w:p>
    <w:p>
      <w:pPr>
        <w:spacing w:after="0" w:line="79" w:lineRule="exact"/>
        <w:rPr>
          <w:sz w:val="20"/>
          <w:szCs w:val="20"/>
          <w:color w:val="auto"/>
        </w:rPr>
      </w:pPr>
    </w:p>
    <w:p>
      <w:pPr>
        <w:ind w:left="980" w:right="20" w:hanging="329"/>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stockholders ratified the appointment of Ernst &amp; Young LLP as the Company’s independent registered public accounting for the fiscal year ending December 31, 2018. The results of the stockholders’ vote with respect to such ratification were as follows:</w:t>
      </w:r>
    </w:p>
    <w:p>
      <w:pPr>
        <w:spacing w:after="0" w:line="8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380" w:type="dxa"/>
            <w:vAlign w:val="bottom"/>
            <w:gridSpan w:val="2"/>
          </w:tcPr>
          <w:p>
            <w:pPr>
              <w:ind w:left="600"/>
              <w:spacing w:after="0"/>
              <w:rPr>
                <w:sz w:val="20"/>
                <w:szCs w:val="20"/>
                <w:color w:val="auto"/>
              </w:rPr>
            </w:pPr>
            <w:r>
              <w:rPr>
                <w:rFonts w:ascii="Arial" w:cs="Arial" w:eastAsia="Arial" w:hAnsi="Arial"/>
                <w:sz w:val="18"/>
                <w:szCs w:val="18"/>
                <w:b w:val="1"/>
                <w:bCs w:val="1"/>
                <w:color w:val="auto"/>
              </w:rPr>
              <w:t>Votes For</w:t>
            </w:r>
          </w:p>
        </w:tc>
        <w:tc>
          <w:tcPr>
            <w:tcW w:w="2400" w:type="dxa"/>
            <w:vAlign w:val="bottom"/>
            <w:gridSpan w:val="2"/>
          </w:tcPr>
          <w:p>
            <w:pPr>
              <w:ind w:left="440"/>
              <w:spacing w:after="0"/>
              <w:rPr>
                <w:sz w:val="20"/>
                <w:szCs w:val="20"/>
                <w:color w:val="auto"/>
              </w:rPr>
            </w:pPr>
            <w:r>
              <w:rPr>
                <w:rFonts w:ascii="Arial" w:cs="Arial" w:eastAsia="Arial" w:hAnsi="Arial"/>
                <w:sz w:val="18"/>
                <w:szCs w:val="18"/>
                <w:b w:val="1"/>
                <w:bCs w:val="1"/>
                <w:color w:val="auto"/>
              </w:rPr>
              <w:t>Votes Against</w:t>
            </w:r>
          </w:p>
        </w:tc>
        <w:tc>
          <w:tcPr>
            <w:tcW w:w="1960" w:type="dxa"/>
            <w:vAlign w:val="bottom"/>
          </w:tcPr>
          <w:p>
            <w:pPr>
              <w:jc w:val="right"/>
              <w:ind w:right="230"/>
              <w:spacing w:after="0"/>
              <w:rPr>
                <w:sz w:val="20"/>
                <w:szCs w:val="20"/>
                <w:color w:val="auto"/>
              </w:rPr>
            </w:pPr>
            <w:r>
              <w:rPr>
                <w:rFonts w:ascii="Arial" w:cs="Arial" w:eastAsia="Arial" w:hAnsi="Arial"/>
                <w:sz w:val="18"/>
                <w:szCs w:val="18"/>
                <w:b w:val="1"/>
                <w:bCs w:val="1"/>
                <w:color w:val="auto"/>
              </w:rPr>
              <w:t>Votes Abstaining</w:t>
            </w:r>
          </w:p>
        </w:tc>
      </w:tr>
      <w:tr>
        <w:trPr>
          <w:trHeight w:val="210"/>
        </w:trPr>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41,340,067</w:t>
            </w:r>
          </w:p>
        </w:tc>
        <w:tc>
          <w:tcPr>
            <w:tcW w:w="4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4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6100" w:type="dxa"/>
            <w:vAlign w:val="bottom"/>
            <w:gridSpan w:val="2"/>
          </w:tcPr>
          <w:p>
            <w:pPr>
              <w:ind w:left="1720"/>
              <w:spacing w:after="0"/>
              <w:rPr>
                <w:sz w:val="20"/>
                <w:szCs w:val="20"/>
                <w:color w:val="auto"/>
              </w:rPr>
            </w:pPr>
            <w:r>
              <w:rPr>
                <w:rFonts w:ascii="Arial" w:cs="Arial" w:eastAsia="Arial" w:hAnsi="Arial"/>
                <w:sz w:val="18"/>
                <w:szCs w:val="18"/>
                <w:b w:val="1"/>
                <w:bCs w:val="1"/>
                <w:color w:val="auto"/>
              </w:rPr>
              <w:t>BLUEPRINT MEDICINES CORPORATION</w:t>
            </w:r>
          </w:p>
        </w:tc>
      </w:tr>
      <w:tr>
        <w:trPr>
          <w:trHeight w:val="648"/>
        </w:trPr>
        <w:tc>
          <w:tcPr>
            <w:tcW w:w="2960" w:type="dxa"/>
            <w:vAlign w:val="bottom"/>
          </w:tcPr>
          <w:p>
            <w:pPr>
              <w:spacing w:after="0"/>
              <w:rPr>
                <w:sz w:val="20"/>
                <w:szCs w:val="20"/>
                <w:color w:val="auto"/>
              </w:rPr>
            </w:pPr>
            <w:r>
              <w:rPr>
                <w:rFonts w:ascii="Arial" w:cs="Arial" w:eastAsia="Arial" w:hAnsi="Arial"/>
                <w:sz w:val="18"/>
                <w:szCs w:val="18"/>
                <w:color w:val="auto"/>
              </w:rPr>
              <w:t>Date: June 22, 2018</w:t>
            </w:r>
          </w:p>
        </w:tc>
        <w:tc>
          <w:tcPr>
            <w:tcW w:w="6100" w:type="dxa"/>
            <w:vAlign w:val="bottom"/>
            <w:gridSpan w:val="2"/>
          </w:tcPr>
          <w:p>
            <w:pPr>
              <w:ind w:left="1720"/>
              <w:spacing w:after="0"/>
              <w:rPr>
                <w:sz w:val="20"/>
                <w:szCs w:val="20"/>
                <w:color w:val="auto"/>
              </w:rPr>
            </w:pPr>
            <w:r>
              <w:rPr>
                <w:rFonts w:ascii="Arial" w:cs="Arial" w:eastAsia="Arial" w:hAnsi="Arial"/>
                <w:sz w:val="18"/>
                <w:szCs w:val="18"/>
                <w:color w:val="auto"/>
              </w:rPr>
              <w:t>By: /s/ Tracey L. McCain</w:t>
            </w:r>
          </w:p>
        </w:tc>
      </w:tr>
      <w:tr>
        <w:trPr>
          <w:trHeight w:val="195"/>
        </w:trPr>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2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864"/>
        </w:trPr>
        <w:tc>
          <w:tcPr>
            <w:tcW w:w="2960" w:type="dxa"/>
            <w:vAlign w:val="bottom"/>
          </w:tcPr>
          <w:p>
            <w:pPr>
              <w:spacing w:after="0"/>
              <w:rPr>
                <w:sz w:val="24"/>
                <w:szCs w:val="24"/>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080" w:type="dxa"/>
            <w:vAlign w:val="bottom"/>
          </w:tcPr>
          <w:p>
            <w:pPr>
              <w:spacing w:after="0"/>
              <w:rPr>
                <w:sz w:val="24"/>
                <w:szCs w:val="24"/>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2019-12-08T09:01:08Z</dcterms:created>
  <dcterms:modified xsi:type="dcterms:W3CDTF">2019-12-08T09:01:08Z</dcterms:modified>
</cp:coreProperties>
</file>