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Hurley Ariel</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80" w:type="dxa"/>
            <w:vAlign w:val="bottom"/>
            <w:tcBorders>
              <w:top w:val="single" w:sz="8" w:color="0000EE"/>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03/03/2022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65"/>
        <w:spacing w:after="0"/>
        <w:rPr>
          <w:sz w:val="20"/>
          <w:szCs w:val="20"/>
          <w:color w:val="auto"/>
        </w:rPr>
      </w:pPr>
      <w:r>
        <w:rPr>
          <w:rFonts w:ascii="Arial" w:cs="Arial" w:eastAsia="Arial" w:hAnsi="Arial"/>
          <w:sz w:val="16"/>
          <w:szCs w:val="16"/>
          <w:color w:val="0000FF"/>
        </w:rPr>
        <w:t>PRINCIPAL ACCOUNTING OFFICER</w:t>
      </w:r>
    </w:p>
    <w:p>
      <w:pPr>
        <w:spacing w:after="0" w:line="41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761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60.27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12,211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256</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56.19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11,955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$56.18 to $57.07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Tracey McCain,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2022-03-08T16:19:10Z</dcterms:created>
  <dcterms:modified xsi:type="dcterms:W3CDTF">2022-03-08T16:19:10Z</dcterms:modified>
</cp:coreProperties>
</file>