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67494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spacing w:after="0" w:line="3"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67494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jc w:val="center"/>
        <w:ind w:right="-40"/>
        <w:spacing w:after="0" w:line="219" w:lineRule="auto"/>
        <w:rPr>
          <w:sz w:val="20"/>
          <w:szCs w:val="20"/>
          <w:color w:val="auto"/>
        </w:rPr>
      </w:pPr>
      <w:r>
        <w:rPr>
          <w:rFonts w:ascii="Arial" w:cs="Arial" w:eastAsia="Arial" w:hAnsi="Arial"/>
          <w:sz w:val="25"/>
          <w:szCs w:val="25"/>
          <w:b w:val="1"/>
          <w:bCs w:val="1"/>
          <w:color w:val="auto"/>
        </w:rPr>
        <w:t>SECURITIES AND EXCHANGE COMMISSION</w:t>
      </w: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2529840</wp:posOffset>
            </wp:positionH>
            <wp:positionV relativeFrom="paragraph">
              <wp:posOffset>55880</wp:posOffset>
            </wp:positionV>
            <wp:extent cx="1689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135"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2529840</wp:posOffset>
            </wp:positionH>
            <wp:positionV relativeFrom="paragraph">
              <wp:posOffset>75565</wp:posOffset>
            </wp:positionV>
            <wp:extent cx="16897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9735" cy="17145"/>
                    </a:xfrm>
                    <a:prstGeom prst="rect">
                      <a:avLst/>
                    </a:prstGeom>
                    <a:noFill/>
                  </pic:spPr>
                </pic:pic>
              </a:graphicData>
            </a:graphic>
          </wp:anchor>
        </w:drawing>
      </w:r>
    </w:p>
    <w:p>
      <w:pPr>
        <w:spacing w:after="0" w:line="211" w:lineRule="exact"/>
        <w:rPr>
          <w:sz w:val="24"/>
          <w:szCs w:val="24"/>
          <w:color w:val="auto"/>
        </w:rPr>
      </w:pPr>
    </w:p>
    <w:p>
      <w:pPr>
        <w:ind w:left="1"/>
        <w:spacing w:after="0"/>
        <w:rPr>
          <w:sz w:val="20"/>
          <w:szCs w:val="20"/>
          <w:color w:val="auto"/>
        </w:rPr>
      </w:pPr>
      <w:r>
        <w:rPr>
          <w:rFonts w:ascii="Arial" w:cs="Arial" w:eastAsia="Arial" w:hAnsi="Arial"/>
          <w:sz w:val="16"/>
          <w:szCs w:val="16"/>
          <w:color w:val="auto"/>
        </w:rPr>
        <w:t>(Mark One)</w:t>
      </w:r>
    </w:p>
    <w:p>
      <w:pPr>
        <w:spacing w:after="0" w:line="55" w:lineRule="exact"/>
        <w:rPr>
          <w:sz w:val="24"/>
          <w:szCs w:val="24"/>
          <w:color w:val="auto"/>
        </w:rPr>
      </w:pPr>
    </w:p>
    <w:p>
      <w:pPr>
        <w:ind w:left="1401" w:hanging="968"/>
        <w:spacing w:after="0"/>
        <w:tabs>
          <w:tab w:leader="none" w:pos="1401"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7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For the fiscal year ended December 31, 2017</w:t>
      </w:r>
    </w:p>
    <w:p>
      <w:pPr>
        <w:spacing w:after="0" w:line="32"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OR</w:t>
      </w:r>
    </w:p>
    <w:p>
      <w:pPr>
        <w:spacing w:after="0" w:line="86" w:lineRule="exact"/>
        <w:rPr>
          <w:sz w:val="24"/>
          <w:szCs w:val="24"/>
          <w:color w:val="auto"/>
        </w:rPr>
      </w:pPr>
    </w:p>
    <w:p>
      <w:pPr>
        <w:ind w:left="1401" w:hanging="968"/>
        <w:spacing w:after="0"/>
        <w:tabs>
          <w:tab w:leader="none" w:pos="1401"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77" w:lineRule="exact"/>
        <w:rPr>
          <w:sz w:val="24"/>
          <w:szCs w:val="24"/>
          <w:color w:val="auto"/>
        </w:rPr>
      </w:pPr>
    </w:p>
    <w:p>
      <w:pPr>
        <w:ind w:left="3381"/>
        <w:spacing w:after="0"/>
        <w:tabs>
          <w:tab w:leader="none" w:pos="610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4"/>
          <w:szCs w:val="14"/>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3393440</wp:posOffset>
            </wp:positionH>
            <wp:positionV relativeFrom="paragraph">
              <wp:posOffset>-6985</wp:posOffset>
            </wp:positionV>
            <wp:extent cx="1083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3310" cy="889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6"/>
          <w:szCs w:val="16"/>
          <w:b w:val="1"/>
          <w:bCs w:val="1"/>
          <w:color w:val="auto"/>
        </w:rPr>
        <w:t>Commission File Number: 001-37359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2529840</wp:posOffset>
            </wp:positionH>
            <wp:positionV relativeFrom="paragraph">
              <wp:posOffset>60325</wp:posOffset>
            </wp:positionV>
            <wp:extent cx="16897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89735" cy="17145"/>
                    </a:xfrm>
                    <a:prstGeom prst="rect">
                      <a:avLst/>
                    </a:prstGeom>
                    <a:noFill/>
                  </pic:spPr>
                </pic:pic>
              </a:graphicData>
            </a:graphic>
          </wp:anchor>
        </w:drawing>
      </w:r>
    </w:p>
    <w:p>
      <w:pPr>
        <w:spacing w:after="0" w:line="156"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BLUEPRINT MEDICINES CORPORATION</w:t>
      </w:r>
    </w:p>
    <w:p>
      <w:pPr>
        <w:sectPr>
          <w:pgSz w:w="11900" w:h="16838" w:orient="portrait"/>
          <w:cols w:equalWidth="0" w:num="1">
            <w:col w:w="10581"/>
          </w:cols>
          <w:pgMar w:left="639" w:top="220" w:right="679" w:bottom="1440" w:gutter="0" w:footer="0" w:header="0"/>
        </w:sectPr>
      </w:pPr>
    </w:p>
    <w:p>
      <w:pPr>
        <w:spacing w:after="0" w:line="29" w:lineRule="exact"/>
        <w:rPr>
          <w:sz w:val="24"/>
          <w:szCs w:val="24"/>
          <w:color w:val="auto"/>
        </w:rPr>
      </w:pPr>
    </w:p>
    <w:p>
      <w:pPr>
        <w:jc w:val="right"/>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2529840</wp:posOffset>
            </wp:positionH>
            <wp:positionV relativeFrom="paragraph">
              <wp:posOffset>60325</wp:posOffset>
            </wp:positionV>
            <wp:extent cx="16897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9735" cy="17145"/>
                    </a:xfrm>
                    <a:prstGeom prst="rect">
                      <a:avLst/>
                    </a:prstGeom>
                    <a:noFill/>
                  </pic:spPr>
                </pic:pic>
              </a:graphicData>
            </a:graphic>
          </wp:anchor>
        </w:drawing>
      </w:r>
    </w:p>
    <w:p>
      <w:pPr>
        <w:spacing w:after="0" w:line="183" w:lineRule="exact"/>
        <w:rPr>
          <w:sz w:val="24"/>
          <w:szCs w:val="24"/>
          <w:color w:val="auto"/>
        </w:rPr>
      </w:pPr>
    </w:p>
    <w:p>
      <w:pPr>
        <w:jc w:val="center"/>
        <w:ind w:right="1599"/>
        <w:spacing w:after="0"/>
        <w:rPr>
          <w:sz w:val="20"/>
          <w:szCs w:val="20"/>
          <w:color w:val="auto"/>
        </w:rPr>
      </w:pPr>
      <w:r>
        <w:rPr>
          <w:rFonts w:ascii="Arial" w:cs="Arial" w:eastAsia="Arial" w:hAnsi="Arial"/>
          <w:sz w:val="16"/>
          <w:szCs w:val="16"/>
          <w:b w:val="1"/>
          <w:bCs w:val="1"/>
          <w:color w:val="auto"/>
        </w:rPr>
        <w:t>Delaware</w:t>
      </w:r>
    </w:p>
    <w:p>
      <w:pPr>
        <w:spacing w:after="0" w:line="1" w:lineRule="exact"/>
        <w:rPr>
          <w:sz w:val="24"/>
          <w:szCs w:val="24"/>
          <w:color w:val="auto"/>
        </w:rPr>
      </w:pPr>
    </w:p>
    <w:p>
      <w:pPr>
        <w:ind w:left="1741"/>
        <w:spacing w:after="0"/>
        <w:rPr>
          <w:sz w:val="20"/>
          <w:szCs w:val="20"/>
          <w:color w:val="auto"/>
        </w:rPr>
      </w:pPr>
      <w:r>
        <w:rPr>
          <w:rFonts w:ascii="Arial" w:cs="Arial" w:eastAsia="Arial" w:hAnsi="Arial"/>
          <w:sz w:val="16"/>
          <w:szCs w:val="16"/>
          <w:i w:val="1"/>
          <w:iCs w:val="1"/>
          <w:color w:val="auto"/>
        </w:rPr>
        <w:t>(State or other jurisdiction of</w:t>
      </w:r>
    </w:p>
    <w:p>
      <w:pPr>
        <w:ind w:left="1801"/>
        <w:spacing w:after="0"/>
        <w:rPr>
          <w:sz w:val="20"/>
          <w:szCs w:val="20"/>
          <w:color w:val="auto"/>
        </w:rPr>
      </w:pPr>
      <w:r>
        <w:rPr>
          <w:rFonts w:ascii="Arial" w:cs="Arial" w:eastAsia="Arial" w:hAnsi="Arial"/>
          <w:sz w:val="16"/>
          <w:szCs w:val="16"/>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9"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26-3632015</w:t>
      </w:r>
    </w:p>
    <w:p>
      <w:pPr>
        <w:jc w:val="center"/>
        <w:ind w:right="1920"/>
        <w:spacing w:after="0" w:line="211" w:lineRule="auto"/>
        <w:rPr>
          <w:sz w:val="20"/>
          <w:szCs w:val="20"/>
          <w:color w:val="auto"/>
        </w:rPr>
      </w:pPr>
      <w:r>
        <w:rPr>
          <w:rFonts w:ascii="Arial" w:cs="Arial" w:eastAsia="Arial" w:hAnsi="Arial"/>
          <w:sz w:val="16"/>
          <w:szCs w:val="16"/>
          <w:i w:val="1"/>
          <w:iCs w:val="1"/>
          <w:color w:val="auto"/>
        </w:rPr>
        <w:t>(IRS Employer</w:t>
      </w:r>
    </w:p>
    <w:p>
      <w:pPr>
        <w:jc w:val="center"/>
        <w:ind w:right="1920"/>
        <w:spacing w:after="0"/>
        <w:rPr>
          <w:sz w:val="20"/>
          <w:szCs w:val="20"/>
          <w:color w:val="auto"/>
        </w:rPr>
      </w:pPr>
      <w:r>
        <w:rPr>
          <w:rFonts w:ascii="Arial" w:cs="Arial" w:eastAsia="Arial" w:hAnsi="Arial"/>
          <w:sz w:val="15"/>
          <w:szCs w:val="15"/>
          <w:i w:val="1"/>
          <w:iCs w:val="1"/>
          <w:color w:val="auto"/>
        </w:rPr>
        <w:t>Identification No.)</w:t>
      </w:r>
    </w:p>
    <w:p>
      <w:pPr>
        <w:spacing w:after="0" w:line="12" w:lineRule="exact"/>
        <w:rPr>
          <w:sz w:val="24"/>
          <w:szCs w:val="24"/>
          <w:color w:val="auto"/>
        </w:rPr>
      </w:pPr>
    </w:p>
    <w:p>
      <w:pPr>
        <w:sectPr>
          <w:pgSz w:w="11900" w:h="16838" w:orient="portrait"/>
          <w:cols w:equalWidth="0" w:num="2">
            <w:col w:w="7001" w:space="460"/>
            <w:col w:w="3120"/>
          </w:cols>
          <w:pgMar w:left="639" w:top="220" w:right="679" w:bottom="1440" w:gutter="0" w:footer="0" w:header="0"/>
          <w:type w:val="continuous"/>
        </w:sectPr>
      </w:pPr>
    </w:p>
    <w:tbl>
      <w:tblPr>
        <w:tblLayout w:type="fixed"/>
        <w:tblInd w:w="1421" w:type="dxa"/>
        <w:tblCellMar>
          <w:top w:w="0" w:type="dxa"/>
          <w:left w:w="0" w:type="dxa"/>
          <w:bottom w:w="0" w:type="dxa"/>
          <w:right w:w="0" w:type="dxa"/>
        </w:tblCellMar>
      </w:tblPr>
      <w:tr>
        <w:trPr>
          <w:trHeight w:val="149"/>
        </w:trPr>
        <w:tc>
          <w:tcPr>
            <w:tcW w:w="4400" w:type="dxa"/>
            <w:vAlign w:val="bottom"/>
          </w:tcPr>
          <w:p>
            <w:pPr>
              <w:jc w:val="center"/>
              <w:ind w:right="1799"/>
              <w:spacing w:after="0" w:line="149" w:lineRule="exact"/>
              <w:rPr>
                <w:sz w:val="20"/>
                <w:szCs w:val="20"/>
                <w:color w:val="auto"/>
              </w:rPr>
            </w:pPr>
            <w:r>
              <w:rPr>
                <w:rFonts w:ascii="Arial" w:cs="Arial" w:eastAsia="Arial" w:hAnsi="Arial"/>
                <w:sz w:val="16"/>
                <w:szCs w:val="16"/>
                <w:b w:val="1"/>
                <w:bCs w:val="1"/>
                <w:color w:val="auto"/>
                <w:w w:val="89"/>
              </w:rPr>
              <w:t>45 Sidney Street</w:t>
            </w:r>
          </w:p>
        </w:tc>
        <w:tc>
          <w:tcPr>
            <w:tcW w:w="258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02139</w:t>
            </w:r>
          </w:p>
        </w:tc>
        <w:tc>
          <w:tcPr>
            <w:tcW w:w="0" w:type="dxa"/>
            <w:vAlign w:val="bottom"/>
          </w:tcPr>
          <w:p>
            <w:pPr>
              <w:spacing w:after="0"/>
              <w:rPr>
                <w:sz w:val="1"/>
                <w:szCs w:val="1"/>
                <w:color w:val="auto"/>
              </w:rPr>
            </w:pPr>
          </w:p>
        </w:tc>
      </w:tr>
      <w:tr>
        <w:trPr>
          <w:trHeight w:val="166"/>
        </w:trPr>
        <w:tc>
          <w:tcPr>
            <w:tcW w:w="4400" w:type="dxa"/>
            <w:vAlign w:val="bottom"/>
          </w:tcPr>
          <w:p>
            <w:pPr>
              <w:jc w:val="center"/>
              <w:ind w:right="1779"/>
              <w:spacing w:after="0" w:line="166" w:lineRule="exact"/>
              <w:rPr>
                <w:sz w:val="20"/>
                <w:szCs w:val="20"/>
                <w:color w:val="auto"/>
              </w:rPr>
            </w:pPr>
            <w:r>
              <w:rPr>
                <w:rFonts w:ascii="Arial" w:cs="Arial" w:eastAsia="Arial" w:hAnsi="Arial"/>
                <w:sz w:val="16"/>
                <w:szCs w:val="16"/>
                <w:b w:val="1"/>
                <w:bCs w:val="1"/>
                <w:color w:val="auto"/>
                <w:w w:val="97"/>
              </w:rPr>
              <w:t>Cambridge, MA</w:t>
            </w:r>
          </w:p>
        </w:tc>
        <w:tc>
          <w:tcPr>
            <w:tcW w:w="2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400" w:type="dxa"/>
            <w:vAlign w:val="bottom"/>
          </w:tcPr>
          <w:p>
            <w:pPr>
              <w:jc w:val="center"/>
              <w:ind w:right="1779"/>
              <w:spacing w:after="0"/>
              <w:rPr>
                <w:sz w:val="20"/>
                <w:szCs w:val="20"/>
                <w:color w:val="auto"/>
              </w:rPr>
            </w:pPr>
            <w:r>
              <w:rPr>
                <w:rFonts w:ascii="Arial" w:cs="Arial" w:eastAsia="Arial" w:hAnsi="Arial"/>
                <w:sz w:val="16"/>
                <w:szCs w:val="16"/>
                <w:i w:val="1"/>
                <w:iCs w:val="1"/>
                <w:color w:val="auto"/>
                <w:w w:val="92"/>
              </w:rPr>
              <w:t>(Address of principal executive offices)</w:t>
            </w:r>
          </w:p>
        </w:tc>
        <w:tc>
          <w:tcPr>
            <w:tcW w:w="2580" w:type="dxa"/>
            <w:vAlign w:val="bottom"/>
          </w:tcPr>
          <w:p>
            <w:pPr>
              <w:jc w:val="center"/>
              <w:ind w:left="1799"/>
              <w:spacing w:after="0"/>
              <w:rPr>
                <w:sz w:val="20"/>
                <w:szCs w:val="20"/>
                <w:color w:val="auto"/>
              </w:rPr>
            </w:pPr>
            <w:r>
              <w:rPr>
                <w:rFonts w:ascii="Arial" w:cs="Arial" w:eastAsia="Arial" w:hAnsi="Arial"/>
                <w:sz w:val="16"/>
                <w:szCs w:val="16"/>
                <w:i w:val="1"/>
                <w:iCs w:val="1"/>
                <w:color w:val="auto"/>
                <w:w w:val="92"/>
              </w:rPr>
              <w:t>(Zip Code)</w:t>
            </w:r>
          </w:p>
        </w:tc>
        <w:tc>
          <w:tcPr>
            <w:tcW w:w="0" w:type="dxa"/>
            <w:vAlign w:val="bottom"/>
          </w:tcPr>
          <w:p>
            <w:pPr>
              <w:spacing w:after="0"/>
              <w:rPr>
                <w:sz w:val="1"/>
                <w:szCs w:val="1"/>
                <w:color w:val="auto"/>
              </w:rPr>
            </w:pPr>
          </w:p>
        </w:tc>
      </w:tr>
    </w:tbl>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6"/>
          <w:szCs w:val="16"/>
          <w:i w:val="1"/>
          <w:iCs w:val="1"/>
          <w:color w:val="auto"/>
        </w:rPr>
        <w:t xml:space="preserve">Registrant’s telephone number, including area code: </w:t>
      </w:r>
      <w:r>
        <w:rPr>
          <w:rFonts w:ascii="Arial" w:cs="Arial" w:eastAsia="Arial" w:hAnsi="Arial"/>
          <w:sz w:val="16"/>
          <w:szCs w:val="16"/>
          <w:b w:val="1"/>
          <w:bCs w:val="1"/>
          <w:color w:val="auto"/>
        </w:rPr>
        <w:t>(617) 374-7580</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6"/>
          <w:szCs w:val="16"/>
          <w:i w:val="1"/>
          <w:iCs w:val="1"/>
          <w:color w:val="auto"/>
        </w:rPr>
        <w:t>Securities registered pursuant to Section 12(b) of the Act:</w:t>
      </w:r>
    </w:p>
    <w:p>
      <w:pPr>
        <w:spacing w:after="0" w:line="18" w:lineRule="exact"/>
        <w:rPr>
          <w:sz w:val="24"/>
          <w:szCs w:val="24"/>
          <w:color w:val="auto"/>
        </w:rPr>
      </w:pPr>
    </w:p>
    <w:tbl>
      <w:tblPr>
        <w:tblLayout w:type="fixed"/>
        <w:tblInd w:w="1" w:type="dxa"/>
        <w:tblCellMar>
          <w:top w:w="0" w:type="dxa"/>
          <w:left w:w="0" w:type="dxa"/>
          <w:bottom w:w="0" w:type="dxa"/>
          <w:right w:w="0" w:type="dxa"/>
        </w:tblCellMar>
      </w:tblPr>
      <w:tr>
        <w:trPr>
          <w:trHeight w:val="199"/>
        </w:trPr>
        <w:tc>
          <w:tcPr>
            <w:tcW w:w="4560" w:type="dxa"/>
            <w:vAlign w:val="bottom"/>
            <w:gridSpan w:val="2"/>
          </w:tcPr>
          <w:p>
            <w:pPr>
              <w:jc w:val="center"/>
              <w:ind w:right="820"/>
              <w:spacing w:after="0"/>
              <w:rPr>
                <w:sz w:val="20"/>
                <w:szCs w:val="20"/>
                <w:color w:val="auto"/>
              </w:rPr>
            </w:pPr>
            <w:r>
              <w:rPr>
                <w:rFonts w:ascii="Arial" w:cs="Arial" w:eastAsia="Arial" w:hAnsi="Arial"/>
                <w:sz w:val="16"/>
                <w:szCs w:val="16"/>
                <w:i w:val="1"/>
                <w:iCs w:val="1"/>
                <w:color w:val="auto"/>
                <w:w w:val="92"/>
              </w:rPr>
              <w:t>Title of Class</w:t>
            </w:r>
          </w:p>
        </w:tc>
        <w:tc>
          <w:tcPr>
            <w:tcW w:w="3320" w:type="dxa"/>
            <w:vAlign w:val="bottom"/>
          </w:tcPr>
          <w:p>
            <w:pPr>
              <w:jc w:val="center"/>
              <w:spacing w:after="0"/>
              <w:rPr>
                <w:sz w:val="20"/>
                <w:szCs w:val="20"/>
                <w:color w:val="auto"/>
              </w:rPr>
            </w:pPr>
            <w:r>
              <w:rPr>
                <w:rFonts w:ascii="Arial" w:cs="Arial" w:eastAsia="Arial" w:hAnsi="Arial"/>
                <w:sz w:val="16"/>
                <w:szCs w:val="16"/>
                <w:i w:val="1"/>
                <w:iCs w:val="1"/>
                <w:color w:val="auto"/>
                <w:w w:val="90"/>
              </w:rPr>
              <w:t>Name of Exchange on Which Registered</w:t>
            </w:r>
          </w:p>
        </w:tc>
      </w:tr>
      <w:tr>
        <w:trPr>
          <w:trHeight w:val="204"/>
        </w:trPr>
        <w:tc>
          <w:tcPr>
            <w:tcW w:w="37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Common Stock, par value $0.001 per share</w:t>
            </w:r>
          </w:p>
        </w:tc>
        <w:tc>
          <w:tcPr>
            <w:tcW w:w="840" w:type="dxa"/>
            <w:vAlign w:val="bottom"/>
          </w:tcPr>
          <w:p>
            <w:pPr>
              <w:spacing w:after="0"/>
              <w:rPr>
                <w:sz w:val="17"/>
                <w:szCs w:val="17"/>
                <w:color w:val="auto"/>
              </w:rPr>
            </w:pPr>
          </w:p>
        </w:tc>
        <w:tc>
          <w:tcPr>
            <w:tcW w:w="33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Nasdaq Global Select Market</w:t>
            </w:r>
          </w:p>
        </w:tc>
      </w:tr>
    </w:tbl>
    <w:p>
      <w:pPr>
        <w:jc w:val="center"/>
        <w:ind w:right="-40"/>
        <w:spacing w:after="0"/>
        <w:rPr>
          <w:sz w:val="20"/>
          <w:szCs w:val="20"/>
          <w:color w:val="auto"/>
        </w:rPr>
      </w:pPr>
      <w:r>
        <w:rPr>
          <w:rFonts w:ascii="Arial" w:cs="Arial" w:eastAsia="Arial" w:hAnsi="Arial"/>
          <w:sz w:val="16"/>
          <w:szCs w:val="16"/>
          <w:i w:val="1"/>
          <w:iCs w:val="1"/>
          <w:color w:val="auto"/>
        </w:rPr>
        <w:t xml:space="preserve">Securities registered pursuant to Section 12(g) of the Act: </w:t>
      </w:r>
      <w:r>
        <w:rPr>
          <w:rFonts w:ascii="Arial" w:cs="Arial" w:eastAsia="Arial" w:hAnsi="Arial"/>
          <w:sz w:val="16"/>
          <w:szCs w:val="16"/>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2529840</wp:posOffset>
            </wp:positionH>
            <wp:positionV relativeFrom="paragraph">
              <wp:posOffset>66675</wp:posOffset>
            </wp:positionV>
            <wp:extent cx="1689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154" w:lineRule="exact"/>
        <w:rPr>
          <w:sz w:val="24"/>
          <w:szCs w:val="24"/>
          <w:color w:val="auto"/>
        </w:rPr>
      </w:pPr>
    </w:p>
    <w:p>
      <w:pPr>
        <w:ind w:left="321" w:right="1420"/>
        <w:spacing w:after="0" w:line="218"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ind w:left="1" w:firstLine="324"/>
        <w:spacing w:after="0" w:line="176"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ind w:left="1" w:right="40" w:firstLine="324"/>
        <w:spacing w:after="0" w:line="176"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ind w:left="1" w:right="20" w:firstLine="324"/>
        <w:spacing w:after="0" w:line="237"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ind w:left="241" w:hanging="241"/>
        <w:spacing w:after="0" w:line="184" w:lineRule="exact"/>
        <w:tabs>
          <w:tab w:leader="none" w:pos="241" w:val="left"/>
        </w:tabs>
        <w:numPr>
          <w:ilvl w:val="0"/>
          <w:numId w:val="3"/>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11" w:lineRule="exact"/>
        <w:rPr>
          <w:sz w:val="24"/>
          <w:szCs w:val="24"/>
          <w:color w:val="auto"/>
        </w:rPr>
      </w:pPr>
    </w:p>
    <w:p>
      <w:pPr>
        <w:ind w:left="1" w:right="380" w:firstLine="324"/>
        <w:spacing w:after="0" w:line="251"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tbl>
      <w:tblPr>
        <w:tblLayout w:type="fixed"/>
        <w:tblInd w:w="1121" w:type="dxa"/>
        <w:tblCellMar>
          <w:top w:w="0" w:type="dxa"/>
          <w:left w:w="0" w:type="dxa"/>
          <w:bottom w:w="0" w:type="dxa"/>
          <w:right w:w="0" w:type="dxa"/>
        </w:tblCellMar>
      </w:tblPr>
      <w:tr>
        <w:trPr>
          <w:trHeight w:val="189"/>
        </w:trPr>
        <w:tc>
          <w:tcPr>
            <w:tcW w:w="2120" w:type="dxa"/>
            <w:vAlign w:val="bottom"/>
          </w:tcPr>
          <w:p>
            <w:pPr>
              <w:jc w:val="center"/>
              <w:ind w:left="539"/>
              <w:spacing w:after="0"/>
              <w:rPr>
                <w:sz w:val="20"/>
                <w:szCs w:val="20"/>
                <w:color w:val="auto"/>
              </w:rPr>
            </w:pPr>
            <w:r>
              <w:rPr>
                <w:rFonts w:ascii="Arial" w:cs="Arial" w:eastAsia="Arial" w:hAnsi="Arial"/>
                <w:sz w:val="16"/>
                <w:szCs w:val="16"/>
                <w:color w:val="auto"/>
                <w:w w:val="92"/>
              </w:rPr>
              <w:t>Large accelerated filer</w:t>
            </w:r>
          </w:p>
        </w:tc>
        <w:tc>
          <w:tcPr>
            <w:tcW w:w="226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3380" w:type="dxa"/>
            <w:vAlign w:val="bottom"/>
          </w:tcPr>
          <w:p>
            <w:pPr>
              <w:jc w:val="center"/>
              <w:ind w:left="1279"/>
              <w:spacing w:after="0" w:line="184" w:lineRule="exact"/>
              <w:rPr>
                <w:sz w:val="20"/>
                <w:szCs w:val="20"/>
                <w:color w:val="auto"/>
              </w:rPr>
            </w:pPr>
            <w:r>
              <w:rPr>
                <w:rFonts w:ascii="Arial" w:cs="Arial" w:eastAsia="Arial" w:hAnsi="Arial"/>
                <w:sz w:val="16"/>
                <w:szCs w:val="16"/>
                <w:color w:val="auto"/>
                <w:w w:val="96"/>
              </w:rPr>
              <w:t xml:space="preserve">Accelerated filer </w:t>
            </w:r>
            <w:r>
              <w:rPr>
                <w:rFonts w:ascii="MS PGothic" w:cs="MS PGothic" w:eastAsia="MS PGothic" w:hAnsi="MS PGothic"/>
                <w:sz w:val="16"/>
                <w:szCs w:val="16"/>
                <w:color w:val="auto"/>
                <w:w w:val="96"/>
              </w:rPr>
              <w:t>☐</w:t>
            </w:r>
          </w:p>
        </w:tc>
      </w:tr>
      <w:tr>
        <w:trPr>
          <w:trHeight w:val="192"/>
        </w:trPr>
        <w:tc>
          <w:tcPr>
            <w:tcW w:w="2120" w:type="dxa"/>
            <w:vAlign w:val="bottom"/>
          </w:tcPr>
          <w:p>
            <w:pPr>
              <w:jc w:val="center"/>
              <w:ind w:left="579"/>
              <w:spacing w:after="0"/>
              <w:rPr>
                <w:sz w:val="20"/>
                <w:szCs w:val="20"/>
                <w:color w:val="auto"/>
              </w:rPr>
            </w:pPr>
            <w:r>
              <w:rPr>
                <w:rFonts w:ascii="Arial" w:cs="Arial" w:eastAsia="Arial" w:hAnsi="Arial"/>
                <w:sz w:val="16"/>
                <w:szCs w:val="16"/>
                <w:color w:val="auto"/>
                <w:w w:val="93"/>
              </w:rPr>
              <w:t>Non-accelerated filer</w:t>
            </w:r>
          </w:p>
        </w:tc>
        <w:tc>
          <w:tcPr>
            <w:tcW w:w="226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3380" w:type="dxa"/>
            <w:vAlign w:val="bottom"/>
          </w:tcPr>
          <w:p>
            <w:pPr>
              <w:jc w:val="center"/>
              <w:ind w:left="1299"/>
              <w:spacing w:after="0" w:line="184" w:lineRule="exact"/>
              <w:rPr>
                <w:sz w:val="20"/>
                <w:szCs w:val="20"/>
                <w:color w:val="auto"/>
              </w:rPr>
            </w:pPr>
            <w:r>
              <w:rPr>
                <w:rFonts w:ascii="Arial" w:cs="Arial" w:eastAsia="Arial" w:hAnsi="Arial"/>
                <w:sz w:val="16"/>
                <w:szCs w:val="16"/>
                <w:color w:val="auto"/>
                <w:w w:val="94"/>
              </w:rPr>
              <w:t xml:space="preserve">Smaller reporting company </w:t>
            </w:r>
            <w:r>
              <w:rPr>
                <w:rFonts w:ascii="MS PGothic" w:cs="MS PGothic" w:eastAsia="MS PGothic" w:hAnsi="MS PGothic"/>
                <w:sz w:val="16"/>
                <w:szCs w:val="16"/>
                <w:color w:val="auto"/>
                <w:w w:val="94"/>
              </w:rPr>
              <w:t>☐</w:t>
            </w:r>
          </w:p>
        </w:tc>
      </w:tr>
      <w:tr>
        <w:trPr>
          <w:trHeight w:val="265"/>
        </w:trPr>
        <w:tc>
          <w:tcPr>
            <w:tcW w:w="4380" w:type="dxa"/>
            <w:vAlign w:val="bottom"/>
            <w:gridSpan w:val="2"/>
          </w:tcPr>
          <w:p>
            <w:pPr>
              <w:spacing w:after="0"/>
              <w:rPr>
                <w:sz w:val="20"/>
                <w:szCs w:val="20"/>
                <w:color w:val="auto"/>
              </w:rPr>
            </w:pPr>
            <w:r>
              <w:rPr>
                <w:rFonts w:ascii="Arial" w:cs="Arial" w:eastAsia="Arial" w:hAnsi="Arial"/>
                <w:sz w:val="16"/>
                <w:szCs w:val="16"/>
                <w:color w:val="auto"/>
              </w:rPr>
              <w:t>(Do not check if a smaller reporting company)</w:t>
            </w:r>
          </w:p>
        </w:tc>
        <w:tc>
          <w:tcPr>
            <w:tcW w:w="3380" w:type="dxa"/>
            <w:vAlign w:val="bottom"/>
          </w:tcPr>
          <w:p>
            <w:pPr>
              <w:jc w:val="center"/>
              <w:ind w:left="1279"/>
              <w:spacing w:after="0" w:line="184" w:lineRule="exact"/>
              <w:rPr>
                <w:sz w:val="20"/>
                <w:szCs w:val="20"/>
                <w:color w:val="auto"/>
              </w:rPr>
            </w:pPr>
            <w:r>
              <w:rPr>
                <w:rFonts w:ascii="Arial" w:cs="Arial" w:eastAsia="Arial" w:hAnsi="Arial"/>
                <w:sz w:val="16"/>
                <w:szCs w:val="16"/>
                <w:color w:val="auto"/>
                <w:w w:val="93"/>
              </w:rPr>
              <w:t xml:space="preserve">Emerging growth company </w:t>
            </w:r>
            <w:r>
              <w:rPr>
                <w:rFonts w:ascii="MS PGothic" w:cs="MS PGothic" w:eastAsia="MS PGothic" w:hAnsi="MS PGothic"/>
                <w:sz w:val="16"/>
                <w:szCs w:val="16"/>
                <w:color w:val="auto"/>
                <w:w w:val="93"/>
              </w:rPr>
              <w:t>☐</w:t>
            </w:r>
          </w:p>
        </w:tc>
      </w:tr>
    </w:tbl>
    <w:p>
      <w:pPr>
        <w:spacing w:after="0" w:line="19" w:lineRule="exact"/>
        <w:rPr>
          <w:sz w:val="24"/>
          <w:szCs w:val="24"/>
          <w:color w:val="auto"/>
        </w:rPr>
      </w:pPr>
    </w:p>
    <w:p>
      <w:pPr>
        <w:ind w:left="1" w:right="120" w:firstLine="324"/>
        <w:spacing w:after="0" w:line="18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321"/>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 w:lineRule="exact"/>
        <w:rPr>
          <w:sz w:val="24"/>
          <w:szCs w:val="24"/>
          <w:color w:val="auto"/>
        </w:rPr>
      </w:pPr>
    </w:p>
    <w:p>
      <w:pPr>
        <w:ind w:left="1" w:right="520" w:firstLine="324"/>
        <w:spacing w:after="0" w:line="223" w:lineRule="auto"/>
        <w:rPr>
          <w:sz w:val="20"/>
          <w:szCs w:val="20"/>
          <w:color w:val="auto"/>
        </w:rPr>
      </w:pPr>
      <w:r>
        <w:rPr>
          <w:rFonts w:ascii="Arial" w:cs="Arial" w:eastAsia="Arial" w:hAnsi="Arial"/>
          <w:sz w:val="16"/>
          <w:szCs w:val="16"/>
          <w:color w:val="auto"/>
        </w:rPr>
        <w:t>As of June 30, 2017, the aggregate market value of the voting and non-voting common equity held by non-affiliates of the registrant, based on the last reported sales price for the registrant’s common stock, par value $0.001 per share, on the Nasdaq Global Select Market on such date, was approximately $1,953,767,657.</w:t>
      </w:r>
    </w:p>
    <w:p>
      <w:pPr>
        <w:ind w:left="321"/>
        <w:spacing w:after="0"/>
        <w:rPr>
          <w:sz w:val="20"/>
          <w:szCs w:val="20"/>
          <w:color w:val="auto"/>
        </w:rPr>
      </w:pPr>
      <w:r>
        <w:rPr>
          <w:rFonts w:ascii="Arial" w:cs="Arial" w:eastAsia="Arial" w:hAnsi="Arial"/>
          <w:sz w:val="16"/>
          <w:szCs w:val="16"/>
          <w:color w:val="auto"/>
        </w:rPr>
        <w:t>Number of shares of the registrant’s common stock, par value $0.001 per share, outstanding on February 15, 2018: 43,704,031</w:t>
      </w:r>
    </w:p>
    <w:p>
      <w:pPr>
        <w:spacing w:after="0" w:line="8" w:lineRule="exact"/>
        <w:rPr>
          <w:sz w:val="24"/>
          <w:szCs w:val="24"/>
          <w:color w:val="auto"/>
        </w:rPr>
      </w:pPr>
    </w:p>
    <w:p>
      <w:pPr>
        <w:ind w:left="3461"/>
        <w:spacing w:after="0"/>
        <w:rPr>
          <w:sz w:val="20"/>
          <w:szCs w:val="20"/>
          <w:color w:val="auto"/>
        </w:rPr>
      </w:pPr>
      <w:r>
        <w:rPr>
          <w:rFonts w:ascii="Arial" w:cs="Arial" w:eastAsia="Arial" w:hAnsi="Arial"/>
          <w:sz w:val="16"/>
          <w:szCs w:val="16"/>
          <w:b w:val="1"/>
          <w:bCs w:val="1"/>
          <w:color w:val="auto"/>
        </w:rPr>
        <w:t>DOCUMENTS INCORPORATED BY REFERENCE</w:t>
      </w:r>
    </w:p>
    <w:p>
      <w:pPr>
        <w:spacing w:after="0" w:line="19" w:lineRule="exact"/>
        <w:rPr>
          <w:sz w:val="24"/>
          <w:szCs w:val="24"/>
          <w:color w:val="auto"/>
        </w:rPr>
      </w:pPr>
    </w:p>
    <w:p>
      <w:pPr>
        <w:ind w:left="1" w:right="20" w:firstLine="324"/>
        <w:spacing w:after="0" w:line="229" w:lineRule="auto"/>
        <w:rPr>
          <w:sz w:val="20"/>
          <w:szCs w:val="20"/>
          <w:color w:val="auto"/>
        </w:rPr>
      </w:pPr>
      <w:r>
        <w:rPr>
          <w:rFonts w:ascii="Arial" w:cs="Arial" w:eastAsia="Arial" w:hAnsi="Arial"/>
          <w:sz w:val="16"/>
          <w:szCs w:val="16"/>
          <w:color w:val="auto"/>
        </w:rPr>
        <w:t>Portions of the registrant’s definitive proxy statement for its 2018 Annual Meeting of Stockholders, which the registrant intends to file with the Securities and Exchange Commission pursuant to Regulation 14A within 120 days after the end of the registrant’s fiscal year ended December 31, 2017,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67494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81280</wp:posOffset>
            </wp:positionV>
            <wp:extent cx="67494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552450</wp:posOffset>
            </wp:positionV>
            <wp:extent cx="67494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49415" cy="26035"/>
                    </a:xfrm>
                    <a:prstGeom prst="rect">
                      <a:avLst/>
                    </a:prstGeom>
                    <a:noFill/>
                  </pic:spPr>
                </pic:pic>
              </a:graphicData>
            </a:graphic>
          </wp:anchor>
        </w:drawing>
      </w:r>
    </w:p>
    <w:p>
      <w:pPr>
        <w:sectPr>
          <w:pgSz w:w="11900" w:h="16838" w:orient="portrait"/>
          <w:cols w:equalWidth="0" w:num="1">
            <w:col w:w="10581"/>
          </w:cols>
          <w:pgMar w:left="639" w:top="220" w:right="6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12"/>
        </w:trPr>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320" w:type="dxa"/>
            <w:vAlign w:val="bottom"/>
            <w:gridSpan w:val="3"/>
          </w:tcPr>
          <w:p>
            <w:pPr>
              <w:ind w:left="22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4"/>
                <w:szCs w:val="24"/>
                <w:color w:val="auto"/>
              </w:rPr>
            </w:pPr>
          </w:p>
        </w:tc>
      </w:tr>
      <w:tr>
        <w:trPr>
          <w:trHeight w:val="371"/>
        </w:trPr>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Borders>
              <w:bottom w:val="single" w:sz="8" w:color="0000EE"/>
            </w:tcBorders>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404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325"/>
        </w:trPr>
        <w:tc>
          <w:tcPr>
            <w:tcW w:w="1280" w:type="dxa"/>
            <w:vAlign w:val="bottom"/>
          </w:tcPr>
          <w:p>
            <w:pPr>
              <w:spacing w:after="0"/>
              <w:rPr>
                <w:sz w:val="20"/>
                <w:szCs w:val="20"/>
                <w:color w:val="auto"/>
              </w:rPr>
            </w:pPr>
            <w:r>
              <w:rPr>
                <w:rFonts w:ascii="Arial" w:cs="Arial" w:eastAsia="Arial" w:hAnsi="Arial"/>
                <w:sz w:val="18"/>
                <w:szCs w:val="18"/>
                <w:color w:val="auto"/>
              </w:rPr>
              <w:t>Item 1.</w:t>
            </w:r>
          </w:p>
        </w:tc>
        <w:tc>
          <w:tcPr>
            <w:tcW w:w="40" w:type="dxa"/>
            <w:vAlign w:val="bottom"/>
          </w:tcPr>
          <w:p>
            <w:pPr>
              <w:spacing w:after="0"/>
              <w:rPr>
                <w:sz w:val="24"/>
                <w:szCs w:val="24"/>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672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1280" w:type="dxa"/>
            <w:vAlign w:val="bottom"/>
          </w:tcPr>
          <w:p>
            <w:pPr>
              <w:spacing w:after="0" w:line="182" w:lineRule="exact"/>
              <w:rPr>
                <w:sz w:val="20"/>
                <w:szCs w:val="20"/>
                <w:color w:val="auto"/>
              </w:rPr>
            </w:pPr>
            <w:r>
              <w:rPr>
                <w:rFonts w:ascii="Arial" w:cs="Arial" w:eastAsia="Arial" w:hAnsi="Arial"/>
                <w:sz w:val="18"/>
                <w:szCs w:val="18"/>
                <w:color w:val="auto"/>
              </w:rPr>
              <w:t>Item1A.</w:t>
            </w:r>
          </w:p>
        </w:tc>
        <w:tc>
          <w:tcPr>
            <w:tcW w:w="4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82"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Risk Factors</w:t>
              </w:r>
            </w:hyperlink>
          </w:p>
        </w:tc>
        <w:tc>
          <w:tcPr>
            <w:tcW w:w="6460" w:type="dxa"/>
            <w:vAlign w:val="bottom"/>
            <w:gridSpan w:val="6"/>
          </w:tcPr>
          <w:p>
            <w:pPr>
              <w:spacing w:after="0"/>
              <w:rPr>
                <w:sz w:val="17"/>
                <w:szCs w:val="17"/>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r>
      <w:tr>
        <w:trPr>
          <w:trHeight w:val="196"/>
        </w:trPr>
        <w:tc>
          <w:tcPr>
            <w:tcW w:w="1280" w:type="dxa"/>
            <w:vAlign w:val="bottom"/>
          </w:tcPr>
          <w:p>
            <w:pPr>
              <w:spacing w:after="0" w:line="182" w:lineRule="exact"/>
              <w:rPr>
                <w:sz w:val="20"/>
                <w:szCs w:val="20"/>
                <w:color w:val="auto"/>
              </w:rPr>
            </w:pPr>
            <w:r>
              <w:rPr>
                <w:rFonts w:ascii="Arial" w:cs="Arial" w:eastAsia="Arial" w:hAnsi="Arial"/>
                <w:sz w:val="18"/>
                <w:szCs w:val="18"/>
                <w:color w:val="auto"/>
              </w:rPr>
              <w:t>Item 1B.</w:t>
            </w:r>
          </w:p>
        </w:tc>
        <w:tc>
          <w:tcPr>
            <w:tcW w:w="40" w:type="dxa"/>
            <w:vAlign w:val="bottom"/>
          </w:tcPr>
          <w:p>
            <w:pPr>
              <w:spacing w:after="0"/>
              <w:rPr>
                <w:sz w:val="17"/>
                <w:szCs w:val="17"/>
                <w:color w:val="auto"/>
              </w:rPr>
            </w:pPr>
          </w:p>
        </w:tc>
        <w:tc>
          <w:tcPr>
            <w:tcW w:w="2040" w:type="dxa"/>
            <w:vAlign w:val="bottom"/>
            <w:tcBorders>
              <w:bottom w:val="single" w:sz="8" w:color="0000EE"/>
            </w:tcBorders>
            <w:gridSpan w:val="6"/>
          </w:tcPr>
          <w:p>
            <w:pPr>
              <w:spacing w:after="0" w:line="182"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Unresolved Staff Comments</w:t>
              </w:r>
            </w:hyperlink>
          </w:p>
        </w:tc>
        <w:tc>
          <w:tcPr>
            <w:tcW w:w="5320" w:type="dxa"/>
            <w:vAlign w:val="bottom"/>
            <w:gridSpan w:val="3"/>
          </w:tcPr>
          <w:p>
            <w:pPr>
              <w:spacing w:after="0"/>
              <w:rPr>
                <w:sz w:val="17"/>
                <w:szCs w:val="17"/>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81</w:t>
            </w:r>
          </w:p>
        </w:tc>
      </w:tr>
      <w:tr>
        <w:trPr>
          <w:trHeight w:val="196"/>
        </w:trPr>
        <w:tc>
          <w:tcPr>
            <w:tcW w:w="1280" w:type="dxa"/>
            <w:vAlign w:val="bottom"/>
          </w:tcPr>
          <w:p>
            <w:pPr>
              <w:spacing w:after="0" w:line="182" w:lineRule="exact"/>
              <w:rPr>
                <w:sz w:val="20"/>
                <w:szCs w:val="20"/>
                <w:color w:val="auto"/>
              </w:rPr>
            </w:pPr>
            <w:r>
              <w:rPr>
                <w:rFonts w:ascii="Arial" w:cs="Arial" w:eastAsia="Arial" w:hAnsi="Arial"/>
                <w:sz w:val="18"/>
                <w:szCs w:val="18"/>
                <w:color w:val="auto"/>
              </w:rPr>
              <w:t>Item 2.</w:t>
            </w:r>
          </w:p>
        </w:tc>
        <w:tc>
          <w:tcPr>
            <w:tcW w:w="40" w:type="dxa"/>
            <w:vAlign w:val="bottom"/>
          </w:tcPr>
          <w:p>
            <w:pPr>
              <w:spacing w:after="0"/>
              <w:rPr>
                <w:sz w:val="17"/>
                <w:szCs w:val="17"/>
                <w:color w:val="auto"/>
              </w:rPr>
            </w:pPr>
          </w:p>
        </w:tc>
        <w:tc>
          <w:tcPr>
            <w:tcW w:w="7360" w:type="dxa"/>
            <w:vAlign w:val="bottom"/>
            <w:gridSpan w:val="9"/>
          </w:tcPr>
          <w:p>
            <w:pPr>
              <w:spacing w:after="0" w:line="182" w:lineRule="exact"/>
              <w:rPr>
                <w:rFonts w:ascii="Arial" w:cs="Arial" w:eastAsia="Arial" w:hAnsi="Arial"/>
                <w:sz w:val="18"/>
                <w:szCs w:val="18"/>
                <w:color w:val="0000EE"/>
              </w:rPr>
            </w:pPr>
            <w:hyperlink w:anchor="page83">
              <w:r>
                <w:rPr>
                  <w:rFonts w:ascii="Arial" w:cs="Arial" w:eastAsia="Arial" w:hAnsi="Arial"/>
                  <w:sz w:val="18"/>
                  <w:szCs w:val="18"/>
                  <w:color w:val="0000EE"/>
                </w:rPr>
                <w:t>Properties</w:t>
              </w:r>
            </w:hyperlink>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81</w:t>
            </w: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280" w:type="dxa"/>
            <w:vAlign w:val="bottom"/>
          </w:tcPr>
          <w:p>
            <w:pPr>
              <w:spacing w:after="0" w:line="182" w:lineRule="exact"/>
              <w:rPr>
                <w:sz w:val="20"/>
                <w:szCs w:val="20"/>
                <w:color w:val="auto"/>
              </w:rPr>
            </w:pPr>
            <w:r>
              <w:rPr>
                <w:rFonts w:ascii="Arial" w:cs="Arial" w:eastAsia="Arial" w:hAnsi="Arial"/>
                <w:sz w:val="18"/>
                <w:szCs w:val="18"/>
                <w:color w:val="auto"/>
              </w:rPr>
              <w:t>Item 3.</w:t>
            </w:r>
          </w:p>
        </w:tc>
        <w:tc>
          <w:tcPr>
            <w:tcW w:w="40" w:type="dxa"/>
            <w:vAlign w:val="bottom"/>
          </w:tcPr>
          <w:p>
            <w:pPr>
              <w:spacing w:after="0"/>
              <w:rPr>
                <w:sz w:val="17"/>
                <w:szCs w:val="17"/>
                <w:color w:val="auto"/>
              </w:rPr>
            </w:pPr>
          </w:p>
        </w:tc>
        <w:tc>
          <w:tcPr>
            <w:tcW w:w="7360" w:type="dxa"/>
            <w:vAlign w:val="bottom"/>
            <w:gridSpan w:val="9"/>
          </w:tcPr>
          <w:p>
            <w:pPr>
              <w:spacing w:after="0" w:line="182" w:lineRule="exact"/>
              <w:rPr>
                <w:rFonts w:ascii="Arial" w:cs="Arial" w:eastAsia="Arial" w:hAnsi="Arial"/>
                <w:sz w:val="18"/>
                <w:szCs w:val="18"/>
                <w:color w:val="0000EE"/>
              </w:rPr>
            </w:pPr>
            <w:hyperlink w:anchor="page83">
              <w:r>
                <w:rPr>
                  <w:rFonts w:ascii="Arial" w:cs="Arial" w:eastAsia="Arial" w:hAnsi="Arial"/>
                  <w:sz w:val="18"/>
                  <w:szCs w:val="18"/>
                  <w:color w:val="0000EE"/>
                </w:rPr>
                <w:t>Legal Proceedings</w:t>
              </w:r>
            </w:hyperlink>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81</w:t>
            </w: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280" w:type="dxa"/>
            <w:vAlign w:val="bottom"/>
          </w:tcPr>
          <w:p>
            <w:pPr>
              <w:spacing w:after="0" w:line="182" w:lineRule="exact"/>
              <w:rPr>
                <w:sz w:val="20"/>
                <w:szCs w:val="20"/>
                <w:color w:val="auto"/>
              </w:rPr>
            </w:pPr>
            <w:r>
              <w:rPr>
                <w:rFonts w:ascii="Arial" w:cs="Arial" w:eastAsia="Arial" w:hAnsi="Arial"/>
                <w:sz w:val="18"/>
                <w:szCs w:val="18"/>
                <w:color w:val="auto"/>
              </w:rPr>
              <w:t>Item 4.</w:t>
            </w:r>
          </w:p>
        </w:tc>
        <w:tc>
          <w:tcPr>
            <w:tcW w:w="40" w:type="dxa"/>
            <w:vAlign w:val="bottom"/>
          </w:tcPr>
          <w:p>
            <w:pPr>
              <w:spacing w:after="0"/>
              <w:rPr>
                <w:sz w:val="17"/>
                <w:szCs w:val="17"/>
                <w:color w:val="auto"/>
              </w:rPr>
            </w:pPr>
          </w:p>
        </w:tc>
        <w:tc>
          <w:tcPr>
            <w:tcW w:w="7360" w:type="dxa"/>
            <w:vAlign w:val="bottom"/>
            <w:gridSpan w:val="9"/>
          </w:tcPr>
          <w:p>
            <w:pPr>
              <w:spacing w:after="0" w:line="182" w:lineRule="exact"/>
              <w:rPr>
                <w:rFonts w:ascii="Arial" w:cs="Arial" w:eastAsia="Arial" w:hAnsi="Arial"/>
                <w:sz w:val="18"/>
                <w:szCs w:val="18"/>
                <w:color w:val="0000EE"/>
              </w:rPr>
            </w:pPr>
            <w:hyperlink w:anchor="page84">
              <w:r>
                <w:rPr>
                  <w:rFonts w:ascii="Arial" w:cs="Arial" w:eastAsia="Arial" w:hAnsi="Arial"/>
                  <w:sz w:val="18"/>
                  <w:szCs w:val="18"/>
                  <w:color w:val="0000EE"/>
                </w:rPr>
                <w:t>Mine Safety Disclosures</w:t>
              </w:r>
            </w:hyperlink>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82</w:t>
            </w: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420"/>
        <w:spacing w:after="0"/>
        <w:rPr>
          <w:rFonts w:ascii="Arial" w:cs="Arial" w:eastAsia="Arial" w:hAnsi="Arial"/>
          <w:sz w:val="18"/>
          <w:szCs w:val="18"/>
          <w:b w:val="1"/>
          <w:bCs w:val="1"/>
          <w:u w:val="single" w:color="auto"/>
          <w:color w:val="0000EE"/>
        </w:rPr>
      </w:pPr>
      <w:hyperlink w:anchor="page85">
        <w:r>
          <w:rPr>
            <w:rFonts w:ascii="Arial" w:cs="Arial" w:eastAsia="Arial" w:hAnsi="Arial"/>
            <w:sz w:val="18"/>
            <w:szCs w:val="18"/>
            <w:b w:val="1"/>
            <w:bCs w:val="1"/>
            <w:u w:val="single" w:color="auto"/>
            <w:color w:val="0000EE"/>
          </w:rPr>
          <w:t>PART II</w:t>
        </w:r>
      </w:hyperlink>
    </w:p>
    <w:p>
      <w:pPr>
        <w:sectPr>
          <w:pgSz w:w="11900" w:h="16838" w:orient="portrait"/>
          <w:cols w:equalWidth="0" w:num="1">
            <w:col w:w="9060"/>
          </w:cols>
          <w:pgMar w:left="1420" w:top="95" w:right="1419" w:bottom="1440" w:gutter="0" w:footer="0" w:header="0"/>
        </w:sectPr>
      </w:pPr>
    </w:p>
    <w:p>
      <w:pPr>
        <w:spacing w:after="0" w:line="148" w:lineRule="exact"/>
        <w:rPr>
          <w:sz w:val="20"/>
          <w:szCs w:val="20"/>
          <w:color w:val="auto"/>
        </w:rPr>
      </w:pPr>
    </w:p>
    <w:p>
      <w:pPr>
        <w:ind w:left="1300" w:hanging="1309"/>
        <w:spacing w:after="0" w:line="212"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Item 5.</w:t>
      </w:r>
      <w:r>
        <w:rPr>
          <w:sz w:val="20"/>
          <w:szCs w:val="20"/>
          <w:color w:val="auto"/>
        </w:rPr>
        <w:tab/>
      </w:r>
      <w:hyperlink w:anchor="page85">
        <w:r>
          <w:rPr>
            <w:rFonts w:ascii="Arial" w:cs="Arial" w:eastAsia="Arial" w:hAnsi="Arial"/>
            <w:sz w:val="18"/>
            <w:szCs w:val="18"/>
            <w:u w:val="single" w:color="auto"/>
            <w:color w:val="0000EE"/>
          </w:rPr>
          <w:t>Market for Registrant’s Common Equity, Related Stockholder Matters and Issuer Purchases of Equity</w:t>
        </w:r>
      </w:hyperlink>
      <w:r>
        <w:rPr>
          <w:rFonts w:ascii="Arial" w:cs="Arial" w:eastAsia="Arial" w:hAnsi="Arial"/>
          <w:sz w:val="18"/>
          <w:szCs w:val="18"/>
          <w:u w:val="single" w:color="auto"/>
          <w:color w:val="0000EE"/>
        </w:rPr>
        <w:t xml:space="preserve"> </w:t>
      </w:r>
      <w:hyperlink w:anchor="page85">
        <w:r>
          <w:rPr>
            <w:rFonts w:ascii="Arial" w:cs="Arial" w:eastAsia="Arial" w:hAnsi="Arial"/>
            <w:sz w:val="18"/>
            <w:szCs w:val="18"/>
            <w:u w:val="single" w:color="auto"/>
            <w:color w:val="0000EE"/>
          </w:rPr>
          <w:t>Securities</w:t>
        </w:r>
      </w:hyperlink>
    </w:p>
    <w:p>
      <w:pPr>
        <w:spacing w:after="0" w:line="1" w:lineRule="exact"/>
        <w:rPr>
          <w:sz w:val="20"/>
          <w:szCs w:val="20"/>
          <w:color w:val="auto"/>
        </w:rPr>
      </w:pPr>
    </w:p>
    <w:p>
      <w:pPr>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Item 6.</w:t>
      </w:r>
      <w:r>
        <w:rPr>
          <w:sz w:val="20"/>
          <w:szCs w:val="20"/>
          <w:color w:val="auto"/>
        </w:rPr>
        <w:tab/>
      </w:r>
      <w:hyperlink w:anchor="page86">
        <w:r>
          <w:rPr>
            <w:rFonts w:ascii="Arial" w:cs="Arial" w:eastAsia="Arial" w:hAnsi="Arial"/>
            <w:sz w:val="16"/>
            <w:szCs w:val="16"/>
            <w:u w:val="single" w:color="auto"/>
            <w:color w:val="0000EE"/>
          </w:rPr>
          <w:t>Selected Financial Data</w:t>
        </w:r>
      </w:hyperlink>
    </w:p>
    <w:p>
      <w:pPr>
        <w:spacing w:after="0" w:line="7" w:lineRule="exact"/>
        <w:rPr>
          <w:sz w:val="20"/>
          <w:szCs w:val="20"/>
          <w:color w:val="auto"/>
        </w:rPr>
      </w:pPr>
    </w:p>
    <w:p>
      <w:pPr>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Item 7.</w:t>
      </w:r>
      <w:r>
        <w:rPr>
          <w:sz w:val="20"/>
          <w:szCs w:val="20"/>
          <w:color w:val="auto"/>
        </w:rPr>
        <w:tab/>
      </w:r>
      <w:hyperlink w:anchor="page87">
        <w:r>
          <w:rPr>
            <w:rFonts w:ascii="Arial" w:cs="Arial" w:eastAsia="Arial" w:hAnsi="Arial"/>
            <w:sz w:val="16"/>
            <w:szCs w:val="16"/>
            <w:u w:val="single" w:color="auto"/>
            <w:color w:val="0000EE"/>
          </w:rPr>
          <w:t>Management’s Discussion and Analysis of Financial Condition and Results of Operations</w:t>
        </w:r>
      </w:hyperlink>
    </w:p>
    <w:p>
      <w:pPr>
        <w:spacing w:after="0" w:line="9" w:lineRule="exact"/>
        <w:rPr>
          <w:sz w:val="20"/>
          <w:szCs w:val="20"/>
          <w:color w:val="auto"/>
        </w:rPr>
      </w:pPr>
    </w:p>
    <w:p>
      <w:pPr>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Item 7A.</w:t>
      </w:r>
      <w:r>
        <w:rPr>
          <w:sz w:val="20"/>
          <w:szCs w:val="20"/>
          <w:color w:val="auto"/>
        </w:rPr>
        <w:tab/>
      </w:r>
      <w:hyperlink w:anchor="page104">
        <w:r>
          <w:rPr>
            <w:rFonts w:ascii="Arial" w:cs="Arial" w:eastAsia="Arial" w:hAnsi="Arial"/>
            <w:sz w:val="16"/>
            <w:szCs w:val="16"/>
            <w:u w:val="single" w:color="auto"/>
            <w:color w:val="0000EE"/>
          </w:rPr>
          <w:t>Quantitative and Qualitative Disclosures About Market Risk</w:t>
        </w:r>
      </w:hyperlink>
    </w:p>
    <w:p>
      <w:pPr>
        <w:spacing w:after="0" w:line="9" w:lineRule="exact"/>
        <w:rPr>
          <w:sz w:val="20"/>
          <w:szCs w:val="20"/>
          <w:color w:val="auto"/>
        </w:rPr>
      </w:pPr>
    </w:p>
    <w:p>
      <w:pPr>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Item 8.</w:t>
      </w:r>
      <w:r>
        <w:rPr>
          <w:sz w:val="20"/>
          <w:szCs w:val="20"/>
          <w:color w:val="auto"/>
        </w:rPr>
        <w:tab/>
      </w:r>
      <w:hyperlink w:anchor="page104">
        <w:r>
          <w:rPr>
            <w:rFonts w:ascii="Arial" w:cs="Arial" w:eastAsia="Arial" w:hAnsi="Arial"/>
            <w:sz w:val="16"/>
            <w:szCs w:val="16"/>
            <w:u w:val="single" w:color="auto"/>
            <w:color w:val="0000EE"/>
          </w:rPr>
          <w:t>Financial Statements and Supplementary Data</w:t>
        </w:r>
      </w:hyperlink>
    </w:p>
    <w:p>
      <w:pPr>
        <w:spacing w:after="0" w:line="9" w:lineRule="exact"/>
        <w:rPr>
          <w:sz w:val="20"/>
          <w:szCs w:val="20"/>
          <w:color w:val="auto"/>
        </w:rPr>
      </w:pPr>
    </w:p>
    <w:p>
      <w:pPr>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Item 9.</w:t>
      </w:r>
      <w:r>
        <w:rPr>
          <w:sz w:val="20"/>
          <w:szCs w:val="20"/>
          <w:color w:val="auto"/>
        </w:rPr>
        <w:tab/>
      </w:r>
      <w:hyperlink w:anchor="page104">
        <w:r>
          <w:rPr>
            <w:rFonts w:ascii="Arial" w:cs="Arial" w:eastAsia="Arial" w:hAnsi="Arial"/>
            <w:sz w:val="16"/>
            <w:szCs w:val="16"/>
            <w:u w:val="single" w:color="auto"/>
            <w:color w:val="0000EE"/>
          </w:rPr>
          <w:t>Change in and Disagreements with Accountants on Accounting and Financial Disclosure.</w:t>
        </w:r>
      </w:hyperlink>
    </w:p>
    <w:p>
      <w:pPr>
        <w:spacing w:after="0" w:line="9" w:lineRule="exact"/>
        <w:rPr>
          <w:sz w:val="20"/>
          <w:szCs w:val="20"/>
          <w:color w:val="auto"/>
        </w:rPr>
      </w:pPr>
    </w:p>
    <w:p>
      <w:pPr>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Item 9A.</w:t>
      </w:r>
      <w:r>
        <w:rPr>
          <w:sz w:val="20"/>
          <w:szCs w:val="20"/>
          <w:color w:val="auto"/>
        </w:rPr>
        <w:tab/>
      </w:r>
      <w:hyperlink w:anchor="page104">
        <w:r>
          <w:rPr>
            <w:rFonts w:ascii="Arial" w:cs="Arial" w:eastAsia="Arial" w:hAnsi="Arial"/>
            <w:sz w:val="16"/>
            <w:szCs w:val="16"/>
            <w:u w:val="single" w:color="auto"/>
            <w:color w:val="0000EE"/>
          </w:rPr>
          <w:t>Controls and Procedures</w:t>
        </w:r>
      </w:hyperlink>
    </w:p>
    <w:p>
      <w:pPr>
        <w:spacing w:after="0" w:line="9" w:lineRule="exact"/>
        <w:rPr>
          <w:sz w:val="20"/>
          <w:szCs w:val="20"/>
          <w:color w:val="auto"/>
        </w:rPr>
      </w:pPr>
    </w:p>
    <w:p>
      <w:pPr>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Item 9B.</w:t>
      </w:r>
      <w:r>
        <w:rPr>
          <w:sz w:val="20"/>
          <w:szCs w:val="20"/>
          <w:color w:val="auto"/>
        </w:rPr>
        <w:tab/>
      </w:r>
      <w:hyperlink w:anchor="page106">
        <w:r>
          <w:rPr>
            <w:rFonts w:ascii="Arial" w:cs="Arial" w:eastAsia="Arial" w:hAnsi="Arial"/>
            <w:sz w:val="16"/>
            <w:szCs w:val="16"/>
            <w:u w:val="single" w:color="auto"/>
            <w:color w:val="0000EE"/>
          </w:rPr>
          <w:t>Other Information</w:t>
        </w:r>
      </w:hyperlink>
    </w:p>
    <w:p>
      <w:pPr>
        <w:spacing w:after="0" w:line="166" w:lineRule="exact"/>
        <w:rPr>
          <w:sz w:val="20"/>
          <w:szCs w:val="20"/>
          <w:color w:val="auto"/>
        </w:rPr>
      </w:pPr>
    </w:p>
    <w:p>
      <w:pPr>
        <w:jc w:val="center"/>
        <w:spacing w:after="0"/>
        <w:rPr>
          <w:rFonts w:ascii="Arial" w:cs="Arial" w:eastAsia="Arial" w:hAnsi="Arial"/>
          <w:sz w:val="18"/>
          <w:szCs w:val="18"/>
          <w:b w:val="1"/>
          <w:bCs w:val="1"/>
          <w:u w:val="single" w:color="auto"/>
          <w:color w:val="0000EE"/>
        </w:rPr>
      </w:pPr>
      <w:hyperlink w:anchor="page106">
        <w:r>
          <w:rPr>
            <w:rFonts w:ascii="Arial" w:cs="Arial" w:eastAsia="Arial" w:hAnsi="Arial"/>
            <w:sz w:val="18"/>
            <w:szCs w:val="18"/>
            <w:b w:val="1"/>
            <w:bCs w:val="1"/>
            <w:u w:val="single" w:color="auto"/>
            <w:color w:val="0000EE"/>
          </w:rPr>
          <w:t>PART III</w:t>
        </w:r>
      </w:hyperlink>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80"/>
        <w:spacing w:after="0"/>
        <w:rPr>
          <w:sz w:val="20"/>
          <w:szCs w:val="20"/>
          <w:color w:val="auto"/>
        </w:rPr>
      </w:pPr>
      <w:r>
        <w:rPr>
          <w:rFonts w:ascii="Arial" w:cs="Arial" w:eastAsia="Arial" w:hAnsi="Arial"/>
          <w:sz w:val="16"/>
          <w:szCs w:val="16"/>
          <w:color w:val="auto"/>
        </w:rPr>
        <w:t>83</w:t>
      </w:r>
    </w:p>
    <w:p>
      <w:pPr>
        <w:spacing w:after="0" w:line="167" w:lineRule="exact"/>
        <w:rPr>
          <w:sz w:val="20"/>
          <w:szCs w:val="20"/>
          <w:color w:val="auto"/>
        </w:rPr>
      </w:pPr>
    </w:p>
    <w:p>
      <w:pPr>
        <w:ind w:left="80"/>
        <w:spacing w:after="0"/>
        <w:rPr>
          <w:sz w:val="20"/>
          <w:szCs w:val="20"/>
          <w:color w:val="auto"/>
        </w:rPr>
      </w:pPr>
      <w:r>
        <w:rPr>
          <w:rFonts w:ascii="Arial" w:cs="Arial" w:eastAsia="Arial" w:hAnsi="Arial"/>
          <w:sz w:val="16"/>
          <w:szCs w:val="16"/>
          <w:color w:val="auto"/>
        </w:rPr>
        <w:t>84</w:t>
      </w:r>
    </w:p>
    <w:p>
      <w:pPr>
        <w:spacing w:after="0" w:line="46" w:lineRule="exact"/>
        <w:rPr>
          <w:sz w:val="20"/>
          <w:szCs w:val="20"/>
          <w:color w:val="auto"/>
        </w:rPr>
      </w:pPr>
    </w:p>
    <w:p>
      <w:pPr>
        <w:ind w:left="80"/>
        <w:spacing w:after="0"/>
        <w:rPr>
          <w:sz w:val="20"/>
          <w:szCs w:val="20"/>
          <w:color w:val="auto"/>
        </w:rPr>
      </w:pPr>
      <w:r>
        <w:rPr>
          <w:rFonts w:ascii="Arial" w:cs="Arial" w:eastAsia="Arial" w:hAnsi="Arial"/>
          <w:sz w:val="16"/>
          <w:szCs w:val="16"/>
          <w:color w:val="auto"/>
        </w:rPr>
        <w:t>85</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102</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102</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102</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102</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104</w:t>
      </w:r>
    </w:p>
    <w:p>
      <w:pPr>
        <w:spacing w:after="0" w:line="505" w:lineRule="exact"/>
        <w:rPr>
          <w:sz w:val="20"/>
          <w:szCs w:val="20"/>
          <w:color w:val="auto"/>
        </w:rPr>
      </w:pPr>
    </w:p>
    <w:p>
      <w:pPr>
        <w:sectPr>
          <w:pgSz w:w="11900" w:h="16838" w:orient="portrait"/>
          <w:cols w:equalWidth="0" w:num="2">
            <w:col w:w="8620" w:space="180"/>
            <w:col w:w="260"/>
          </w:cols>
          <w:pgMar w:left="1420" w:top="95" w:right="141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1320" w:type="dxa"/>
            <w:vAlign w:val="bottom"/>
          </w:tcPr>
          <w:p>
            <w:pPr>
              <w:spacing w:after="0"/>
              <w:rPr>
                <w:sz w:val="20"/>
                <w:szCs w:val="20"/>
                <w:color w:val="auto"/>
              </w:rPr>
            </w:pPr>
            <w:r>
              <w:rPr>
                <w:rFonts w:ascii="Arial" w:cs="Arial" w:eastAsia="Arial" w:hAnsi="Arial"/>
                <w:sz w:val="18"/>
                <w:szCs w:val="18"/>
                <w:color w:val="auto"/>
              </w:rPr>
              <w:t>Item 10.</w:t>
            </w:r>
          </w:p>
        </w:tc>
        <w:tc>
          <w:tcPr>
            <w:tcW w:w="7380" w:type="dxa"/>
            <w:vAlign w:val="bottom"/>
            <w:gridSpan w:val="10"/>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Directors, Executive Officers and Corporate Governance</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196"/>
        </w:trPr>
        <w:tc>
          <w:tcPr>
            <w:tcW w:w="1320" w:type="dxa"/>
            <w:vAlign w:val="bottom"/>
          </w:tcPr>
          <w:p>
            <w:pPr>
              <w:spacing w:after="0" w:line="182" w:lineRule="exact"/>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9"/>
              </w:rPr>
            </w:pPr>
            <w:hyperlink w:anchor="page107">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3300" w:type="dxa"/>
            <w:vAlign w:val="bottom"/>
            <w:gridSpan w:val="3"/>
          </w:tcPr>
          <w:p>
            <w:pPr>
              <w:spacing w:after="0"/>
              <w:rPr>
                <w:sz w:val="17"/>
                <w:szCs w:val="17"/>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105</w:t>
            </w:r>
          </w:p>
        </w:tc>
      </w:tr>
      <w:tr>
        <w:trPr>
          <w:trHeight w:val="196"/>
        </w:trPr>
        <w:tc>
          <w:tcPr>
            <w:tcW w:w="1320" w:type="dxa"/>
            <w:vAlign w:val="bottom"/>
          </w:tcPr>
          <w:p>
            <w:pPr>
              <w:spacing w:after="0" w:line="182" w:lineRule="exact"/>
              <w:rPr>
                <w:sz w:val="20"/>
                <w:szCs w:val="20"/>
                <w:color w:val="auto"/>
              </w:rPr>
            </w:pPr>
            <w:r>
              <w:rPr>
                <w:rFonts w:ascii="Arial" w:cs="Arial" w:eastAsia="Arial" w:hAnsi="Arial"/>
                <w:sz w:val="18"/>
                <w:szCs w:val="18"/>
                <w:color w:val="auto"/>
              </w:rPr>
              <w:t>Item 12.</w:t>
            </w:r>
          </w:p>
        </w:tc>
        <w:tc>
          <w:tcPr>
            <w:tcW w:w="7380" w:type="dxa"/>
            <w:vAlign w:val="bottom"/>
            <w:gridSpan w:val="10"/>
          </w:tcPr>
          <w:p>
            <w:pPr>
              <w:spacing w:after="0" w:line="182" w:lineRule="exact"/>
              <w:rPr>
                <w:rFonts w:ascii="Arial" w:cs="Arial" w:eastAsia="Arial" w:hAnsi="Arial"/>
                <w:sz w:val="18"/>
                <w:szCs w:val="18"/>
                <w:color w:val="0000EE"/>
                <w:w w:val="91"/>
              </w:rPr>
            </w:pPr>
            <w:hyperlink w:anchor="page107">
              <w:r>
                <w:rPr>
                  <w:rFonts w:ascii="Arial" w:cs="Arial" w:eastAsia="Arial" w:hAnsi="Arial"/>
                  <w:sz w:val="18"/>
                  <w:szCs w:val="18"/>
                  <w:color w:val="0000EE"/>
                  <w:w w:val="91"/>
                </w:rPr>
                <w:t>Security Ownership of Certain Beneficial Owners and Management and Related Stockholder Matters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105</w:t>
            </w:r>
          </w:p>
        </w:tc>
      </w:tr>
      <w:tr>
        <w:trPr>
          <w:trHeight w:val="196"/>
        </w:trPr>
        <w:tc>
          <w:tcPr>
            <w:tcW w:w="1320" w:type="dxa"/>
            <w:vAlign w:val="bottom"/>
          </w:tcPr>
          <w:p>
            <w:pPr>
              <w:spacing w:after="0" w:line="182"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107">
              <w:r>
                <w:rPr>
                  <w:rFonts w:ascii="Arial" w:cs="Arial" w:eastAsia="Arial" w:hAnsi="Arial"/>
                  <w:sz w:val="18"/>
                  <w:szCs w:val="18"/>
                  <w:color w:val="0000EE"/>
                </w:rPr>
                <w:t>Certain Relationships and Related Transactions, and Director Independence</w:t>
              </w:r>
            </w:hyperlink>
          </w:p>
        </w:tc>
        <w:tc>
          <w:tcPr>
            <w:tcW w:w="100" w:type="dxa"/>
            <w:vAlign w:val="bottom"/>
          </w:tcPr>
          <w:p>
            <w:pPr>
              <w:spacing w:after="0"/>
              <w:rPr>
                <w:sz w:val="17"/>
                <w:szCs w:val="17"/>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105</w:t>
            </w:r>
          </w:p>
        </w:tc>
      </w:tr>
      <w:tr>
        <w:trPr>
          <w:trHeight w:val="196"/>
        </w:trPr>
        <w:tc>
          <w:tcPr>
            <w:tcW w:w="1320" w:type="dxa"/>
            <w:vAlign w:val="bottom"/>
          </w:tcPr>
          <w:p>
            <w:pPr>
              <w:spacing w:after="0" w:line="182"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107">
              <w:r>
                <w:rPr>
                  <w:rFonts w:ascii="Arial" w:cs="Arial" w:eastAsia="Arial" w:hAnsi="Arial"/>
                  <w:sz w:val="18"/>
                  <w:szCs w:val="18"/>
                  <w:color w:val="0000EE"/>
                </w:rPr>
                <w:t>Principal Accounting Fees and Services</w:t>
              </w:r>
            </w:hyperlink>
          </w:p>
        </w:tc>
        <w:tc>
          <w:tcPr>
            <w:tcW w:w="1940" w:type="dxa"/>
            <w:vAlign w:val="bottom"/>
            <w:gridSpan w:val="2"/>
          </w:tcPr>
          <w:p>
            <w:pPr>
              <w:spacing w:after="0"/>
              <w:rPr>
                <w:sz w:val="17"/>
                <w:szCs w:val="17"/>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105</w:t>
            </w:r>
          </w:p>
        </w:tc>
      </w:tr>
      <w:tr>
        <w:trPr>
          <w:trHeight w:val="20"/>
        </w:trPr>
        <w:tc>
          <w:tcPr>
            <w:tcW w:w="13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72"/>
        </w:trPr>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108">
              <w:r>
                <w:rPr>
                  <w:rFonts w:ascii="Arial" w:cs="Arial" w:eastAsia="Arial" w:hAnsi="Arial"/>
                  <w:sz w:val="18"/>
                  <w:szCs w:val="18"/>
                  <w:b w:val="1"/>
                  <w:bCs w:val="1"/>
                  <w:color w:val="0000EE"/>
                  <w:w w:val="98"/>
                </w:rPr>
                <w:t>PART IV</w:t>
              </w:r>
            </w:hyperlink>
          </w:p>
        </w:tc>
        <w:tc>
          <w:tcPr>
            <w:tcW w:w="4020" w:type="dxa"/>
            <w:vAlign w:val="bottom"/>
            <w:gridSpan w:val="4"/>
          </w:tcPr>
          <w:p>
            <w:pPr>
              <w:spacing w:after="0"/>
              <w:rPr>
                <w:sz w:val="24"/>
                <w:szCs w:val="24"/>
                <w:color w:val="auto"/>
              </w:rPr>
            </w:pPr>
          </w:p>
        </w:tc>
        <w:tc>
          <w:tcPr>
            <w:tcW w:w="360" w:type="dxa"/>
            <w:vAlign w:val="bottom"/>
          </w:tcPr>
          <w:p>
            <w:pPr>
              <w:spacing w:after="0"/>
              <w:rPr>
                <w:sz w:val="24"/>
                <w:szCs w:val="24"/>
                <w:color w:val="auto"/>
              </w:rPr>
            </w:pPr>
          </w:p>
        </w:tc>
      </w:tr>
      <w:tr>
        <w:trPr>
          <w:trHeight w:val="331"/>
        </w:trPr>
        <w:tc>
          <w:tcPr>
            <w:tcW w:w="1320" w:type="dxa"/>
            <w:vAlign w:val="bottom"/>
          </w:tcPr>
          <w:p>
            <w:pPr>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08">
              <w:r>
                <w:rPr>
                  <w:rFonts w:ascii="Arial" w:cs="Arial" w:eastAsia="Arial" w:hAnsi="Arial"/>
                  <w:sz w:val="18"/>
                  <w:szCs w:val="18"/>
                  <w:color w:val="0000EE"/>
                  <w:w w:val="89"/>
                </w:rPr>
                <w:t>Exhibits and Financial Statement Schedules</w:t>
              </w:r>
            </w:hyperlink>
          </w:p>
        </w:tc>
        <w:tc>
          <w:tcPr>
            <w:tcW w:w="4220" w:type="dxa"/>
            <w:vAlign w:val="bottom"/>
            <w:gridSpan w:val="5"/>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196"/>
        </w:trPr>
        <w:tc>
          <w:tcPr>
            <w:tcW w:w="1320" w:type="dxa"/>
            <w:vAlign w:val="bottom"/>
          </w:tcPr>
          <w:p>
            <w:pPr>
              <w:spacing w:after="0" w:line="182" w:lineRule="exact"/>
              <w:rPr>
                <w:sz w:val="20"/>
                <w:szCs w:val="20"/>
                <w:color w:val="auto"/>
              </w:rPr>
            </w:pPr>
            <w:r>
              <w:rPr>
                <w:rFonts w:ascii="Arial" w:cs="Arial" w:eastAsia="Arial" w:hAnsi="Arial"/>
                <w:sz w:val="18"/>
                <w:szCs w:val="18"/>
                <w:color w:val="auto"/>
              </w:rPr>
              <w:t>Item 16.</w:t>
            </w:r>
          </w:p>
        </w:tc>
        <w:tc>
          <w:tcPr>
            <w:tcW w:w="7380" w:type="dxa"/>
            <w:vAlign w:val="bottom"/>
            <w:gridSpan w:val="10"/>
          </w:tcPr>
          <w:p>
            <w:pPr>
              <w:spacing w:after="0" w:line="182" w:lineRule="exact"/>
              <w:rPr>
                <w:rFonts w:ascii="Arial" w:cs="Arial" w:eastAsia="Arial" w:hAnsi="Arial"/>
                <w:sz w:val="18"/>
                <w:szCs w:val="18"/>
                <w:color w:val="0000EE"/>
              </w:rPr>
            </w:pPr>
            <w:hyperlink w:anchor="page110">
              <w:r>
                <w:rPr>
                  <w:rFonts w:ascii="Arial" w:cs="Arial" w:eastAsia="Arial" w:hAnsi="Arial"/>
                  <w:sz w:val="18"/>
                  <w:szCs w:val="18"/>
                  <w:color w:val="0000EE"/>
                </w:rPr>
                <w:t>Form 10-K Summary</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108</w:t>
            </w:r>
          </w:p>
        </w:tc>
      </w:tr>
      <w:tr>
        <w:trPr>
          <w:trHeight w:val="811"/>
        </w:trPr>
        <w:tc>
          <w:tcPr>
            <w:tcW w:w="1320" w:type="dxa"/>
            <w:vAlign w:val="bottom"/>
            <w:tcBorders>
              <w:bottom w:val="single" w:sz="8" w:color="auto"/>
            </w:tcBorders>
          </w:tcPr>
          <w:p>
            <w:pPr>
              <w:spacing w:after="0"/>
              <w:rPr>
                <w:sz w:val="24"/>
                <w:szCs w:val="24"/>
                <w:color w:val="auto"/>
              </w:rPr>
            </w:pPr>
          </w:p>
        </w:tc>
        <w:tc>
          <w:tcPr>
            <w:tcW w:w="1540" w:type="dxa"/>
            <w:vAlign w:val="bottom"/>
            <w:tcBorders>
              <w:top w:val="single" w:sz="8" w:color="0000EE"/>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95" w:right="1419" w:bottom="1440" w:gutter="0" w:footer="0" w:header="0"/>
          <w:type w:val="continuous"/>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jc w:val="both"/>
        <w:ind w:right="60" w:firstLine="648"/>
        <w:spacing w:after="0" w:line="224" w:lineRule="auto"/>
        <w:rPr>
          <w:sz w:val="20"/>
          <w:szCs w:val="20"/>
          <w:color w:val="auto"/>
        </w:rPr>
      </w:pPr>
      <w:r>
        <w:rPr>
          <w:rFonts w:ascii="Arial" w:cs="Arial" w:eastAsia="Arial" w:hAnsi="Arial"/>
          <w:sz w:val="18"/>
          <w:szCs w:val="18"/>
          <w:i w:val="1"/>
          <w:iCs w:val="1"/>
          <w:color w:val="auto"/>
        </w:rPr>
        <w:t>Unless otherwise stated, all references to “us,” “our,” “Blueprint,” “Blueprint Medicines,” “we,” the “Company” and similar designations in this Annual Report on Form 10-K refer to Blueprint Medicines Corporation and its consolidated subsidiary, Blueprint Medicines Security Corporation.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ind w:right="360" w:firstLine="648"/>
        <w:spacing w:after="0" w:line="214" w:lineRule="auto"/>
        <w:rPr>
          <w:sz w:val="20"/>
          <w:szCs w:val="20"/>
          <w:color w:val="auto"/>
        </w:rPr>
      </w:pPr>
      <w:r>
        <w:rPr>
          <w:rFonts w:ascii="Arial" w:cs="Arial" w:eastAsia="Arial" w:hAnsi="Arial"/>
          <w:sz w:val="18"/>
          <w:szCs w:val="18"/>
          <w:color w:val="auto"/>
        </w:rPr>
        <w:t>This Annual Report on Form 10-K contains forward-looking statements that involve substantial risks and uncertainties. All statements, other than statements of historical facts, contained in this Annual Report on Form 10-K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forward-looking statements in this Annual Report on Form 10-K include, but are not limited to, statements</w:t>
      </w:r>
    </w:p>
    <w:p>
      <w:pPr>
        <w:spacing w:after="0"/>
        <w:rPr>
          <w:sz w:val="20"/>
          <w:szCs w:val="20"/>
          <w:color w:val="auto"/>
        </w:rPr>
      </w:pPr>
      <w:r>
        <w:rPr>
          <w:rFonts w:ascii="Arial" w:cs="Arial" w:eastAsia="Arial" w:hAnsi="Arial"/>
          <w:sz w:val="18"/>
          <w:szCs w:val="18"/>
          <w:color w:val="auto"/>
        </w:rPr>
        <w:t>about:</w:t>
      </w:r>
    </w:p>
    <w:p>
      <w:pPr>
        <w:spacing w:after="0" w:line="169" w:lineRule="exact"/>
        <w:rPr>
          <w:sz w:val="20"/>
          <w:szCs w:val="20"/>
          <w:color w:val="auto"/>
        </w:rPr>
      </w:pPr>
    </w:p>
    <w:p>
      <w:pPr>
        <w:ind w:left="1300" w:hanging="325"/>
        <w:spacing w:after="0" w:line="22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studies and clinical trials, including our ongoing Phase 1 clinical trials and any planned clinical trials for avapritinib (formerly known as BLU-285), BLU-554, BLU-667 and BLU-782, and our research and development programs;</w:t>
      </w:r>
    </w:p>
    <w:p>
      <w:pPr>
        <w:spacing w:after="0" w:line="95" w:lineRule="exact"/>
        <w:rPr>
          <w:rFonts w:ascii="Arial" w:cs="Arial" w:eastAsia="Arial" w:hAnsi="Arial"/>
          <w:sz w:val="18"/>
          <w:szCs w:val="18"/>
          <w:color w:val="auto"/>
        </w:rPr>
      </w:pPr>
    </w:p>
    <w:p>
      <w:pPr>
        <w:ind w:left="1300" w:hanging="325"/>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advance drug candidates into, and successfully complete, clinical trials;</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commercialization of our drug candidates, if approved;</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pricing and reimbursement of our drug candidates, if approved;</w:t>
      </w:r>
    </w:p>
    <w:p>
      <w:pPr>
        <w:spacing w:after="0" w:line="117" w:lineRule="exact"/>
        <w:rPr>
          <w:rFonts w:ascii="Arial" w:cs="Arial" w:eastAsia="Arial" w:hAnsi="Arial"/>
          <w:sz w:val="18"/>
          <w:szCs w:val="18"/>
          <w:color w:val="auto"/>
        </w:rPr>
      </w:pPr>
    </w:p>
    <w:p>
      <w:pPr>
        <w:ind w:left="1300" w:right="880" w:hanging="325"/>
        <w:spacing w:after="0" w:line="235"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implementation of our business model, strategic plans for our business, drug candidates and technology;</w:t>
      </w:r>
    </w:p>
    <w:p>
      <w:pPr>
        <w:spacing w:after="0" w:line="94" w:lineRule="exact"/>
        <w:rPr>
          <w:rFonts w:ascii="Arial" w:cs="Arial" w:eastAsia="Arial" w:hAnsi="Arial"/>
          <w:sz w:val="18"/>
          <w:szCs w:val="18"/>
          <w:color w:val="auto"/>
        </w:rPr>
      </w:pPr>
    </w:p>
    <w:p>
      <w:pPr>
        <w:ind w:left="1300" w:right="240" w:hanging="325"/>
        <w:spacing w:after="0" w:line="235"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drug candidates and technology;</w:t>
      </w:r>
    </w:p>
    <w:p>
      <w:pPr>
        <w:spacing w:after="0" w:line="94" w:lineRule="exact"/>
        <w:rPr>
          <w:rFonts w:ascii="Arial" w:cs="Arial" w:eastAsia="Arial" w:hAnsi="Arial"/>
          <w:sz w:val="18"/>
          <w:szCs w:val="18"/>
          <w:color w:val="auto"/>
        </w:rPr>
      </w:pPr>
    </w:p>
    <w:p>
      <w:pPr>
        <w:ind w:left="1300" w:hanging="325"/>
        <w:spacing w:after="0"/>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estimates of our expenses, future revenues, capital requirements and our needs for additional financing;</w:t>
      </w:r>
    </w:p>
    <w:p>
      <w:pPr>
        <w:spacing w:after="0" w:line="140" w:lineRule="exact"/>
        <w:rPr>
          <w:rFonts w:ascii="Arial" w:cs="Arial" w:eastAsia="Arial" w:hAnsi="Arial"/>
          <w:sz w:val="16"/>
          <w:szCs w:val="16"/>
          <w:color w:val="auto"/>
        </w:rPr>
      </w:pPr>
    </w:p>
    <w:p>
      <w:pPr>
        <w:ind w:left="1300" w:right="100" w:hanging="325"/>
        <w:spacing w:after="0" w:line="258"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potential benefits of our existing cancer immunotherapy collaboration with F. Hoffmann-La Roche Ltd and Hoffmann-La Roche Inc., as well as our ability to enter into other strategic arrangements;</w:t>
      </w:r>
    </w:p>
    <w:p>
      <w:pPr>
        <w:spacing w:after="0" w:line="79" w:lineRule="exact"/>
        <w:rPr>
          <w:rFonts w:ascii="Arial" w:cs="Arial" w:eastAsia="Arial" w:hAnsi="Arial"/>
          <w:sz w:val="17"/>
          <w:szCs w:val="17"/>
          <w:color w:val="auto"/>
        </w:rPr>
      </w:pPr>
    </w:p>
    <w:p>
      <w:pPr>
        <w:ind w:left="1300" w:hanging="325"/>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development of companion diagnostic tests for our drug candidates;</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71"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color w:val="auto"/>
        </w:rPr>
        <w:t>Any forward-looking statements in this Annual Report on Form 10-K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Annual Report on Form 10-K, particularly in the “Risk Factors” section,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spacing w:after="0" w:line="166" w:lineRule="exact"/>
        <w:rPr>
          <w:sz w:val="20"/>
          <w:szCs w:val="20"/>
          <w:color w:val="auto"/>
        </w:rPr>
      </w:pPr>
    </w:p>
    <w:p>
      <w:pPr>
        <w:ind w:right="140" w:firstLine="648"/>
        <w:spacing w:after="0" w:line="258" w:lineRule="auto"/>
        <w:rPr>
          <w:sz w:val="20"/>
          <w:szCs w:val="20"/>
          <w:color w:val="auto"/>
        </w:rPr>
      </w:pPr>
      <w:r>
        <w:rPr>
          <w:rFonts w:ascii="Arial" w:cs="Arial" w:eastAsia="Arial" w:hAnsi="Arial"/>
          <w:sz w:val="17"/>
          <w:szCs w:val="17"/>
          <w:color w:val="auto"/>
        </w:rPr>
        <w:t>You should read this Annual Report on Form 10-K and the documents that we have filed as exhibits to this Annual Report on Form 10-K completely and with the understanding that our actual future results, performance or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achievements may be materially different from what we expect. Except as required by law, we assume no obligation to update or revise these forward-looking statements for any reason, even if new information becomes available in the future.</w:t>
      </w:r>
    </w:p>
    <w:p>
      <w:pPr>
        <w:spacing w:after="0" w:line="124"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This Annual Report on Form 10-K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120" w:firstLine="648"/>
        <w:spacing w:after="0" w:line="223" w:lineRule="auto"/>
        <w:rPr>
          <w:sz w:val="20"/>
          <w:szCs w:val="20"/>
          <w:color w:val="auto"/>
        </w:rPr>
      </w:pPr>
      <w:r>
        <w:rPr>
          <w:rFonts w:ascii="Arial" w:cs="Arial" w:eastAsia="Arial" w:hAnsi="Arial"/>
          <w:sz w:val="17"/>
          <w:szCs w:val="17"/>
          <w:color w:val="auto"/>
        </w:rPr>
        <w:t>We are a biopharmaceutical company focused on developing potentially transformational medicines to improve the lives of patients with genomically defined cancers and rare diseases. Our approach is to leverage our novel target discovery engine to systematically and reproducibly identify kinases that are drivers of diseases in genomically defined patient populations and to craft highly selective and potent drug candidates that may provide significant and durable clinical responses for patients without adequate treatment options. This integrated biology and chemistry approach enables us to identify, characterize and design drug candidates to inhibit novel kinase targets that have been difficult to selectively inhibit. By focusing on diseases in genomically defined patient populations, we believe that we will have a more efficient development path with a greater likelihood of success.</w:t>
      </w:r>
    </w:p>
    <w:p>
      <w:pPr>
        <w:spacing w:after="0" w:line="168"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Our most advanced drug candidates are avapritinib (formerly known as BLU</w:t>
      </w:r>
      <w:r>
        <w:rPr>
          <w:rFonts w:ascii="MS PGothic" w:cs="MS PGothic" w:eastAsia="MS PGothic" w:hAnsi="MS PGothic"/>
          <w:sz w:val="17"/>
          <w:szCs w:val="17"/>
          <w:color w:val="auto"/>
        </w:rPr>
        <w:t>‑</w:t>
      </w:r>
      <w:r>
        <w:rPr>
          <w:rFonts w:ascii="Arial" w:cs="Arial" w:eastAsia="Arial" w:hAnsi="Arial"/>
          <w:sz w:val="17"/>
          <w:szCs w:val="17"/>
          <w:color w:val="auto"/>
        </w:rPr>
        <w:t>285), BLU</w:t>
      </w:r>
      <w:r>
        <w:rPr>
          <w:rFonts w:ascii="MS PGothic" w:cs="MS PGothic" w:eastAsia="MS PGothic" w:hAnsi="MS PGothic"/>
          <w:sz w:val="17"/>
          <w:szCs w:val="17"/>
          <w:color w:val="auto"/>
        </w:rPr>
        <w:t>‑</w:t>
      </w:r>
      <w:r>
        <w:rPr>
          <w:rFonts w:ascii="Arial" w:cs="Arial" w:eastAsia="Arial" w:hAnsi="Arial"/>
          <w:sz w:val="17"/>
          <w:szCs w:val="17"/>
          <w:color w:val="auto"/>
        </w:rPr>
        <w:t>554 and BLU</w:t>
      </w:r>
      <w:r>
        <w:rPr>
          <w:rFonts w:ascii="MS PGothic" w:cs="MS PGothic" w:eastAsia="MS PGothic" w:hAnsi="MS PGothic"/>
          <w:sz w:val="17"/>
          <w:szCs w:val="17"/>
          <w:color w:val="auto"/>
        </w:rPr>
        <w:t>‑</w:t>
      </w:r>
      <w:r>
        <w:rPr>
          <w:rFonts w:ascii="Arial" w:cs="Arial" w:eastAsia="Arial" w:hAnsi="Arial"/>
          <w:sz w:val="17"/>
          <w:szCs w:val="17"/>
          <w:color w:val="auto"/>
        </w:rPr>
        <w:t>667. Our lead drug candidate, avapritinib, is an orally available, potent and highly selective inhibitor that targets KIT and PDGFRα mutations. These mutations abnormally activate receptor tyrosine kinases that are drivers of cancer and proliferative disorders, including gastrointestinal stromal tumors, or GIST, and systemic mastocytosis, or SM. We are currently evaluating avapritinib in an ongoing Phase 1 clinical trial for defined subsets of patients with GIST, which we refer to as the Navigator trial, and an ongoing Phase 1 clinical trial for advanced SM, which we refer to as the Explorer trial. GIST is a rare disease that is a sarcoma, or tumor of bone or connective tissue, of the gastrointestinal tract, or GI tract, and SM is a rare disorder that causes an overproduction of mast cells and the accumulation of mast cells in the bone marrow and other organs, which can lead to a wide range of debilitating symptoms and organ dysfunction and failure.</w:t>
      </w:r>
    </w:p>
    <w:p>
      <w:pPr>
        <w:spacing w:after="0" w:line="162" w:lineRule="exact"/>
        <w:rPr>
          <w:sz w:val="20"/>
          <w:szCs w:val="20"/>
          <w:color w:val="auto"/>
        </w:rPr>
      </w:pPr>
    </w:p>
    <w:p>
      <w:pPr>
        <w:jc w:val="both"/>
        <w:ind w:right="140" w:firstLine="648"/>
        <w:spacing w:after="0" w:line="194" w:lineRule="exact"/>
        <w:rPr>
          <w:sz w:val="20"/>
          <w:szCs w:val="20"/>
          <w:color w:val="auto"/>
        </w:rPr>
      </w:pPr>
      <w:r>
        <w:rPr>
          <w:rFonts w:ascii="Arial" w:cs="Arial" w:eastAsia="Arial" w:hAnsi="Arial"/>
          <w:sz w:val="17"/>
          <w:szCs w:val="17"/>
          <w:color w:val="auto"/>
        </w:rPr>
        <w:t>BLU</w:t>
      </w:r>
      <w:r>
        <w:rPr>
          <w:rFonts w:ascii="MS PGothic" w:cs="MS PGothic" w:eastAsia="MS PGothic" w:hAnsi="MS PGothic"/>
          <w:sz w:val="17"/>
          <w:szCs w:val="17"/>
          <w:color w:val="auto"/>
        </w:rPr>
        <w:t>‑</w:t>
      </w:r>
      <w:r>
        <w:rPr>
          <w:rFonts w:ascii="Arial" w:cs="Arial" w:eastAsia="Arial" w:hAnsi="Arial"/>
          <w:sz w:val="17"/>
          <w:szCs w:val="17"/>
          <w:color w:val="auto"/>
        </w:rPr>
        <w:t>554 is an orally available, potent and highly selective inhibitor that targets FGFR4, a kinase that is aberrantly activated in a defined subset of patients with hepatocellular carcinoma, or HCC, the most common type of liver cancer. We are currently evaluating BLU</w:t>
      </w:r>
      <w:r>
        <w:rPr>
          <w:rFonts w:ascii="MS PGothic" w:cs="MS PGothic" w:eastAsia="MS PGothic" w:hAnsi="MS PGothic"/>
          <w:sz w:val="17"/>
          <w:szCs w:val="17"/>
          <w:color w:val="auto"/>
        </w:rPr>
        <w:t>‑</w:t>
      </w:r>
      <w:r>
        <w:rPr>
          <w:rFonts w:ascii="Arial" w:cs="Arial" w:eastAsia="Arial" w:hAnsi="Arial"/>
          <w:sz w:val="17"/>
          <w:szCs w:val="17"/>
          <w:color w:val="auto"/>
        </w:rPr>
        <w:t>554 in an ongoing Phase 1 clinical trial in patients with advanced HCC.</w:t>
      </w:r>
    </w:p>
    <w:p>
      <w:pPr>
        <w:spacing w:after="0" w:line="161" w:lineRule="exact"/>
        <w:rPr>
          <w:sz w:val="20"/>
          <w:szCs w:val="20"/>
          <w:color w:val="auto"/>
        </w:rPr>
      </w:pPr>
    </w:p>
    <w:p>
      <w:pPr>
        <w:ind w:firstLine="648"/>
        <w:spacing w:after="0" w:line="185" w:lineRule="exact"/>
        <w:rPr>
          <w:sz w:val="20"/>
          <w:szCs w:val="20"/>
          <w:color w:val="auto"/>
        </w:rPr>
      </w:pPr>
      <w:r>
        <w:rPr>
          <w:rFonts w:ascii="Arial" w:cs="Arial" w:eastAsia="Arial" w:hAnsi="Arial"/>
          <w:sz w:val="17"/>
          <w:szCs w:val="17"/>
          <w:color w:val="auto"/>
        </w:rPr>
        <w:t>BLU</w:t>
      </w:r>
      <w:r>
        <w:rPr>
          <w:rFonts w:ascii="MS PGothic" w:cs="MS PGothic" w:eastAsia="MS PGothic" w:hAnsi="MS PGothic"/>
          <w:sz w:val="17"/>
          <w:szCs w:val="17"/>
          <w:color w:val="auto"/>
        </w:rPr>
        <w:t>‑</w:t>
      </w:r>
      <w:r>
        <w:rPr>
          <w:rFonts w:ascii="Arial" w:cs="Arial" w:eastAsia="Arial" w:hAnsi="Arial"/>
          <w:sz w:val="17"/>
          <w:szCs w:val="17"/>
          <w:color w:val="auto"/>
        </w:rPr>
        <w:t>667 targets RET, a receptor tyrosine kinase that is abnormally activated by mutations or translocations, and RET resistance mutations that we predict will arise from treatment with first generation therapies. RET drives disease in subsets of patients with non</w:t>
      </w:r>
      <w:r>
        <w:rPr>
          <w:rFonts w:ascii="MS PGothic" w:cs="MS PGothic" w:eastAsia="MS PGothic" w:hAnsi="MS PGothic"/>
          <w:sz w:val="17"/>
          <w:szCs w:val="17"/>
          <w:color w:val="auto"/>
        </w:rPr>
        <w:t>‑</w:t>
      </w:r>
      <w:r>
        <w:rPr>
          <w:rFonts w:ascii="Arial" w:cs="Arial" w:eastAsia="Arial" w:hAnsi="Arial"/>
          <w:sz w:val="17"/>
          <w:szCs w:val="17"/>
          <w:color w:val="auto"/>
        </w:rPr>
        <w:t>small cell lung cancer, or NSCLC, and cancers of the thyroid, including medullary thyroid carcinoma, or MTC, and papillary thyroid cancer, and our research suggests that RET may drive disease in subsets of patients with colon cancer, breast cancer and other cancers. We are currently evaluating BLU</w:t>
      </w:r>
      <w:r>
        <w:rPr>
          <w:rFonts w:ascii="MS PGothic" w:cs="MS PGothic" w:eastAsia="MS PGothic" w:hAnsi="MS PGothic"/>
          <w:sz w:val="17"/>
          <w:szCs w:val="17"/>
          <w:color w:val="auto"/>
        </w:rPr>
        <w:t>‑</w:t>
      </w:r>
      <w:r>
        <w:rPr>
          <w:rFonts w:ascii="Arial" w:cs="Arial" w:eastAsia="Arial" w:hAnsi="Arial"/>
          <w:sz w:val="17"/>
          <w:szCs w:val="17"/>
          <w:color w:val="auto"/>
        </w:rPr>
        <w:t>667 in an ongoing Phase 1 clinical trial in patients with RET</w:t>
      </w:r>
      <w:r>
        <w:rPr>
          <w:rFonts w:ascii="MS PGothic" w:cs="MS PGothic" w:eastAsia="MS PGothic" w:hAnsi="MS PGothic"/>
          <w:sz w:val="17"/>
          <w:szCs w:val="17"/>
          <w:color w:val="auto"/>
        </w:rPr>
        <w:t>‑</w:t>
      </w:r>
      <w:r>
        <w:rPr>
          <w:rFonts w:ascii="Arial" w:cs="Arial" w:eastAsia="Arial" w:hAnsi="Arial"/>
          <w:sz w:val="17"/>
          <w:szCs w:val="17"/>
          <w:color w:val="auto"/>
        </w:rPr>
        <w:t>altered NSCLC, MTC and other advanced solid tumors.</w:t>
      </w:r>
    </w:p>
    <w:p>
      <w:pPr>
        <w:spacing w:after="0" w:line="165" w:lineRule="exact"/>
        <w:rPr>
          <w:sz w:val="20"/>
          <w:szCs w:val="20"/>
          <w:color w:val="auto"/>
        </w:rPr>
      </w:pPr>
    </w:p>
    <w:p>
      <w:pPr>
        <w:ind w:right="120" w:firstLine="648"/>
        <w:spacing w:after="0" w:line="189" w:lineRule="exact"/>
        <w:rPr>
          <w:sz w:val="20"/>
          <w:szCs w:val="20"/>
          <w:color w:val="auto"/>
        </w:rPr>
      </w:pPr>
      <w:r>
        <w:rPr>
          <w:rFonts w:ascii="Arial" w:cs="Arial" w:eastAsia="Arial" w:hAnsi="Arial"/>
          <w:sz w:val="18"/>
          <w:szCs w:val="18"/>
          <w:color w:val="auto"/>
        </w:rPr>
        <w:t>In addition, in the fourth quarter of 2017, we nominated a development candidate, BLU</w:t>
      </w:r>
      <w:r>
        <w:rPr>
          <w:rFonts w:ascii="MS PGothic" w:cs="MS PGothic" w:eastAsia="MS PGothic" w:hAnsi="MS PGothic"/>
          <w:sz w:val="18"/>
          <w:szCs w:val="18"/>
          <w:color w:val="auto"/>
        </w:rPr>
        <w:t>‑</w:t>
      </w:r>
      <w:r>
        <w:rPr>
          <w:rFonts w:ascii="Arial" w:cs="Arial" w:eastAsia="Arial" w:hAnsi="Arial"/>
          <w:sz w:val="18"/>
          <w:szCs w:val="18"/>
          <w:color w:val="auto"/>
        </w:rPr>
        <w:t>782, for our discovery program targeting the kinase ALK2 for the treatment of fibrodysplasia ossificans progressiva, or FOP, a rare genetic disease caused by mutations in the ALK2 gene, ACVR1. We anticipate initiating IND</w:t>
      </w:r>
      <w:r>
        <w:rPr>
          <w:rFonts w:ascii="MS PGothic" w:cs="MS PGothic" w:eastAsia="MS PGothic" w:hAnsi="MS PGothic"/>
          <w:sz w:val="18"/>
          <w:szCs w:val="18"/>
          <w:color w:val="auto"/>
        </w:rPr>
        <w:t>‑</w:t>
      </w:r>
      <w:r>
        <w:rPr>
          <w:rFonts w:ascii="Arial" w:cs="Arial" w:eastAsia="Arial" w:hAnsi="Arial"/>
          <w:sz w:val="18"/>
          <w:szCs w:val="18"/>
          <w:color w:val="auto"/>
        </w:rPr>
        <w:t>enabling studies for BLU-782 in the first half of 2018.</w:t>
      </w:r>
    </w:p>
    <w:p>
      <w:pPr>
        <w:spacing w:after="0" w:line="163" w:lineRule="exact"/>
        <w:rPr>
          <w:sz w:val="20"/>
          <w:szCs w:val="20"/>
          <w:color w:val="auto"/>
        </w:rPr>
      </w:pPr>
    </w:p>
    <w:p>
      <w:pPr>
        <w:ind w:right="140" w:firstLine="648"/>
        <w:spacing w:after="0" w:line="219" w:lineRule="auto"/>
        <w:rPr>
          <w:sz w:val="20"/>
          <w:szCs w:val="20"/>
          <w:color w:val="auto"/>
        </w:rPr>
      </w:pPr>
      <w:r>
        <w:rPr>
          <w:rFonts w:ascii="Arial" w:cs="Arial" w:eastAsia="Arial" w:hAnsi="Arial"/>
          <w:sz w:val="18"/>
          <w:szCs w:val="18"/>
          <w:color w:val="auto"/>
        </w:rPr>
        <w:t>We plan to continue to leverage our discovery platform to systematically and reproducibly identify kinases that are drivers of diseases in genomically defined patient populations and craft drug candidates that potently and selectively target these kinases. We currently have two wholly-owned discovery programs for undisclosed kinase targets, and we anticipate nominating at least two additional discovery programs in 2018.</w:t>
      </w:r>
    </w:p>
    <w:p>
      <w:pPr>
        <w:spacing w:after="0" w:line="163" w:lineRule="exact"/>
        <w:rPr>
          <w:sz w:val="20"/>
          <w:szCs w:val="20"/>
          <w:color w:val="auto"/>
        </w:rPr>
      </w:pPr>
    </w:p>
    <w:p>
      <w:pPr>
        <w:ind w:right="20" w:firstLine="648"/>
        <w:spacing w:after="0" w:line="184" w:lineRule="exact"/>
        <w:rPr>
          <w:sz w:val="20"/>
          <w:szCs w:val="20"/>
          <w:color w:val="auto"/>
        </w:rPr>
      </w:pPr>
      <w:r>
        <w:rPr>
          <w:rFonts w:ascii="Arial" w:cs="Arial" w:eastAsia="Arial" w:hAnsi="Arial"/>
          <w:sz w:val="16"/>
          <w:szCs w:val="16"/>
          <w:color w:val="auto"/>
        </w:rPr>
        <w:t>In addition to our wholly-owned clinical and pre-clinical programs, in March 2016, we entered into an agreement with F. Hoffmann</w:t>
      </w:r>
      <w:r>
        <w:rPr>
          <w:rFonts w:ascii="MS PGothic" w:cs="MS PGothic" w:eastAsia="MS PGothic" w:hAnsi="MS PGothic"/>
          <w:sz w:val="16"/>
          <w:szCs w:val="16"/>
          <w:color w:val="auto"/>
        </w:rPr>
        <w:t>‑</w:t>
      </w:r>
      <w:r>
        <w:rPr>
          <w:rFonts w:ascii="Arial" w:cs="Arial" w:eastAsia="Arial" w:hAnsi="Arial"/>
          <w:sz w:val="16"/>
          <w:szCs w:val="16"/>
          <w:color w:val="auto"/>
        </w:rPr>
        <w:t>La Roche Ltd and Hoffmann</w:t>
      </w:r>
      <w:r>
        <w:rPr>
          <w:rFonts w:ascii="MS PGothic" w:cs="MS PGothic" w:eastAsia="MS PGothic" w:hAnsi="MS PGothic"/>
          <w:sz w:val="16"/>
          <w:szCs w:val="16"/>
          <w:color w:val="auto"/>
        </w:rPr>
        <w:t>‑</w:t>
      </w:r>
      <w:r>
        <w:rPr>
          <w:rFonts w:ascii="Arial" w:cs="Arial" w:eastAsia="Arial" w:hAnsi="Arial"/>
          <w:sz w:val="16"/>
          <w:szCs w:val="16"/>
          <w:color w:val="auto"/>
        </w:rPr>
        <w:t>La Roche Inc. to discover, develop and commercialize up to five small molecule therapeutics targeting kinases believed to be important in cancer immunotherapy, as single products or possibly in combination with other therapeutics. We will continue to evaluate additional collaborations that could maximize the value for our programs and allow us to leverage the expertise of strategic collaborators. We are also focused on engaging in collaborations to capitalize on our discovery platform outside of our primary strategic focus area of cancer.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We currently have worldwide development and commercialization rights to avapritinib, BLU-554, BLU-667 and BLU-782 and all of our discovery programs other than the pre-clinical programs under the Roche collaboration. In September 2015, the FDA granted orphan drug designation to BLU-554 for the treatment of HCC, and in January 2016, the FDA granted orphan drug designation to avapritinib for the treatment of GIST and mastocytosis. In October 2016, the FDA granted fast track designation to avapritinib for the treatment of patients with unresectable or metastatic GIST that progressed following treatment with imatinib and a second tyrosine kinase, or TKI, inhibitor and for the treatment of patients with unresectable or metastatic GIST with the PDGFRα D842V mutation regardless of prior therapy. In addition, in June 2017, the FDA granted breakthrough therapy designation to avapritinib for the treatment of patients with unresectable or metastatic GIST harboring the PDGFRα D842V mutation, and in July 2017, the European Commission granted orphan drug designation to avapritinib for the treatment of GIST.</w:t>
      </w:r>
    </w:p>
    <w:p>
      <w:pPr>
        <w:spacing w:after="0" w:line="164"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Approved kinase drugs, such as imatinib, have demonstrated significant benefit to patients, and small molecule kinase drugs achieved approximately $25 billion in 2017 sales. Despite this success, there is room for further improvement in kinase drug discovery and development. Many of the approved drugs are multi</w:t>
      </w:r>
      <w:r>
        <w:rPr>
          <w:rFonts w:ascii="MS PGothic" w:cs="MS PGothic" w:eastAsia="MS PGothic" w:hAnsi="MS PGothic"/>
          <w:sz w:val="16"/>
          <w:szCs w:val="16"/>
          <w:color w:val="auto"/>
        </w:rPr>
        <w:t>‑</w:t>
      </w:r>
      <w:r>
        <w:rPr>
          <w:rFonts w:ascii="Arial" w:cs="Arial" w:eastAsia="Arial" w:hAnsi="Arial"/>
          <w:sz w:val="16"/>
          <w:szCs w:val="16"/>
          <w:color w:val="auto"/>
        </w:rPr>
        <w:t>kinase inhibitors that are not selective for disease drivers. This results in off</w:t>
      </w:r>
      <w:r>
        <w:rPr>
          <w:rFonts w:ascii="MS PGothic" w:cs="MS PGothic" w:eastAsia="MS PGothic" w:hAnsi="MS PGothic"/>
          <w:sz w:val="16"/>
          <w:szCs w:val="16"/>
          <w:color w:val="auto"/>
        </w:rPr>
        <w:t>‑</w:t>
      </w:r>
      <w:r>
        <w:rPr>
          <w:rFonts w:ascii="Arial" w:cs="Arial" w:eastAsia="Arial" w:hAnsi="Arial"/>
          <w:sz w:val="16"/>
          <w:szCs w:val="16"/>
          <w:color w:val="auto"/>
        </w:rPr>
        <w:t>target toxicities that limit dose levels and target inhibition, thereby reducing efficacy. Further, patients who initially respond to a targeted kinase treatment often relapse due to the development of resistance mutations. For many of the known kinases, there is a strong link between genomic alterations in a kinase and disease, including specific forms of cancer and rare genetic diseases. However, the function of the majority of the kinome is still unknown. As of December 31, 2017, there were approximately 35 small molecule drugs approved by the FDA that target less than five percent of the 518 kinases. Taken together, this represents a substantial opportunity for developing novel and transformative drugs for cancer, rare genetic diseases and other disease areas, including cancer immunotherapy.</w:t>
      </w:r>
    </w:p>
    <w:p>
      <w:pPr>
        <w:spacing w:after="0" w:line="163" w:lineRule="exact"/>
        <w:rPr>
          <w:sz w:val="20"/>
          <w:szCs w:val="20"/>
          <w:color w:val="auto"/>
        </w:rPr>
      </w:pPr>
    </w:p>
    <w:p>
      <w:pPr>
        <w:ind w:right="40" w:firstLine="648"/>
        <w:spacing w:after="0" w:line="182" w:lineRule="exact"/>
        <w:rPr>
          <w:sz w:val="20"/>
          <w:szCs w:val="20"/>
          <w:color w:val="auto"/>
        </w:rPr>
      </w:pPr>
      <w:r>
        <w:rPr>
          <w:rFonts w:ascii="Arial" w:cs="Arial" w:eastAsia="Arial" w:hAnsi="Arial"/>
          <w:sz w:val="17"/>
          <w:szCs w:val="17"/>
          <w:color w:val="auto"/>
        </w:rPr>
        <w:t>To capitalize on the kinase opportunity, we built a discovery platform that integrates a novel target discovery engine and a proprietary compound library. Our novel target discovery engine combines our expertise in genomics, bioinformatics, and cell and structural biology to provide new insights into the biology of kinases as drivers of disease. To develop kinase drugs, we start by interrogating our proprietary compound library. Our library is a unique collection of novel small molecules rationally designed and developed entirely in</w:t>
      </w:r>
      <w:r>
        <w:rPr>
          <w:rFonts w:ascii="MS PGothic" w:cs="MS PGothic" w:eastAsia="MS PGothic" w:hAnsi="MS PGothic"/>
          <w:sz w:val="17"/>
          <w:szCs w:val="17"/>
          <w:color w:val="auto"/>
        </w:rPr>
        <w:t>‑</w:t>
      </w:r>
      <w:r>
        <w:rPr>
          <w:rFonts w:ascii="Arial" w:cs="Arial" w:eastAsia="Arial" w:hAnsi="Arial"/>
          <w:sz w:val="17"/>
          <w:szCs w:val="17"/>
          <w:color w:val="auto"/>
        </w:rPr>
        <w:t>house by Blueprint Medicines’ scientists as kinase inhibitors and enriched for drug</w:t>
      </w:r>
      <w:r>
        <w:rPr>
          <w:rFonts w:ascii="MS PGothic" w:cs="MS PGothic" w:eastAsia="MS PGothic" w:hAnsi="MS PGothic"/>
          <w:sz w:val="17"/>
          <w:szCs w:val="17"/>
          <w:color w:val="auto"/>
        </w:rPr>
        <w:t>‑</w:t>
      </w:r>
      <w:r>
        <w:rPr>
          <w:rFonts w:ascii="Arial" w:cs="Arial" w:eastAsia="Arial" w:hAnsi="Arial"/>
          <w:sz w:val="17"/>
          <w:szCs w:val="17"/>
          <w:color w:val="auto"/>
        </w:rPr>
        <w:t>like properties. We do not owe any royalties or other fees to any parties associated with our novel target discovery engine and our proprietary compound library, other than any royalties or other fees that may become payable to Roche under our cancer immunotherapy collaboration. Using this discovery platform, we have produced a drug pipeline of several promising drug candidates that target genomically defined patient subsets.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89" w:lineRule="exact"/>
        <w:rPr>
          <w:sz w:val="20"/>
          <w:szCs w:val="20"/>
          <w:color w:val="auto"/>
        </w:rPr>
      </w:pPr>
    </w:p>
    <w:p>
      <w:pPr>
        <w:ind w:right="100" w:firstLine="648"/>
        <w:spacing w:after="0" w:line="235" w:lineRule="auto"/>
        <w:rPr>
          <w:sz w:val="20"/>
          <w:szCs w:val="20"/>
          <w:color w:val="auto"/>
        </w:rPr>
      </w:pPr>
      <w:r>
        <w:rPr>
          <w:rFonts w:ascii="Arial" w:cs="Arial" w:eastAsia="Arial" w:hAnsi="Arial"/>
          <w:sz w:val="18"/>
          <w:szCs w:val="18"/>
          <w:color w:val="auto"/>
        </w:rPr>
        <w:t>Our goal is to become a fully-integrated, biopharmaceutical company capable of delivering multiple transformative drugs to patients. The key tenets of our strategy include the following:</w:t>
      </w:r>
    </w:p>
    <w:p>
      <w:pPr>
        <w:spacing w:after="0" w:line="162" w:lineRule="exact"/>
        <w:rPr>
          <w:sz w:val="20"/>
          <w:szCs w:val="20"/>
          <w:color w:val="auto"/>
        </w:rPr>
      </w:pPr>
    </w:p>
    <w:p>
      <w:pPr>
        <w:ind w:left="1300" w:hanging="325"/>
        <w:spacing w:after="0" w:line="235"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Rapidly advance the clinical development of avapritinib as a potential treatment for broad populations of GIST and SM, and if successful, seek global regulatory approval.</w:t>
      </w:r>
    </w:p>
    <w:p>
      <w:pPr>
        <w:spacing w:after="0" w:line="161" w:lineRule="exact"/>
        <w:rPr>
          <w:rFonts w:ascii="Arial" w:cs="Arial" w:eastAsia="Arial" w:hAnsi="Arial"/>
          <w:sz w:val="18"/>
          <w:szCs w:val="18"/>
          <w:color w:val="auto"/>
        </w:rPr>
      </w:pPr>
    </w:p>
    <w:p>
      <w:pPr>
        <w:ind w:left="1300" w:right="420" w:hanging="325"/>
        <w:spacing w:after="0" w:line="22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Prepare for a potential commercial launch of avapritinib and build commercial capability to bring avapritinib and our other drug candidates, if and when approved, to physicians and patients for the approved indications.</w:t>
      </w:r>
    </w:p>
    <w:p>
      <w:pPr>
        <w:spacing w:after="0" w:line="163" w:lineRule="exact"/>
        <w:rPr>
          <w:rFonts w:ascii="Arial" w:cs="Arial" w:eastAsia="Arial" w:hAnsi="Arial"/>
          <w:sz w:val="18"/>
          <w:szCs w:val="18"/>
          <w:color w:val="auto"/>
        </w:rPr>
      </w:pPr>
    </w:p>
    <w:p>
      <w:pPr>
        <w:ind w:left="1300" w:right="640" w:hanging="325"/>
        <w:spacing w:after="0" w:line="203" w:lineRule="exact"/>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Rapidly advance BLU</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554, BLU-667 and BLU-782 through clinical development and define the potential regulatory path for these drug candidates.</w:t>
      </w:r>
    </w:p>
    <w:p>
      <w:pPr>
        <w:spacing w:after="0" w:line="161" w:lineRule="exact"/>
        <w:rPr>
          <w:rFonts w:ascii="Arial" w:cs="Arial" w:eastAsia="Arial" w:hAnsi="Arial"/>
          <w:sz w:val="18"/>
          <w:szCs w:val="18"/>
          <w:color w:val="auto"/>
        </w:rPr>
      </w:pPr>
    </w:p>
    <w:p>
      <w:pPr>
        <w:ind w:left="1300" w:right="600" w:hanging="325"/>
        <w:spacing w:after="0" w:line="235"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Continue to expand our broad, differentiated pipeline of kinase drug candidates for patients with genomically defined cancers and rare diseases.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Evaluate potential strategic collaborations to maximize the value of our programs and platform.</w:t>
      </w:r>
    </w:p>
    <w:p>
      <w:pPr>
        <w:spacing w:after="0" w:line="196" w:lineRule="exact"/>
        <w:rPr>
          <w:rFonts w:ascii="Arial" w:cs="Arial" w:eastAsia="Arial" w:hAnsi="Arial"/>
          <w:sz w:val="17"/>
          <w:szCs w:val="17"/>
          <w:color w:val="auto"/>
        </w:rPr>
      </w:pPr>
    </w:p>
    <w:p>
      <w:pPr>
        <w:ind w:left="1300" w:right="100" w:hanging="325"/>
        <w:spacing w:after="0" w:line="235"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Maintain a commitment to Blueprint Medicines’ patient-focused and science-driven culture as we grow our business.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Focus — Highly Selective Kinase Drugs for Genomically Defined Cancers and Rare Diseases</w:t>
      </w:r>
    </w:p>
    <w:p>
      <w:pPr>
        <w:spacing w:after="0" w:line="189" w:lineRule="exact"/>
        <w:rPr>
          <w:sz w:val="20"/>
          <w:szCs w:val="20"/>
          <w:color w:val="auto"/>
        </w:rPr>
      </w:pPr>
    </w:p>
    <w:p>
      <w:pPr>
        <w:ind w:right="20" w:firstLine="648"/>
        <w:spacing w:after="0" w:line="232" w:lineRule="auto"/>
        <w:rPr>
          <w:sz w:val="20"/>
          <w:szCs w:val="20"/>
          <w:color w:val="auto"/>
        </w:rPr>
      </w:pPr>
      <w:r>
        <w:rPr>
          <w:rFonts w:ascii="Arial" w:cs="Arial" w:eastAsia="Arial" w:hAnsi="Arial"/>
          <w:sz w:val="16"/>
          <w:szCs w:val="16"/>
          <w:color w:val="auto"/>
        </w:rPr>
        <w:t>Kinases are enzymes that function in many signaling pathways to regulate critical cellular functions. Kinase-dependent signaling networks are present in multiple different cell types, including muscle cells and cells of the immune system, and deregulation of these networks can lead to disease pathology. Abnormal activation of kinases has been shown to drive several key activities of cancer cells, including growth, survival, metabolism, cell motility and angiogenesis. Kinases may become abnormally activated through a number of mechanisms, including when: (1) a gene mutates creating a change in the resulting protein sequence; (2) chromosomes become rearranged creating a translocation or a fusion gene; or</w:t>
      </w:r>
    </w:p>
    <w:p>
      <w:pPr>
        <w:spacing w:after="0" w:line="2" w:lineRule="exact"/>
        <w:rPr>
          <w:sz w:val="20"/>
          <w:szCs w:val="20"/>
          <w:color w:val="auto"/>
        </w:rPr>
      </w:pPr>
    </w:p>
    <w:p>
      <w:pPr>
        <w:ind w:firstLine="3"/>
        <w:spacing w:after="0" w:line="184" w:lineRule="exact"/>
        <w:tabs>
          <w:tab w:leader="none" w:pos="255" w:val="left"/>
        </w:tabs>
        <w:numPr>
          <w:ilvl w:val="0"/>
          <w:numId w:val="6"/>
        </w:numPr>
        <w:rPr>
          <w:rFonts w:ascii="Arial" w:cs="Arial" w:eastAsia="Arial" w:hAnsi="Arial"/>
          <w:sz w:val="17"/>
          <w:szCs w:val="17"/>
          <w:color w:val="auto"/>
        </w:rPr>
      </w:pPr>
      <w:r>
        <w:rPr>
          <w:rFonts w:ascii="Arial" w:cs="Arial" w:eastAsia="Arial" w:hAnsi="Arial"/>
          <w:sz w:val="17"/>
          <w:szCs w:val="17"/>
          <w:color w:val="auto"/>
        </w:rPr>
        <w:t>excessive amounts of protein are created due to gene duplication or dysregulation leading to overexpression. There is a strong link between genomic alterations in kinases and disease, including specific forms of cancer and rare genetic diseases. Several kinases have been validated as oncogenes, which are genes that when altered can initiate and maintain cancer growth. Examples of oncogenes are ABL, EGFR, B</w:t>
      </w:r>
      <w:r>
        <w:rPr>
          <w:rFonts w:ascii="MS PGothic" w:cs="MS PGothic" w:eastAsia="MS PGothic" w:hAnsi="MS PGothic"/>
          <w:sz w:val="17"/>
          <w:szCs w:val="17"/>
          <w:color w:val="auto"/>
        </w:rPr>
        <w:t>‑</w:t>
      </w:r>
      <w:r>
        <w:rPr>
          <w:rFonts w:ascii="Arial" w:cs="Arial" w:eastAsia="Arial" w:hAnsi="Arial"/>
          <w:sz w:val="17"/>
          <w:szCs w:val="17"/>
          <w:color w:val="auto"/>
        </w:rPr>
        <w:t>RAF, ALK, BTK and JAK, among many others. Ongoing genomic analyses of tumor data sets continue to identify new roles for kinases as drivers of disease.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Despite these successes, many opportunities remain in kinase drug discovery and development.</w:t>
      </w:r>
    </w:p>
    <w:p>
      <w:pPr>
        <w:spacing w:after="0" w:line="185" w:lineRule="exact"/>
        <w:rPr>
          <w:sz w:val="20"/>
          <w:szCs w:val="20"/>
          <w:color w:val="auto"/>
        </w:rPr>
      </w:pPr>
    </w:p>
    <w:p>
      <w:pPr>
        <w:ind w:left="1300" w:right="80" w:hanging="325"/>
        <w:spacing w:after="0" w:line="189" w:lineRule="exact"/>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Identifying novel kinase drivers of disease. </w:t>
      </w:r>
      <w:r>
        <w:rPr>
          <w:rFonts w:ascii="Arial" w:cs="Arial" w:eastAsia="Arial" w:hAnsi="Arial"/>
          <w:sz w:val="18"/>
          <w:szCs w:val="18"/>
          <w:color w:val="auto"/>
        </w:rPr>
        <w:t>Very few kinases are the focus of approved drugs. Further,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function of the majority of the kinome still remains unexplored. Thus, there is substantial opportunity for developing novel and transformative therapies that target well</w:t>
      </w:r>
      <w:r>
        <w:rPr>
          <w:rFonts w:ascii="MS PGothic" w:cs="MS PGothic" w:eastAsia="MS PGothic" w:hAnsi="MS PGothic"/>
          <w:sz w:val="18"/>
          <w:szCs w:val="18"/>
          <w:color w:val="auto"/>
        </w:rPr>
        <w:t>‑</w:t>
      </w:r>
      <w:r>
        <w:rPr>
          <w:rFonts w:ascii="Arial" w:cs="Arial" w:eastAsia="Arial" w:hAnsi="Arial"/>
          <w:sz w:val="18"/>
          <w:szCs w:val="18"/>
          <w:color w:val="auto"/>
        </w:rPr>
        <w:t>characterized but currently difficult-to-drug kinases as well as KUBs.</w:t>
      </w:r>
    </w:p>
    <w:p>
      <w:pPr>
        <w:spacing w:after="0" w:line="162" w:lineRule="exact"/>
        <w:rPr>
          <w:rFonts w:ascii="Arial" w:cs="Arial" w:eastAsia="Arial" w:hAnsi="Arial"/>
          <w:sz w:val="18"/>
          <w:szCs w:val="18"/>
          <w:color w:val="auto"/>
        </w:rPr>
      </w:pPr>
    </w:p>
    <w:p>
      <w:pPr>
        <w:ind w:left="1300" w:right="100" w:hanging="325"/>
        <w:spacing w:after="0" w:line="182" w:lineRule="exact"/>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Crafting very selective kinase drugs. </w:t>
      </w:r>
      <w:r>
        <w:rPr>
          <w:rFonts w:ascii="Arial" w:cs="Arial" w:eastAsia="Arial" w:hAnsi="Arial"/>
          <w:sz w:val="17"/>
          <w:szCs w:val="17"/>
          <w:color w:val="auto"/>
        </w:rPr>
        <w:t>Due to the high degree of homology between kinases, specific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targeting of a given kinase can be challenging. Many of the approved kinase drugs inhibit multiple kinases and are referred to as multi</w:t>
      </w:r>
      <w:r>
        <w:rPr>
          <w:rFonts w:ascii="MS PGothic" w:cs="MS PGothic" w:eastAsia="MS PGothic" w:hAnsi="MS PGothic"/>
          <w:sz w:val="17"/>
          <w:szCs w:val="17"/>
          <w:color w:val="auto"/>
        </w:rPr>
        <w:t>‑</w:t>
      </w:r>
      <w:r>
        <w:rPr>
          <w:rFonts w:ascii="Arial" w:cs="Arial" w:eastAsia="Arial" w:hAnsi="Arial"/>
          <w:sz w:val="17"/>
          <w:szCs w:val="17"/>
          <w:color w:val="auto"/>
        </w:rPr>
        <w:t>kinase inhibitors. Due to inhibition of off</w:t>
      </w:r>
      <w:r>
        <w:rPr>
          <w:rFonts w:ascii="MS PGothic" w:cs="MS PGothic" w:eastAsia="MS PGothic" w:hAnsi="MS PGothic"/>
          <w:sz w:val="17"/>
          <w:szCs w:val="17"/>
          <w:color w:val="auto"/>
        </w:rPr>
        <w:t>‑</w:t>
      </w:r>
      <w:r>
        <w:rPr>
          <w:rFonts w:ascii="Arial" w:cs="Arial" w:eastAsia="Arial" w:hAnsi="Arial"/>
          <w:sz w:val="17"/>
          <w:szCs w:val="17"/>
          <w:color w:val="auto"/>
        </w:rPr>
        <w:t>target kinases, these multi</w:t>
      </w:r>
      <w:r>
        <w:rPr>
          <w:rFonts w:ascii="MS PGothic" w:cs="MS PGothic" w:eastAsia="MS PGothic" w:hAnsi="MS PGothic"/>
          <w:sz w:val="17"/>
          <w:szCs w:val="17"/>
          <w:color w:val="auto"/>
        </w:rPr>
        <w:t>‑</w:t>
      </w:r>
      <w:r>
        <w:rPr>
          <w:rFonts w:ascii="Arial" w:cs="Arial" w:eastAsia="Arial" w:hAnsi="Arial"/>
          <w:sz w:val="17"/>
          <w:szCs w:val="17"/>
          <w:color w:val="auto"/>
        </w:rPr>
        <w:t>kinase inhibitors often give rise to severe unwanted effects, which can negatively impact the ability to dose patients at sufficient levels to achieve optimal efficacy. We believe increasing selectivity will minimize off</w:t>
      </w:r>
      <w:r>
        <w:rPr>
          <w:rFonts w:ascii="MS PGothic" w:cs="MS PGothic" w:eastAsia="MS PGothic" w:hAnsi="MS PGothic"/>
          <w:sz w:val="17"/>
          <w:szCs w:val="17"/>
          <w:color w:val="auto"/>
        </w:rPr>
        <w:t>‑</w:t>
      </w:r>
      <w:r>
        <w:rPr>
          <w:rFonts w:ascii="Arial" w:cs="Arial" w:eastAsia="Arial" w:hAnsi="Arial"/>
          <w:sz w:val="17"/>
          <w:szCs w:val="17"/>
          <w:color w:val="auto"/>
        </w:rPr>
        <w:t>target toxicities and will improve efficacy by enabling higher dose levels and greater target inhibition. Further, combination therapies require that the drugs have non</w:t>
      </w:r>
      <w:r>
        <w:rPr>
          <w:rFonts w:ascii="MS PGothic" w:cs="MS PGothic" w:eastAsia="MS PGothic" w:hAnsi="MS PGothic"/>
          <w:sz w:val="17"/>
          <w:szCs w:val="17"/>
          <w:color w:val="auto"/>
        </w:rPr>
        <w:t>‑</w:t>
      </w:r>
      <w:r>
        <w:rPr>
          <w:rFonts w:ascii="Arial" w:cs="Arial" w:eastAsia="Arial" w:hAnsi="Arial"/>
          <w:sz w:val="17"/>
          <w:szCs w:val="17"/>
          <w:color w:val="auto"/>
        </w:rPr>
        <w:t>overlapping toxicities, which could be minimized with more selective agents.</w:t>
      </w:r>
    </w:p>
    <w:p>
      <w:pPr>
        <w:spacing w:after="0" w:line="167" w:lineRule="exact"/>
        <w:rPr>
          <w:rFonts w:ascii="Arial" w:cs="Arial" w:eastAsia="Arial" w:hAnsi="Arial"/>
          <w:sz w:val="17"/>
          <w:szCs w:val="17"/>
          <w:color w:val="auto"/>
        </w:rPr>
      </w:pPr>
    </w:p>
    <w:p>
      <w:pPr>
        <w:ind w:left="1300" w:right="60" w:hanging="325"/>
        <w:spacing w:after="0" w:line="185" w:lineRule="exact"/>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Generating novel chemical matter required to target difficult</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to</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 xml:space="preserve">drug kinases. </w:t>
      </w:r>
      <w:r>
        <w:rPr>
          <w:rFonts w:ascii="Arial" w:cs="Arial" w:eastAsia="Arial" w:hAnsi="Arial"/>
          <w:sz w:val="18"/>
          <w:szCs w:val="18"/>
          <w:color w:val="auto"/>
        </w:rPr>
        <w:t>Novel chemical matter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needed to address targets that are known but have proven difficult-to-drug. Pharmaceutical companies generally rely on known chemical families as the basis of drug discovery programs. Consequently, the vast majority of pharmaceutical companies have similar compound libraries. New approaches are needed to develop novel chemistry and differentiated libraries that can inhibit difficult</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drug kinases in alternate ways.</w:t>
      </w:r>
    </w:p>
    <w:p>
      <w:pPr>
        <w:spacing w:after="0" w:line="162" w:lineRule="exact"/>
        <w:rPr>
          <w:rFonts w:ascii="Arial" w:cs="Arial" w:eastAsia="Arial" w:hAnsi="Arial"/>
          <w:sz w:val="18"/>
          <w:szCs w:val="18"/>
          <w:color w:val="auto"/>
        </w:rPr>
      </w:pPr>
    </w:p>
    <w:p>
      <w:pPr>
        <w:ind w:left="1300" w:right="160" w:hanging="325"/>
        <w:spacing w:after="0" w:line="219"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Overcoming resistance mediated by the alteration of kinase targets. </w:t>
      </w:r>
      <w:r>
        <w:rPr>
          <w:rFonts w:ascii="Arial" w:cs="Arial" w:eastAsia="Arial" w:hAnsi="Arial"/>
          <w:sz w:val="18"/>
          <w:szCs w:val="18"/>
          <w:color w:val="auto"/>
        </w:rPr>
        <w:t>Most approved kinase inhibitors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only temporary disease control. Patients may relapse due to the emergence of on-target resistance mutations. Novel approaches are needed to predict and inhibit resistant mutants thus providing more durable clinical responses.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and Platform</w:t>
      </w:r>
    </w:p>
    <w:p>
      <w:pPr>
        <w:spacing w:after="0" w:line="189" w:lineRule="exact"/>
        <w:rPr>
          <w:sz w:val="20"/>
          <w:szCs w:val="20"/>
          <w:color w:val="auto"/>
        </w:rPr>
      </w:pPr>
    </w:p>
    <w:p>
      <w:pPr>
        <w:ind w:right="160" w:firstLine="648"/>
        <w:spacing w:after="0" w:line="226" w:lineRule="auto"/>
        <w:rPr>
          <w:sz w:val="20"/>
          <w:szCs w:val="20"/>
          <w:color w:val="auto"/>
        </w:rPr>
      </w:pPr>
      <w:r>
        <w:rPr>
          <w:rFonts w:ascii="Arial" w:cs="Arial" w:eastAsia="Arial" w:hAnsi="Arial"/>
          <w:sz w:val="17"/>
          <w:szCs w:val="17"/>
          <w:color w:val="auto"/>
        </w:rPr>
        <w:t>Our approach is to systematically and reproducibly identify kinases that are drivers of diseases in genomically defined patient populations and to craft drug candidates that provide significant and durable clinical responses to patients. This approach enables us to drug known kinase targets that have been difficult to inhibit selectively and also identify, characterize and design drug candidates to inhibit novel kinase targets. By focusing on diseases in genomically defined patient populations, we believe that we can quickly identify the patients most likely to respond, resulting in a more efficient development path with a greater likelihood of success.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approach is enabled by our drug discovery platform consisting of two pillars:</w:t>
      </w:r>
    </w:p>
    <w:p>
      <w:pPr>
        <w:spacing w:after="0" w:line="185" w:lineRule="exact"/>
        <w:rPr>
          <w:sz w:val="20"/>
          <w:szCs w:val="20"/>
          <w:color w:val="auto"/>
        </w:rPr>
      </w:pPr>
    </w:p>
    <w:p>
      <w:pPr>
        <w:ind w:left="4480" w:right="3140" w:hanging="3505"/>
        <w:spacing w:after="0" w:line="419" w:lineRule="exact"/>
        <w:tabs>
          <w:tab w:leader="none" w:pos="129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proprietary, highly</w:t>
      </w:r>
      <w:r>
        <w:rPr>
          <w:rFonts w:ascii="MS PGothic" w:cs="MS PGothic" w:eastAsia="MS PGothic" w:hAnsi="MS PGothic"/>
          <w:sz w:val="17"/>
          <w:szCs w:val="17"/>
          <w:color w:val="auto"/>
        </w:rPr>
        <w:t>‑</w:t>
      </w:r>
      <w:r>
        <w:rPr>
          <w:rFonts w:ascii="Arial" w:cs="Arial" w:eastAsia="Arial" w:hAnsi="Arial"/>
          <w:sz w:val="17"/>
          <w:szCs w:val="17"/>
          <w:color w:val="auto"/>
        </w:rPr>
        <w:t>annotated library of novel compounds; and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52070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300" w:right="280" w:hanging="325"/>
        <w:spacing w:after="0" w:line="235"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novel target discovery engine, which is a comprehensive process that interrogates kinase biology from many angles using genomics, structural biology and cell biology.</w:t>
      </w:r>
    </w:p>
    <w:p>
      <w:pPr>
        <w:spacing w:after="0" w:line="162" w:lineRule="exact"/>
        <w:rPr>
          <w:sz w:val="20"/>
          <w:szCs w:val="20"/>
          <w:color w:val="auto"/>
        </w:rPr>
      </w:pPr>
    </w:p>
    <w:p>
      <w:pPr>
        <w:ind w:right="80" w:firstLine="648"/>
        <w:spacing w:after="0" w:line="180" w:lineRule="exact"/>
        <w:rPr>
          <w:sz w:val="20"/>
          <w:szCs w:val="20"/>
          <w:color w:val="auto"/>
        </w:rPr>
      </w:pPr>
      <w:r>
        <w:rPr>
          <w:rFonts w:ascii="Arial" w:cs="Arial" w:eastAsia="Arial" w:hAnsi="Arial"/>
          <w:sz w:val="17"/>
          <w:szCs w:val="17"/>
          <w:color w:val="auto"/>
        </w:rPr>
        <w:t>Our proprietary compound library is a unique collection of small molecules designed and developed entirely in</w:t>
      </w:r>
      <w:r>
        <w:rPr>
          <w:rFonts w:ascii="MS PGothic" w:cs="MS PGothic" w:eastAsia="MS PGothic" w:hAnsi="MS PGothic"/>
          <w:sz w:val="17"/>
          <w:szCs w:val="17"/>
          <w:color w:val="auto"/>
        </w:rPr>
        <w:t>‑</w:t>
      </w:r>
      <w:r>
        <w:rPr>
          <w:rFonts w:ascii="Arial" w:cs="Arial" w:eastAsia="Arial" w:hAnsi="Arial"/>
          <w:sz w:val="17"/>
          <w:szCs w:val="17"/>
          <w:color w:val="auto"/>
        </w:rPr>
        <w:t>house by Blueprint Medicines’ scientists as kinase inhibitors and enriched for drug</w:t>
      </w:r>
      <w:r>
        <w:rPr>
          <w:rFonts w:ascii="MS PGothic" w:cs="MS PGothic" w:eastAsia="MS PGothic" w:hAnsi="MS PGothic"/>
          <w:sz w:val="17"/>
          <w:szCs w:val="17"/>
          <w:color w:val="auto"/>
        </w:rPr>
        <w:t>‑</w:t>
      </w:r>
      <w:r>
        <w:rPr>
          <w:rFonts w:ascii="Arial" w:cs="Arial" w:eastAsia="Arial" w:hAnsi="Arial"/>
          <w:sz w:val="17"/>
          <w:szCs w:val="17"/>
          <w:color w:val="auto"/>
        </w:rPr>
        <w:t>like properties. We do not owe royalties or other fees to any parties associated with our novel target discovery engine and our proprietary compound library. This provides high</w:t>
      </w:r>
      <w:r>
        <w:rPr>
          <w:rFonts w:ascii="MS PGothic" w:cs="MS PGothic" w:eastAsia="MS PGothic" w:hAnsi="MS PGothic"/>
          <w:sz w:val="17"/>
          <w:szCs w:val="17"/>
          <w:color w:val="auto"/>
        </w:rPr>
        <w:t>‑</w:t>
      </w:r>
      <w:r>
        <w:rPr>
          <w:rFonts w:ascii="Arial" w:cs="Arial" w:eastAsia="Arial" w:hAnsi="Arial"/>
          <w:sz w:val="17"/>
          <w:szCs w:val="17"/>
          <w:color w:val="auto"/>
        </w:rPr>
        <w:t>quality compounds to start kinase drug discovery programs and to use in identifying new kinase targets. The compounds were designed as kinase inhibitors without specific targets in mind, a design strategy that yielded a diversity of novel chemical structures that provide access to unique chemical matter. Each compound has been extensively characterized for binding to over 450 kinases and disease</w:t>
      </w:r>
      <w:r>
        <w:rPr>
          <w:rFonts w:ascii="MS PGothic" w:cs="MS PGothic" w:eastAsia="MS PGothic" w:hAnsi="MS PGothic"/>
          <w:sz w:val="17"/>
          <w:szCs w:val="17"/>
          <w:color w:val="auto"/>
        </w:rPr>
        <w:t>‑</w:t>
      </w:r>
      <w:r>
        <w:rPr>
          <w:rFonts w:ascii="Arial" w:cs="Arial" w:eastAsia="Arial" w:hAnsi="Arial"/>
          <w:sz w:val="17"/>
          <w:szCs w:val="17"/>
          <w:color w:val="auto"/>
        </w:rPr>
        <w:t>relevant kinase mutants, and the majority of known kinases are targeted by at least one compound family. Thus, this “annotated” compound library provides high</w:t>
      </w:r>
      <w:r>
        <w:rPr>
          <w:rFonts w:ascii="MS PGothic" w:cs="MS PGothic" w:eastAsia="MS PGothic" w:hAnsi="MS PGothic"/>
          <w:sz w:val="17"/>
          <w:szCs w:val="17"/>
          <w:color w:val="auto"/>
        </w:rPr>
        <w:t>‑</w:t>
      </w:r>
      <w:r>
        <w:rPr>
          <w:rFonts w:ascii="Arial" w:cs="Arial" w:eastAsia="Arial" w:hAnsi="Arial"/>
          <w:sz w:val="17"/>
          <w:szCs w:val="17"/>
          <w:color w:val="auto"/>
        </w:rPr>
        <w:t>quality medicinal chemistry starting points that enable quick</w:t>
      </w:r>
      <w:r>
        <w:rPr>
          <w:rFonts w:ascii="MS PGothic" w:cs="MS PGothic" w:eastAsia="MS PGothic" w:hAnsi="MS PGothic"/>
          <w:sz w:val="17"/>
          <w:szCs w:val="17"/>
          <w:color w:val="auto"/>
        </w:rPr>
        <w:t>‑</w:t>
      </w:r>
      <w:r>
        <w:rPr>
          <w:rFonts w:ascii="Arial" w:cs="Arial" w:eastAsia="Arial" w:hAnsi="Arial"/>
          <w:sz w:val="17"/>
          <w:szCs w:val="17"/>
          <w:color w:val="auto"/>
        </w:rPr>
        <w:t>starts to drug discovery programs, avoiding the expense and time spent running high throughput screens. Notably, our proprietary compound library has yielded high quality chemical starting points for previously difficult</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drug kinases. We have continued to expand our proprietary compound library to cover a significant portion of the kinome and anticipate that as part of our discovery efforts we will continue to increase the number of compound families that inhibit each kinase target.</w:t>
      </w:r>
    </w:p>
    <w:p>
      <w:pPr>
        <w:spacing w:after="0" w:line="169" w:lineRule="exact"/>
        <w:rPr>
          <w:sz w:val="20"/>
          <w:szCs w:val="20"/>
          <w:color w:val="auto"/>
        </w:rPr>
      </w:pPr>
    </w:p>
    <w:p>
      <w:pPr>
        <w:ind w:right="100" w:firstLine="648"/>
        <w:spacing w:after="0" w:line="194" w:lineRule="exact"/>
        <w:rPr>
          <w:sz w:val="20"/>
          <w:szCs w:val="20"/>
          <w:color w:val="auto"/>
        </w:rPr>
      </w:pPr>
      <w:r>
        <w:rPr>
          <w:rFonts w:ascii="Arial" w:cs="Arial" w:eastAsia="Arial" w:hAnsi="Arial"/>
          <w:sz w:val="18"/>
          <w:szCs w:val="18"/>
          <w:color w:val="auto"/>
        </w:rPr>
        <w:t>We have established a novel target discovery engine, which was developed entirely in</w:t>
      </w:r>
      <w:r>
        <w:rPr>
          <w:rFonts w:ascii="MS PGothic" w:cs="MS PGothic" w:eastAsia="MS PGothic" w:hAnsi="MS PGothic"/>
          <w:sz w:val="18"/>
          <w:szCs w:val="18"/>
          <w:color w:val="auto"/>
        </w:rPr>
        <w:t>‑</w:t>
      </w:r>
      <w:r>
        <w:rPr>
          <w:rFonts w:ascii="Arial" w:cs="Arial" w:eastAsia="Arial" w:hAnsi="Arial"/>
          <w:sz w:val="18"/>
          <w:szCs w:val="18"/>
          <w:color w:val="auto"/>
        </w:rPr>
        <w:t>house, to provide new insights into the biology of kinases as drivers of disease and to identify new kinase drug targets. There are two aspects to the novel target discovery engine:</w:t>
      </w:r>
    </w:p>
    <w:p>
      <w:pPr>
        <w:spacing w:after="0" w:line="163" w:lineRule="exact"/>
        <w:rPr>
          <w:sz w:val="20"/>
          <w:szCs w:val="20"/>
          <w:color w:val="auto"/>
        </w:rPr>
      </w:pPr>
    </w:p>
    <w:p>
      <w:pPr>
        <w:ind w:left="1300" w:right="80" w:hanging="325"/>
        <w:spacing w:after="0" w:line="185" w:lineRule="exact"/>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Genomics Approach to Identify Novel Kinase Targets. </w:t>
      </w:r>
      <w:r>
        <w:rPr>
          <w:rFonts w:ascii="Arial" w:cs="Arial" w:eastAsia="Arial" w:hAnsi="Arial"/>
          <w:sz w:val="18"/>
          <w:szCs w:val="18"/>
          <w:color w:val="auto"/>
        </w:rPr>
        <w:t>Our high</w:t>
      </w:r>
      <w:r>
        <w:rPr>
          <w:rFonts w:ascii="MS PGothic" w:cs="MS PGothic" w:eastAsia="MS PGothic" w:hAnsi="MS PGothic"/>
          <w:sz w:val="18"/>
          <w:szCs w:val="18"/>
          <w:color w:val="auto"/>
        </w:rPr>
        <w:t>‑</w:t>
      </w:r>
      <w:r>
        <w:rPr>
          <w:rFonts w:ascii="Arial" w:cs="Arial" w:eastAsia="Arial" w:hAnsi="Arial"/>
          <w:sz w:val="18"/>
          <w:szCs w:val="18"/>
          <w:color w:val="auto"/>
        </w:rPr>
        <w:t>capacity computing infrastructure allows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not only storage of very large genomic databases but also rapid analyses of these data using proprietary algorithms developed by our bioinformaticians. For example, using our proprietary kinase fusion detection algorithm to analyze human tumor sequences, we have identified both novel kinase fusions and new disease indications for several known kinase fusions. These results were published in </w:t>
      </w:r>
      <w:r>
        <w:rPr>
          <w:rFonts w:ascii="Arial" w:cs="Arial" w:eastAsia="Arial" w:hAnsi="Arial"/>
          <w:sz w:val="18"/>
          <w:szCs w:val="18"/>
          <w:i w:val="1"/>
          <w:iCs w:val="1"/>
          <w:color w:val="auto"/>
        </w:rPr>
        <w:t>Nature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Communications </w:t>
      </w:r>
      <w:r>
        <w:rPr>
          <w:rFonts w:ascii="Arial" w:cs="Arial" w:eastAsia="Arial" w:hAnsi="Arial"/>
          <w:sz w:val="18"/>
          <w:szCs w:val="18"/>
          <w:color w:val="auto"/>
        </w:rPr>
        <w:t>in 2014.</w:t>
      </w:r>
    </w:p>
    <w:p>
      <w:pPr>
        <w:spacing w:after="0" w:line="162" w:lineRule="exact"/>
        <w:rPr>
          <w:rFonts w:ascii="Arial" w:cs="Arial" w:eastAsia="Arial" w:hAnsi="Arial"/>
          <w:sz w:val="18"/>
          <w:szCs w:val="18"/>
          <w:color w:val="auto"/>
        </w:rPr>
      </w:pPr>
    </w:p>
    <w:p>
      <w:pPr>
        <w:ind w:left="1300" w:right="20" w:hanging="325"/>
        <w:spacing w:after="0" w:line="187" w:lineRule="exact"/>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Cell</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 xml:space="preserve">based Screens to Identify Novel Kinase Targets. </w:t>
      </w:r>
      <w:r>
        <w:rPr>
          <w:rFonts w:ascii="Arial" w:cs="Arial" w:eastAsia="Arial" w:hAnsi="Arial"/>
          <w:sz w:val="18"/>
          <w:szCs w:val="18"/>
          <w:color w:val="auto"/>
        </w:rPr>
        <w:t>In this approach, a subset of the compounds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proprietary compound library that exhibit remarkable potency and/or selectivity for one or a few kinases — our “tool compounds” — are used as probes in disease</w:t>
      </w:r>
      <w:r>
        <w:rPr>
          <w:rFonts w:ascii="MS PGothic" w:cs="MS PGothic" w:eastAsia="MS PGothic" w:hAnsi="MS PGothic"/>
          <w:sz w:val="18"/>
          <w:szCs w:val="18"/>
          <w:color w:val="auto"/>
        </w:rPr>
        <w:t>‑</w:t>
      </w:r>
      <w:r>
        <w:rPr>
          <w:rFonts w:ascii="Arial" w:cs="Arial" w:eastAsia="Arial" w:hAnsi="Arial"/>
          <w:sz w:val="18"/>
          <w:szCs w:val="18"/>
          <w:color w:val="auto"/>
        </w:rPr>
        <w:t>relevant cell</w:t>
      </w:r>
      <w:r>
        <w:rPr>
          <w:rFonts w:ascii="MS PGothic" w:cs="MS PGothic" w:eastAsia="MS PGothic" w:hAnsi="MS PGothic"/>
          <w:sz w:val="18"/>
          <w:szCs w:val="18"/>
          <w:color w:val="auto"/>
        </w:rPr>
        <w:t>‑</w:t>
      </w:r>
      <w:r>
        <w:rPr>
          <w:rFonts w:ascii="Arial" w:cs="Arial" w:eastAsia="Arial" w:hAnsi="Arial"/>
          <w:sz w:val="18"/>
          <w:szCs w:val="18"/>
          <w:color w:val="auto"/>
        </w:rPr>
        <w:t>based screens. Many of these tool compounds inhibit KUBs and thus allow us to evaluate potential roles for these relatively unexplored kinases in human disease.</w:t>
      </w:r>
    </w:p>
    <w:p>
      <w:pPr>
        <w:spacing w:after="0" w:line="162" w:lineRule="exact"/>
        <w:rPr>
          <w:sz w:val="20"/>
          <w:szCs w:val="20"/>
          <w:color w:val="auto"/>
        </w:rPr>
      </w:pPr>
    </w:p>
    <w:p>
      <w:pPr>
        <w:ind w:firstLine="648"/>
        <w:spacing w:after="0" w:line="183" w:lineRule="exact"/>
        <w:rPr>
          <w:sz w:val="20"/>
          <w:szCs w:val="20"/>
          <w:color w:val="auto"/>
        </w:rPr>
      </w:pPr>
      <w:r>
        <w:rPr>
          <w:rFonts w:ascii="Arial" w:cs="Arial" w:eastAsia="Arial" w:hAnsi="Arial"/>
          <w:sz w:val="18"/>
          <w:szCs w:val="18"/>
          <w:color w:val="auto"/>
        </w:rPr>
        <w:t>Another aspect of our novel discovery engine is predicting resistance mutations. Through our structural and cell biology expertise, we predict mutations in kinases that render the enzyme insensitive to inhibition by an approved drug or compound in development. While treatment of patients with genomically defined cancers with a targeted therapy typically results in a significant anti</w:t>
      </w:r>
      <w:r>
        <w:rPr>
          <w:rFonts w:ascii="MS PGothic" w:cs="MS PGothic" w:eastAsia="MS PGothic" w:hAnsi="MS PGothic"/>
          <w:sz w:val="18"/>
          <w:szCs w:val="18"/>
          <w:color w:val="auto"/>
        </w:rPr>
        <w:t>‑</w:t>
      </w:r>
      <w:r>
        <w:rPr>
          <w:rFonts w:ascii="Arial" w:cs="Arial" w:eastAsia="Arial" w:hAnsi="Arial"/>
          <w:sz w:val="18"/>
          <w:szCs w:val="18"/>
          <w:color w:val="auto"/>
        </w:rPr>
        <w:t>tumor response, frequently the response is not durable. In tumors driven by an activated kinase, kinase reactivation via mutation is a common mechanism of resistance. Using our structural biology and computational chemistry expertise, we predict what changes in the kinase might result in a resistant enzyme and then confirm this prediction in a relevant cell culture model.</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Programs</w:t>
      </w:r>
    </w:p>
    <w:p>
      <w:pPr>
        <w:spacing w:after="0" w:line="189"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We have leveraged our discovery platform to develop a robust drug pipeline of orally available, potent and selective small molecule kinase inhibitors that target genomic drivers in several cancers and a rare genetic disease. We currently own worldwide development and commercial rights to all of our pre-clinical and clinical programs other than any drug candidates being developed in our cancer immunotherapy collaboration with Roche. The following table summarizes our most advanced drug candidates as of February 15, 2018, each of which is described in further detail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118745</wp:posOffset>
            </wp:positionV>
            <wp:extent cx="4965700" cy="283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65700" cy="283210"/>
                    </a:xfrm>
                    <a:prstGeom prst="rect">
                      <a:avLst/>
                    </a:prstGeom>
                    <a:noFill/>
                  </pic:spPr>
                </pic:pic>
              </a:graphicData>
            </a:graphic>
          </wp:anchor>
        </w:drawing>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Drug Candidate</w:t>
      </w:r>
    </w:p>
    <w:p>
      <w:pPr>
        <w:spacing w:after="0" w:line="28" w:lineRule="exact"/>
        <w:rPr>
          <w:sz w:val="20"/>
          <w:szCs w:val="20"/>
          <w:color w:val="auto"/>
        </w:rPr>
      </w:pPr>
    </w:p>
    <w:p>
      <w:pPr>
        <w:ind w:left="300"/>
        <w:spacing w:after="0"/>
        <w:tabs>
          <w:tab w:leader="none" w:pos="2480" w:val="left"/>
          <w:tab w:leader="none" w:pos="4600" w:val="left"/>
          <w:tab w:leader="none" w:pos="6460" w:val="left"/>
        </w:tabs>
        <w:rPr>
          <w:sz w:val="20"/>
          <w:szCs w:val="20"/>
          <w:color w:val="auto"/>
        </w:rPr>
      </w:pPr>
      <w:r>
        <w:rPr>
          <w:rFonts w:ascii="Arial" w:cs="Arial" w:eastAsia="Arial" w:hAnsi="Arial"/>
          <w:sz w:val="14"/>
          <w:szCs w:val="14"/>
          <w:b w:val="1"/>
          <w:bCs w:val="1"/>
          <w:i w:val="1"/>
          <w:iCs w:val="1"/>
          <w:color w:val="auto"/>
        </w:rPr>
        <w:t>(Genomic Target)</w:t>
      </w:r>
      <w:r>
        <w:rPr>
          <w:sz w:val="20"/>
          <w:szCs w:val="20"/>
          <w:color w:val="auto"/>
        </w:rPr>
        <w:tab/>
      </w:r>
      <w:r>
        <w:rPr>
          <w:rFonts w:ascii="Arial" w:cs="Arial" w:eastAsia="Arial" w:hAnsi="Arial"/>
          <w:sz w:val="14"/>
          <w:szCs w:val="14"/>
          <w:b w:val="1"/>
          <w:bCs w:val="1"/>
          <w:color w:val="auto"/>
        </w:rPr>
        <w:t>Initial Diseases</w:t>
      </w:r>
      <w:r>
        <w:rPr>
          <w:sz w:val="20"/>
          <w:szCs w:val="20"/>
          <w:color w:val="auto"/>
        </w:rPr>
        <w:tab/>
      </w:r>
      <w:r>
        <w:rPr>
          <w:rFonts w:ascii="Arial" w:cs="Arial" w:eastAsia="Arial" w:hAnsi="Arial"/>
          <w:sz w:val="14"/>
          <w:szCs w:val="14"/>
          <w:b w:val="1"/>
          <w:bCs w:val="1"/>
          <w:color w:val="auto"/>
        </w:rPr>
        <w:t>Stage of Development</w:t>
      </w:r>
      <w:r>
        <w:rPr>
          <w:sz w:val="20"/>
          <w:szCs w:val="20"/>
          <w:color w:val="auto"/>
        </w:rPr>
        <w:tab/>
      </w:r>
      <w:r>
        <w:rPr>
          <w:rFonts w:ascii="Arial" w:cs="Arial" w:eastAsia="Arial" w:hAnsi="Arial"/>
          <w:sz w:val="13"/>
          <w:szCs w:val="13"/>
          <w:b w:val="1"/>
          <w:bCs w:val="1"/>
          <w:color w:val="auto"/>
        </w:rPr>
        <w:t>Commercial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4965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65700" cy="8890"/>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avapritinib</w:t>
      </w:r>
    </w:p>
    <w:p>
      <w:pPr>
        <w:spacing w:after="0" w:line="28" w:lineRule="exact"/>
        <w:rPr>
          <w:sz w:val="20"/>
          <w:szCs w:val="20"/>
          <w:color w:val="auto"/>
        </w:rPr>
      </w:pPr>
    </w:p>
    <w:p>
      <w:pPr>
        <w:ind w:left="200"/>
        <w:spacing w:after="0" w:line="269" w:lineRule="auto"/>
        <w:rPr>
          <w:sz w:val="20"/>
          <w:szCs w:val="20"/>
          <w:color w:val="auto"/>
        </w:rPr>
      </w:pPr>
      <w:r>
        <w:rPr>
          <w:rFonts w:ascii="Arial" w:cs="Arial" w:eastAsia="Arial" w:hAnsi="Arial"/>
          <w:sz w:val="13"/>
          <w:szCs w:val="13"/>
          <w:i w:val="1"/>
          <w:iCs w:val="1"/>
          <w:color w:val="auto"/>
        </w:rPr>
        <w:t>(KIT and PDGFRα mutations)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tabs>
          <w:tab w:leader="none" w:pos="2600" w:val="left"/>
          <w:tab w:leader="none" w:pos="4620" w:val="left"/>
        </w:tabs>
        <w:rPr>
          <w:sz w:val="20"/>
          <w:szCs w:val="20"/>
          <w:color w:val="auto"/>
        </w:rPr>
      </w:pPr>
      <w:r>
        <w:rPr>
          <w:rFonts w:ascii="Arial" w:cs="Arial" w:eastAsia="Arial" w:hAnsi="Arial"/>
          <w:sz w:val="14"/>
          <w:szCs w:val="14"/>
          <w:color w:val="auto"/>
        </w:rPr>
        <w:t>Advanced PDGFRα-driven GIST</w:t>
      </w:r>
      <w:r>
        <w:rPr>
          <w:sz w:val="20"/>
          <w:szCs w:val="20"/>
          <w:color w:val="auto"/>
        </w:rPr>
        <w:tab/>
      </w:r>
      <w:r>
        <w:rPr>
          <w:rFonts w:ascii="Arial" w:cs="Arial" w:eastAsia="Arial" w:hAnsi="Arial"/>
          <w:sz w:val="14"/>
          <w:szCs w:val="14"/>
          <w:color w:val="auto"/>
        </w:rPr>
        <w:t xml:space="preserve">Phase 1 enrolling </w:t>
      </w:r>
      <w:r>
        <w:rPr>
          <w:rFonts w:ascii="Arial" w:cs="Arial" w:eastAsia="Arial" w:hAnsi="Arial"/>
          <w:sz w:val="14"/>
          <w:szCs w:val="14"/>
          <w:i w:val="1"/>
          <w:iCs w:val="1"/>
          <w:color w:val="auto"/>
        </w:rPr>
        <w:t>(Navigator)</w:t>
      </w:r>
      <w:r>
        <w:rPr>
          <w:sz w:val="20"/>
          <w:szCs w:val="20"/>
          <w:color w:val="auto"/>
        </w:rPr>
        <w:tab/>
      </w:r>
      <w:r>
        <w:rPr>
          <w:rFonts w:ascii="Arial" w:cs="Arial" w:eastAsia="Arial" w:hAnsi="Arial"/>
          <w:sz w:val="13"/>
          <w:szCs w:val="13"/>
          <w:color w:val="auto"/>
        </w:rPr>
        <w:t>Blueprint Medicines</w:t>
      </w:r>
    </w:p>
    <w:p>
      <w:pPr>
        <w:spacing w:after="0" w:line="68" w:lineRule="exact"/>
        <w:rPr>
          <w:sz w:val="20"/>
          <w:szCs w:val="20"/>
          <w:color w:val="auto"/>
        </w:rPr>
      </w:pPr>
    </w:p>
    <w:p>
      <w:pPr>
        <w:spacing w:after="0"/>
        <w:tabs>
          <w:tab w:leader="none" w:pos="2600" w:val="left"/>
        </w:tabs>
        <w:rPr>
          <w:sz w:val="20"/>
          <w:szCs w:val="20"/>
          <w:color w:val="auto"/>
        </w:rPr>
      </w:pPr>
      <w:r>
        <w:rPr>
          <w:rFonts w:ascii="Arial" w:cs="Arial" w:eastAsia="Arial" w:hAnsi="Arial"/>
          <w:sz w:val="14"/>
          <w:szCs w:val="14"/>
          <w:color w:val="auto"/>
        </w:rPr>
        <w:t>Advanced KIT-driven GIST (second line</w:t>
      </w:r>
      <w:r>
        <w:rPr>
          <w:sz w:val="20"/>
          <w:szCs w:val="20"/>
          <w:color w:val="auto"/>
        </w:rPr>
        <w:tab/>
      </w:r>
      <w:r>
        <w:rPr>
          <w:rFonts w:ascii="Arial" w:cs="Arial" w:eastAsia="Arial" w:hAnsi="Arial"/>
          <w:sz w:val="13"/>
          <w:szCs w:val="13"/>
          <w:color w:val="auto"/>
        </w:rPr>
        <w:t xml:space="preserve">Phase 1 enrolling </w:t>
      </w:r>
      <w:r>
        <w:rPr>
          <w:rFonts w:ascii="Arial" w:cs="Arial" w:eastAsia="Arial" w:hAnsi="Arial"/>
          <w:sz w:val="13"/>
          <w:szCs w:val="13"/>
          <w:i w:val="1"/>
          <w:iCs w:val="1"/>
          <w:color w:val="auto"/>
        </w:rPr>
        <w:t>(Navigator)</w:t>
      </w:r>
    </w:p>
    <w:p>
      <w:pPr>
        <w:spacing w:after="0"/>
        <w:rPr>
          <w:sz w:val="20"/>
          <w:szCs w:val="20"/>
          <w:color w:val="auto"/>
        </w:rPr>
      </w:pPr>
      <w:r>
        <w:rPr>
          <w:rFonts w:ascii="Arial" w:cs="Arial" w:eastAsia="Arial" w:hAnsi="Arial"/>
          <w:sz w:val="14"/>
          <w:szCs w:val="14"/>
          <w:color w:val="auto"/>
        </w:rPr>
        <w:t>and ≥ third line)</w:t>
      </w:r>
    </w:p>
    <w:p>
      <w:pPr>
        <w:spacing w:after="0" w:line="70" w:lineRule="exact"/>
        <w:rPr>
          <w:sz w:val="20"/>
          <w:szCs w:val="20"/>
          <w:color w:val="auto"/>
        </w:rPr>
      </w:pPr>
    </w:p>
    <w:p>
      <w:pPr>
        <w:sectPr>
          <w:pgSz w:w="11900" w:h="16838" w:orient="portrait"/>
          <w:cols w:equalWidth="0" w:num="2">
            <w:col w:w="1300" w:space="400"/>
            <w:col w:w="7340"/>
          </w:cols>
          <w:pgMar w:left="1420" w:top="111" w:right="14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1620" w:type="dxa"/>
            <w:vAlign w:val="bottom"/>
          </w:tcPr>
          <w:p>
            <w:pPr>
              <w:spacing w:after="0"/>
              <w:rPr>
                <w:sz w:val="15"/>
                <w:szCs w:val="15"/>
                <w:color w:val="auto"/>
              </w:rPr>
            </w:pPr>
          </w:p>
        </w:tc>
        <w:tc>
          <w:tcPr>
            <w:tcW w:w="2200" w:type="dxa"/>
            <w:vAlign w:val="bottom"/>
          </w:tcPr>
          <w:p>
            <w:pPr>
              <w:ind w:left="80"/>
              <w:spacing w:after="0"/>
              <w:rPr>
                <w:sz w:val="20"/>
                <w:szCs w:val="20"/>
                <w:color w:val="auto"/>
              </w:rPr>
            </w:pPr>
            <w:r>
              <w:rPr>
                <w:rFonts w:ascii="Arial" w:cs="Arial" w:eastAsia="Arial" w:hAnsi="Arial"/>
                <w:sz w:val="14"/>
                <w:szCs w:val="14"/>
                <w:color w:val="auto"/>
              </w:rPr>
              <w:t>Advanced GIST (third line)</w:t>
            </w:r>
          </w:p>
        </w:tc>
        <w:tc>
          <w:tcPr>
            <w:tcW w:w="2440" w:type="dxa"/>
            <w:vAlign w:val="bottom"/>
          </w:tcPr>
          <w:p>
            <w:pPr>
              <w:ind w:left="500"/>
              <w:spacing w:after="0"/>
              <w:rPr>
                <w:sz w:val="20"/>
                <w:szCs w:val="20"/>
                <w:color w:val="auto"/>
              </w:rPr>
            </w:pPr>
            <w:r>
              <w:rPr>
                <w:rFonts w:ascii="Arial" w:cs="Arial" w:eastAsia="Arial" w:hAnsi="Arial"/>
                <w:sz w:val="14"/>
                <w:szCs w:val="14"/>
                <w:color w:val="auto"/>
              </w:rPr>
              <w:t xml:space="preserve">Phase 3 planned </w:t>
            </w:r>
            <w:r>
              <w:rPr>
                <w:rFonts w:ascii="Arial" w:cs="Arial" w:eastAsia="Arial" w:hAnsi="Arial"/>
                <w:sz w:val="14"/>
                <w:szCs w:val="14"/>
                <w:i w:val="1"/>
                <w:iCs w:val="1"/>
                <w:color w:val="auto"/>
              </w:rPr>
              <w:t>(Voyager)</w:t>
            </w:r>
          </w:p>
        </w:tc>
        <w:tc>
          <w:tcPr>
            <w:tcW w:w="1560" w:type="dxa"/>
            <w:vAlign w:val="bottom"/>
          </w:tcPr>
          <w:p>
            <w:pPr>
              <w:spacing w:after="0"/>
              <w:rPr>
                <w:sz w:val="15"/>
                <w:szCs w:val="15"/>
                <w:color w:val="auto"/>
              </w:rPr>
            </w:pPr>
          </w:p>
        </w:tc>
      </w:tr>
      <w:tr>
        <w:trPr>
          <w:trHeight w:val="39"/>
        </w:trPr>
        <w:tc>
          <w:tcPr>
            <w:tcW w:w="1620" w:type="dxa"/>
            <w:vAlign w:val="bottom"/>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1560" w:type="dxa"/>
            <w:vAlign w:val="bottom"/>
          </w:tcPr>
          <w:p>
            <w:pPr>
              <w:spacing w:after="0"/>
              <w:rPr>
                <w:sz w:val="3"/>
                <w:szCs w:val="3"/>
                <w:color w:val="auto"/>
              </w:rPr>
            </w:pPr>
          </w:p>
        </w:tc>
      </w:tr>
      <w:tr>
        <w:trPr>
          <w:trHeight w:val="198"/>
        </w:trPr>
        <w:tc>
          <w:tcPr>
            <w:tcW w:w="1620" w:type="dxa"/>
            <w:vAlign w:val="bottom"/>
          </w:tcPr>
          <w:p>
            <w:pPr>
              <w:spacing w:after="0"/>
              <w:rPr>
                <w:sz w:val="17"/>
                <w:szCs w:val="17"/>
                <w:color w:val="auto"/>
              </w:rPr>
            </w:pPr>
          </w:p>
        </w:tc>
        <w:tc>
          <w:tcPr>
            <w:tcW w:w="2200" w:type="dxa"/>
            <w:vAlign w:val="bottom"/>
          </w:tcPr>
          <w:p>
            <w:pPr>
              <w:ind w:left="80"/>
              <w:spacing w:after="0"/>
              <w:rPr>
                <w:sz w:val="20"/>
                <w:szCs w:val="20"/>
                <w:color w:val="auto"/>
              </w:rPr>
            </w:pPr>
            <w:r>
              <w:rPr>
                <w:rFonts w:ascii="Arial" w:cs="Arial" w:eastAsia="Arial" w:hAnsi="Arial"/>
                <w:sz w:val="14"/>
                <w:szCs w:val="14"/>
                <w:color w:val="auto"/>
              </w:rPr>
              <w:t>Advanced SM</w:t>
            </w:r>
          </w:p>
        </w:tc>
        <w:tc>
          <w:tcPr>
            <w:tcW w:w="2440" w:type="dxa"/>
            <w:vAlign w:val="bottom"/>
          </w:tcPr>
          <w:p>
            <w:pPr>
              <w:ind w:left="500"/>
              <w:spacing w:after="0"/>
              <w:rPr>
                <w:sz w:val="20"/>
                <w:szCs w:val="20"/>
                <w:color w:val="auto"/>
              </w:rPr>
            </w:pPr>
            <w:r>
              <w:rPr>
                <w:rFonts w:ascii="Arial" w:cs="Arial" w:eastAsia="Arial" w:hAnsi="Arial"/>
                <w:sz w:val="14"/>
                <w:szCs w:val="14"/>
                <w:color w:val="auto"/>
              </w:rPr>
              <w:t xml:space="preserve">Phase 1 enrolling </w:t>
            </w:r>
            <w:r>
              <w:rPr>
                <w:rFonts w:ascii="Arial" w:cs="Arial" w:eastAsia="Arial" w:hAnsi="Arial"/>
                <w:sz w:val="14"/>
                <w:szCs w:val="14"/>
                <w:i w:val="1"/>
                <w:iCs w:val="1"/>
                <w:color w:val="auto"/>
              </w:rPr>
              <w:t>(Explorer)</w:t>
            </w:r>
          </w:p>
        </w:tc>
        <w:tc>
          <w:tcPr>
            <w:tcW w:w="1560" w:type="dxa"/>
            <w:vAlign w:val="bottom"/>
          </w:tcPr>
          <w:p>
            <w:pPr>
              <w:spacing w:after="0"/>
              <w:rPr>
                <w:sz w:val="17"/>
                <w:szCs w:val="17"/>
                <w:color w:val="auto"/>
              </w:rPr>
            </w:pPr>
          </w:p>
        </w:tc>
      </w:tr>
      <w:tr>
        <w:trPr>
          <w:trHeight w:val="243"/>
        </w:trPr>
        <w:tc>
          <w:tcPr>
            <w:tcW w:w="1620" w:type="dxa"/>
            <w:vAlign w:val="bottom"/>
          </w:tcPr>
          <w:p>
            <w:pPr>
              <w:spacing w:after="0"/>
              <w:rPr>
                <w:sz w:val="21"/>
                <w:szCs w:val="21"/>
                <w:color w:val="auto"/>
              </w:rPr>
            </w:pPr>
          </w:p>
        </w:tc>
        <w:tc>
          <w:tcPr>
            <w:tcW w:w="2200" w:type="dxa"/>
            <w:vAlign w:val="bottom"/>
          </w:tcPr>
          <w:p>
            <w:pPr>
              <w:ind w:left="80"/>
              <w:spacing w:after="0"/>
              <w:rPr>
                <w:sz w:val="20"/>
                <w:szCs w:val="20"/>
                <w:color w:val="auto"/>
              </w:rPr>
            </w:pPr>
            <w:r>
              <w:rPr>
                <w:rFonts w:ascii="Arial" w:cs="Arial" w:eastAsia="Arial" w:hAnsi="Arial"/>
                <w:sz w:val="14"/>
                <w:szCs w:val="14"/>
                <w:color w:val="auto"/>
              </w:rPr>
              <w:t>Advanced SM</w:t>
            </w:r>
          </w:p>
        </w:tc>
        <w:tc>
          <w:tcPr>
            <w:tcW w:w="2440" w:type="dxa"/>
            <w:vAlign w:val="bottom"/>
          </w:tcPr>
          <w:p>
            <w:pPr>
              <w:ind w:left="500"/>
              <w:spacing w:after="0"/>
              <w:rPr>
                <w:sz w:val="20"/>
                <w:szCs w:val="20"/>
                <w:color w:val="auto"/>
              </w:rPr>
            </w:pPr>
            <w:r>
              <w:rPr>
                <w:rFonts w:ascii="Arial" w:cs="Arial" w:eastAsia="Arial" w:hAnsi="Arial"/>
                <w:sz w:val="14"/>
                <w:szCs w:val="14"/>
                <w:color w:val="auto"/>
              </w:rPr>
              <w:t>Phase 2 planned</w:t>
            </w:r>
          </w:p>
        </w:tc>
        <w:tc>
          <w:tcPr>
            <w:tcW w:w="1560" w:type="dxa"/>
            <w:vAlign w:val="bottom"/>
          </w:tcPr>
          <w:p>
            <w:pPr>
              <w:spacing w:after="0"/>
              <w:rPr>
                <w:sz w:val="21"/>
                <w:szCs w:val="21"/>
                <w:color w:val="auto"/>
              </w:rPr>
            </w:pPr>
          </w:p>
        </w:tc>
      </w:tr>
      <w:tr>
        <w:trPr>
          <w:trHeight w:val="243"/>
        </w:trPr>
        <w:tc>
          <w:tcPr>
            <w:tcW w:w="1620" w:type="dxa"/>
            <w:vAlign w:val="bottom"/>
          </w:tcPr>
          <w:p>
            <w:pPr>
              <w:spacing w:after="0"/>
              <w:rPr>
                <w:sz w:val="21"/>
                <w:szCs w:val="21"/>
                <w:color w:val="auto"/>
              </w:rPr>
            </w:pPr>
          </w:p>
        </w:tc>
        <w:tc>
          <w:tcPr>
            <w:tcW w:w="2200" w:type="dxa"/>
            <w:vAlign w:val="bottom"/>
          </w:tcPr>
          <w:p>
            <w:pPr>
              <w:ind w:left="80"/>
              <w:spacing w:after="0"/>
              <w:rPr>
                <w:sz w:val="20"/>
                <w:szCs w:val="20"/>
                <w:color w:val="auto"/>
              </w:rPr>
            </w:pPr>
            <w:r>
              <w:rPr>
                <w:rFonts w:ascii="Arial" w:cs="Arial" w:eastAsia="Arial" w:hAnsi="Arial"/>
                <w:sz w:val="14"/>
                <w:szCs w:val="14"/>
                <w:color w:val="auto"/>
              </w:rPr>
              <w:t>Indolent and smoldering SM</w:t>
            </w:r>
          </w:p>
        </w:tc>
        <w:tc>
          <w:tcPr>
            <w:tcW w:w="2440" w:type="dxa"/>
            <w:vAlign w:val="bottom"/>
          </w:tcPr>
          <w:p>
            <w:pPr>
              <w:ind w:left="500"/>
              <w:spacing w:after="0"/>
              <w:rPr>
                <w:sz w:val="20"/>
                <w:szCs w:val="20"/>
                <w:color w:val="auto"/>
              </w:rPr>
            </w:pPr>
            <w:r>
              <w:rPr>
                <w:rFonts w:ascii="Arial" w:cs="Arial" w:eastAsia="Arial" w:hAnsi="Arial"/>
                <w:sz w:val="14"/>
                <w:szCs w:val="14"/>
                <w:color w:val="auto"/>
              </w:rPr>
              <w:t>Phase 2 planned</w:t>
            </w:r>
          </w:p>
        </w:tc>
        <w:tc>
          <w:tcPr>
            <w:tcW w:w="1560" w:type="dxa"/>
            <w:vAlign w:val="bottom"/>
          </w:tcPr>
          <w:p>
            <w:pPr>
              <w:spacing w:after="0"/>
              <w:rPr>
                <w:sz w:val="21"/>
                <w:szCs w:val="21"/>
                <w:color w:val="auto"/>
              </w:rPr>
            </w:pPr>
          </w:p>
        </w:tc>
      </w:tr>
      <w:tr>
        <w:trPr>
          <w:trHeight w:val="39"/>
        </w:trPr>
        <w:tc>
          <w:tcPr>
            <w:tcW w:w="162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98"/>
        </w:trPr>
        <w:tc>
          <w:tcPr>
            <w:tcW w:w="1620" w:type="dxa"/>
            <w:vAlign w:val="bottom"/>
          </w:tcPr>
          <w:p>
            <w:pPr>
              <w:spacing w:after="0" w:line="161" w:lineRule="exact"/>
              <w:rPr>
                <w:sz w:val="20"/>
                <w:szCs w:val="20"/>
                <w:color w:val="auto"/>
              </w:rPr>
            </w:pPr>
            <w:r>
              <w:rPr>
                <w:rFonts w:ascii="Arial" w:cs="Arial" w:eastAsia="Arial" w:hAnsi="Arial"/>
                <w:sz w:val="14"/>
                <w:szCs w:val="14"/>
                <w:color w:val="auto"/>
              </w:rPr>
              <w:t>BLU</w:t>
            </w:r>
            <w:r>
              <w:rPr>
                <w:rFonts w:ascii="MS PGothic" w:cs="MS PGothic" w:eastAsia="MS PGothic" w:hAnsi="MS PGothic"/>
                <w:sz w:val="14"/>
                <w:szCs w:val="14"/>
                <w:color w:val="auto"/>
              </w:rPr>
              <w:t>‑</w:t>
            </w:r>
            <w:r>
              <w:rPr>
                <w:rFonts w:ascii="Arial" w:cs="Arial" w:eastAsia="Arial" w:hAnsi="Arial"/>
                <w:sz w:val="14"/>
                <w:szCs w:val="14"/>
                <w:color w:val="auto"/>
              </w:rPr>
              <w:t>554</w:t>
            </w:r>
          </w:p>
        </w:tc>
        <w:tc>
          <w:tcPr>
            <w:tcW w:w="2200" w:type="dxa"/>
            <w:vAlign w:val="bottom"/>
          </w:tcPr>
          <w:p>
            <w:pPr>
              <w:ind w:left="80"/>
              <w:spacing w:after="0"/>
              <w:rPr>
                <w:sz w:val="20"/>
                <w:szCs w:val="20"/>
                <w:color w:val="auto"/>
              </w:rPr>
            </w:pPr>
            <w:r>
              <w:rPr>
                <w:rFonts w:ascii="Arial" w:cs="Arial" w:eastAsia="Arial" w:hAnsi="Arial"/>
                <w:sz w:val="14"/>
                <w:szCs w:val="14"/>
                <w:color w:val="auto"/>
              </w:rPr>
              <w:t>Advanced HCC</w:t>
            </w:r>
          </w:p>
        </w:tc>
        <w:tc>
          <w:tcPr>
            <w:tcW w:w="2440" w:type="dxa"/>
            <w:vAlign w:val="bottom"/>
          </w:tcPr>
          <w:p>
            <w:pPr>
              <w:ind w:left="500"/>
              <w:spacing w:after="0"/>
              <w:rPr>
                <w:sz w:val="20"/>
                <w:szCs w:val="20"/>
                <w:color w:val="auto"/>
              </w:rPr>
            </w:pPr>
            <w:r>
              <w:rPr>
                <w:rFonts w:ascii="Arial" w:cs="Arial" w:eastAsia="Arial" w:hAnsi="Arial"/>
                <w:sz w:val="14"/>
                <w:szCs w:val="14"/>
                <w:color w:val="auto"/>
              </w:rPr>
              <w:t>Phase 1 enrolling</w:t>
            </w:r>
          </w:p>
        </w:tc>
        <w:tc>
          <w:tcPr>
            <w:tcW w:w="1560" w:type="dxa"/>
            <w:vAlign w:val="bottom"/>
          </w:tcPr>
          <w:p>
            <w:pPr>
              <w:ind w:left="80"/>
              <w:spacing w:after="0"/>
              <w:rPr>
                <w:sz w:val="20"/>
                <w:szCs w:val="20"/>
                <w:color w:val="auto"/>
              </w:rPr>
            </w:pPr>
            <w:r>
              <w:rPr>
                <w:rFonts w:ascii="Arial" w:cs="Arial" w:eastAsia="Arial" w:hAnsi="Arial"/>
                <w:sz w:val="14"/>
                <w:szCs w:val="14"/>
                <w:color w:val="auto"/>
              </w:rPr>
              <w:t>Blueprint Medicines</w:t>
            </w:r>
          </w:p>
        </w:tc>
      </w:tr>
      <w:tr>
        <w:trPr>
          <w:trHeight w:val="147"/>
        </w:trPr>
        <w:tc>
          <w:tcPr>
            <w:tcW w:w="1620" w:type="dxa"/>
            <w:vAlign w:val="bottom"/>
          </w:tcPr>
          <w:p>
            <w:pPr>
              <w:ind w:left="200"/>
              <w:spacing w:after="0" w:line="147" w:lineRule="exact"/>
              <w:rPr>
                <w:sz w:val="20"/>
                <w:szCs w:val="20"/>
                <w:color w:val="auto"/>
              </w:rPr>
            </w:pPr>
            <w:r>
              <w:rPr>
                <w:rFonts w:ascii="Arial" w:cs="Arial" w:eastAsia="Arial" w:hAnsi="Arial"/>
                <w:sz w:val="14"/>
                <w:szCs w:val="14"/>
                <w:i w:val="1"/>
                <w:iCs w:val="1"/>
                <w:color w:val="auto"/>
              </w:rPr>
              <w:t>(aberrantly activated</w:t>
            </w:r>
          </w:p>
        </w:tc>
        <w:tc>
          <w:tcPr>
            <w:tcW w:w="22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82"/>
        </w:trPr>
        <w:tc>
          <w:tcPr>
            <w:tcW w:w="1620" w:type="dxa"/>
            <w:vAlign w:val="bottom"/>
          </w:tcPr>
          <w:p>
            <w:pPr>
              <w:ind w:left="200"/>
              <w:spacing w:after="0"/>
              <w:rPr>
                <w:sz w:val="20"/>
                <w:szCs w:val="20"/>
                <w:color w:val="auto"/>
              </w:rPr>
            </w:pPr>
            <w:r>
              <w:rPr>
                <w:rFonts w:ascii="Arial" w:cs="Arial" w:eastAsia="Arial" w:hAnsi="Arial"/>
                <w:sz w:val="14"/>
                <w:szCs w:val="14"/>
                <w:i w:val="1"/>
                <w:iCs w:val="1"/>
                <w:color w:val="auto"/>
              </w:rPr>
              <w:t>FGFR4)</w:t>
            </w:r>
          </w:p>
        </w:tc>
        <w:tc>
          <w:tcPr>
            <w:tcW w:w="22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4965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65700" cy="8890"/>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type w:val="continuous"/>
        </w:sectPr>
      </w:pP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BLU-667</w:t>
      </w:r>
    </w:p>
    <w:p>
      <w:pPr>
        <w:spacing w:after="0" w:line="28" w:lineRule="exact"/>
        <w:rPr>
          <w:sz w:val="20"/>
          <w:szCs w:val="20"/>
          <w:color w:val="auto"/>
        </w:rPr>
      </w:pPr>
    </w:p>
    <w:p>
      <w:pPr>
        <w:jc w:val="both"/>
        <w:ind w:left="200"/>
        <w:spacing w:after="0" w:line="273" w:lineRule="auto"/>
        <w:rPr>
          <w:sz w:val="20"/>
          <w:szCs w:val="20"/>
          <w:color w:val="auto"/>
        </w:rPr>
      </w:pPr>
      <w:r>
        <w:rPr>
          <w:rFonts w:ascii="Arial" w:cs="Arial" w:eastAsia="Arial" w:hAnsi="Arial"/>
          <w:sz w:val="12"/>
          <w:szCs w:val="12"/>
          <w:i w:val="1"/>
          <w:iCs w:val="1"/>
          <w:color w:val="auto"/>
        </w:rPr>
        <w:t>(RET fusions, mutations and predicted resistant mutants)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tabs>
          <w:tab w:leader="none" w:pos="2600" w:val="left"/>
          <w:tab w:leader="none" w:pos="4620" w:val="left"/>
        </w:tabs>
        <w:rPr>
          <w:sz w:val="20"/>
          <w:szCs w:val="20"/>
          <w:color w:val="auto"/>
        </w:rPr>
      </w:pPr>
      <w:r>
        <w:rPr>
          <w:rFonts w:ascii="Arial" w:cs="Arial" w:eastAsia="Arial" w:hAnsi="Arial"/>
          <w:sz w:val="14"/>
          <w:szCs w:val="14"/>
          <w:color w:val="auto"/>
        </w:rPr>
        <w:t>Advanced NSCLC, MTC and other</w:t>
      </w:r>
      <w:r>
        <w:rPr>
          <w:sz w:val="20"/>
          <w:szCs w:val="20"/>
          <w:color w:val="auto"/>
        </w:rPr>
        <w:tab/>
      </w:r>
      <w:r>
        <w:rPr>
          <w:rFonts w:ascii="Arial" w:cs="Arial" w:eastAsia="Arial" w:hAnsi="Arial"/>
          <w:sz w:val="14"/>
          <w:szCs w:val="14"/>
          <w:color w:val="auto"/>
        </w:rPr>
        <w:t>Phase 1 enrolling</w:t>
      </w:r>
      <w:r>
        <w:rPr>
          <w:sz w:val="20"/>
          <w:szCs w:val="20"/>
          <w:color w:val="auto"/>
        </w:rPr>
        <w:tab/>
      </w:r>
      <w:r>
        <w:rPr>
          <w:rFonts w:ascii="Arial" w:cs="Arial" w:eastAsia="Arial" w:hAnsi="Arial"/>
          <w:sz w:val="13"/>
          <w:szCs w:val="13"/>
          <w:color w:val="auto"/>
        </w:rPr>
        <w:t>Blueprint Medicines</w:t>
      </w:r>
    </w:p>
    <w:p>
      <w:pPr>
        <w:spacing w:after="0"/>
        <w:rPr>
          <w:sz w:val="20"/>
          <w:szCs w:val="20"/>
          <w:color w:val="auto"/>
        </w:rPr>
      </w:pPr>
      <w:r>
        <w:rPr>
          <w:rFonts w:ascii="Arial" w:cs="Arial" w:eastAsia="Arial" w:hAnsi="Arial"/>
          <w:sz w:val="14"/>
          <w:szCs w:val="14"/>
          <w:color w:val="auto"/>
        </w:rPr>
        <w:t>advanced solid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236220</wp:posOffset>
            </wp:positionV>
            <wp:extent cx="4965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65700" cy="8890"/>
                    </a:xfrm>
                    <a:prstGeom prst="rect">
                      <a:avLst/>
                    </a:prstGeom>
                    <a:noFill/>
                  </pic:spPr>
                </pic:pic>
              </a:graphicData>
            </a:graphic>
          </wp:anchor>
        </w:drawing>
      </w:r>
    </w:p>
    <w:p>
      <w:pPr>
        <w:spacing w:after="0" w:line="407" w:lineRule="exact"/>
        <w:rPr>
          <w:sz w:val="20"/>
          <w:szCs w:val="20"/>
          <w:color w:val="auto"/>
        </w:rPr>
      </w:pPr>
    </w:p>
    <w:p>
      <w:pPr>
        <w:sectPr>
          <w:pgSz w:w="11900" w:h="16838" w:orient="portrait"/>
          <w:cols w:equalWidth="0" w:num="2">
            <w:col w:w="1580" w:space="120"/>
            <w:col w:w="7340"/>
          </w:cols>
          <w:pgMar w:left="1420" w:top="111" w:right="14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1620" w:type="dxa"/>
            <w:vAlign w:val="bottom"/>
          </w:tcPr>
          <w:p>
            <w:pPr>
              <w:spacing w:after="0"/>
              <w:rPr>
                <w:sz w:val="20"/>
                <w:szCs w:val="20"/>
                <w:color w:val="auto"/>
              </w:rPr>
            </w:pPr>
            <w:r>
              <w:rPr>
                <w:rFonts w:ascii="Arial" w:cs="Arial" w:eastAsia="Arial" w:hAnsi="Arial"/>
                <w:sz w:val="14"/>
                <w:szCs w:val="14"/>
                <w:color w:val="auto"/>
              </w:rPr>
              <w:t>BLU-782</w:t>
            </w:r>
          </w:p>
        </w:tc>
        <w:tc>
          <w:tcPr>
            <w:tcW w:w="1660" w:type="dxa"/>
            <w:vAlign w:val="bottom"/>
          </w:tcPr>
          <w:p>
            <w:pPr>
              <w:ind w:left="80"/>
              <w:spacing w:after="0"/>
              <w:rPr>
                <w:sz w:val="20"/>
                <w:szCs w:val="20"/>
                <w:color w:val="auto"/>
              </w:rPr>
            </w:pPr>
            <w:r>
              <w:rPr>
                <w:rFonts w:ascii="Arial" w:cs="Arial" w:eastAsia="Arial" w:hAnsi="Arial"/>
                <w:sz w:val="14"/>
                <w:szCs w:val="14"/>
                <w:color w:val="auto"/>
              </w:rPr>
              <w:t>FOP</w:t>
            </w:r>
          </w:p>
        </w:tc>
        <w:tc>
          <w:tcPr>
            <w:tcW w:w="2980" w:type="dxa"/>
            <w:vAlign w:val="bottom"/>
          </w:tcPr>
          <w:p>
            <w:pPr>
              <w:ind w:left="1040"/>
              <w:spacing w:after="0"/>
              <w:rPr>
                <w:sz w:val="20"/>
                <w:szCs w:val="20"/>
                <w:color w:val="auto"/>
              </w:rPr>
            </w:pPr>
            <w:r>
              <w:rPr>
                <w:rFonts w:ascii="Arial" w:cs="Arial" w:eastAsia="Arial" w:hAnsi="Arial"/>
                <w:sz w:val="14"/>
                <w:szCs w:val="14"/>
                <w:color w:val="auto"/>
                <w:w w:val="94"/>
              </w:rPr>
              <w:t>Development candidate selected</w:t>
            </w:r>
          </w:p>
        </w:tc>
        <w:tc>
          <w:tcPr>
            <w:tcW w:w="1560" w:type="dxa"/>
            <w:vAlign w:val="bottom"/>
          </w:tcPr>
          <w:p>
            <w:pPr>
              <w:ind w:left="80"/>
              <w:spacing w:after="0"/>
              <w:rPr>
                <w:sz w:val="20"/>
                <w:szCs w:val="20"/>
                <w:color w:val="auto"/>
              </w:rPr>
            </w:pPr>
            <w:r>
              <w:rPr>
                <w:rFonts w:ascii="Arial" w:cs="Arial" w:eastAsia="Arial" w:hAnsi="Arial"/>
                <w:sz w:val="14"/>
                <w:szCs w:val="14"/>
                <w:color w:val="auto"/>
              </w:rPr>
              <w:t>Blueprint Medicines</w:t>
            </w:r>
          </w:p>
        </w:tc>
      </w:tr>
      <w:tr>
        <w:trPr>
          <w:trHeight w:val="189"/>
        </w:trPr>
        <w:tc>
          <w:tcPr>
            <w:tcW w:w="1620" w:type="dxa"/>
            <w:vAlign w:val="bottom"/>
          </w:tcPr>
          <w:p>
            <w:pPr>
              <w:ind w:left="200"/>
              <w:spacing w:after="0"/>
              <w:rPr>
                <w:sz w:val="20"/>
                <w:szCs w:val="20"/>
                <w:color w:val="auto"/>
              </w:rPr>
            </w:pPr>
            <w:r>
              <w:rPr>
                <w:rFonts w:ascii="Arial" w:cs="Arial" w:eastAsia="Arial" w:hAnsi="Arial"/>
                <w:sz w:val="14"/>
                <w:szCs w:val="14"/>
                <w:i w:val="1"/>
                <w:iCs w:val="1"/>
                <w:color w:val="auto"/>
              </w:rPr>
              <w:t>(ALK2 mutations)</w:t>
            </w:r>
          </w:p>
        </w:tc>
        <w:tc>
          <w:tcPr>
            <w:tcW w:w="16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9"/>
        </w:trPr>
        <w:tc>
          <w:tcPr>
            <w:tcW w:w="16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29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98"/>
        </w:trPr>
        <w:tc>
          <w:tcPr>
            <w:tcW w:w="1620" w:type="dxa"/>
            <w:vAlign w:val="bottom"/>
          </w:tcPr>
          <w:p>
            <w:pPr>
              <w:spacing w:after="0"/>
              <w:rPr>
                <w:sz w:val="20"/>
                <w:szCs w:val="20"/>
                <w:color w:val="auto"/>
              </w:rPr>
            </w:pPr>
            <w:r>
              <w:rPr>
                <w:rFonts w:ascii="Arial" w:cs="Arial" w:eastAsia="Arial" w:hAnsi="Arial"/>
                <w:sz w:val="14"/>
                <w:szCs w:val="14"/>
                <w:color w:val="auto"/>
              </w:rPr>
              <w:t>Cancer immunotherapy</w:t>
            </w:r>
          </w:p>
        </w:tc>
        <w:tc>
          <w:tcPr>
            <w:tcW w:w="1660" w:type="dxa"/>
            <w:vAlign w:val="bottom"/>
          </w:tcPr>
          <w:p>
            <w:pPr>
              <w:ind w:left="80"/>
              <w:spacing w:after="0"/>
              <w:rPr>
                <w:sz w:val="20"/>
                <w:szCs w:val="20"/>
                <w:color w:val="auto"/>
              </w:rPr>
            </w:pPr>
            <w:r>
              <w:rPr>
                <w:rFonts w:ascii="Arial" w:cs="Arial" w:eastAsia="Arial" w:hAnsi="Arial"/>
                <w:sz w:val="14"/>
                <w:szCs w:val="14"/>
                <w:color w:val="auto"/>
              </w:rPr>
              <w:t>Oncology</w:t>
            </w:r>
          </w:p>
        </w:tc>
        <w:tc>
          <w:tcPr>
            <w:tcW w:w="2980" w:type="dxa"/>
            <w:vAlign w:val="bottom"/>
          </w:tcPr>
          <w:p>
            <w:pPr>
              <w:ind w:left="1040"/>
              <w:spacing w:after="0"/>
              <w:rPr>
                <w:sz w:val="20"/>
                <w:szCs w:val="20"/>
                <w:color w:val="auto"/>
              </w:rPr>
            </w:pPr>
            <w:r>
              <w:rPr>
                <w:rFonts w:ascii="Arial" w:cs="Arial" w:eastAsia="Arial" w:hAnsi="Arial"/>
                <w:sz w:val="14"/>
                <w:szCs w:val="14"/>
                <w:color w:val="auto"/>
              </w:rPr>
              <w:t>Undisclosed</w:t>
            </w:r>
          </w:p>
        </w:tc>
        <w:tc>
          <w:tcPr>
            <w:tcW w:w="1560" w:type="dxa"/>
            <w:vAlign w:val="bottom"/>
          </w:tcPr>
          <w:p>
            <w:pPr>
              <w:ind w:left="80"/>
              <w:spacing w:after="0"/>
              <w:rPr>
                <w:sz w:val="20"/>
                <w:szCs w:val="20"/>
                <w:color w:val="auto"/>
              </w:rPr>
            </w:pPr>
            <w:r>
              <w:rPr>
                <w:rFonts w:ascii="Arial" w:cs="Arial" w:eastAsia="Arial" w:hAnsi="Arial"/>
                <w:sz w:val="14"/>
                <w:szCs w:val="14"/>
                <w:color w:val="auto"/>
              </w:rPr>
              <w:t xml:space="preserve">Blueprint Medicines </w:t>
            </w:r>
            <w:r>
              <w:rPr>
                <w:rFonts w:ascii="Arial" w:cs="Arial" w:eastAsia="Arial" w:hAnsi="Arial"/>
                <w:sz w:val="7"/>
                <w:szCs w:val="7"/>
                <w:color w:val="auto"/>
              </w:rPr>
              <w:t>(1)</w:t>
            </w:r>
          </w:p>
        </w:tc>
      </w:tr>
      <w:tr>
        <w:trPr>
          <w:trHeight w:val="189"/>
        </w:trPr>
        <w:tc>
          <w:tcPr>
            <w:tcW w:w="1620" w:type="dxa"/>
            <w:vAlign w:val="bottom"/>
          </w:tcPr>
          <w:p>
            <w:pPr>
              <w:ind w:left="200"/>
              <w:spacing w:after="0"/>
              <w:rPr>
                <w:sz w:val="20"/>
                <w:szCs w:val="20"/>
                <w:color w:val="auto"/>
              </w:rPr>
            </w:pPr>
            <w:r>
              <w:rPr>
                <w:rFonts w:ascii="Arial" w:cs="Arial" w:eastAsia="Arial" w:hAnsi="Arial"/>
                <w:sz w:val="14"/>
                <w:szCs w:val="14"/>
                <w:i w:val="1"/>
                <w:iCs w:val="1"/>
                <w:color w:val="auto"/>
                <w:w w:val="95"/>
              </w:rPr>
              <w:t>(immunokinase targets)</w:t>
            </w:r>
          </w:p>
        </w:tc>
        <w:tc>
          <w:tcPr>
            <w:tcW w:w="16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560" w:type="dxa"/>
            <w:vAlign w:val="bottom"/>
          </w:tcPr>
          <w:p>
            <w:pPr>
              <w:ind w:left="80"/>
              <w:spacing w:after="0"/>
              <w:rPr>
                <w:sz w:val="20"/>
                <w:szCs w:val="20"/>
                <w:color w:val="auto"/>
              </w:rPr>
            </w:pPr>
            <w:r>
              <w:rPr>
                <w:rFonts w:ascii="Arial" w:cs="Arial" w:eastAsia="Arial" w:hAnsi="Arial"/>
                <w:sz w:val="14"/>
                <w:szCs w:val="14"/>
                <w:color w:val="auto"/>
              </w:rPr>
              <w:t xml:space="preserve">Roche </w:t>
            </w:r>
            <w:r>
              <w:rPr>
                <w:rFonts w:ascii="Arial" w:cs="Arial" w:eastAsia="Arial" w:hAnsi="Arial"/>
                <w:sz w:val="7"/>
                <w:szCs w:val="7"/>
                <w:color w:val="auto"/>
              </w:rPr>
              <w:t>(2)</w:t>
            </w:r>
          </w:p>
        </w:tc>
      </w:tr>
      <w:tr>
        <w:trPr>
          <w:trHeight w:val="39"/>
        </w:trPr>
        <w:tc>
          <w:tcPr>
            <w:tcW w:w="16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29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bl>
    <w:p>
      <w:pPr>
        <w:spacing w:after="0" w:line="89" w:lineRule="exact"/>
        <w:rPr>
          <w:sz w:val="20"/>
          <w:szCs w:val="20"/>
          <w:color w:val="auto"/>
        </w:rPr>
      </w:pPr>
    </w:p>
    <w:p>
      <w:pPr>
        <w:ind w:left="1000" w:hanging="349"/>
        <w:spacing w:after="0"/>
        <w:tabs>
          <w:tab w:leader="none" w:pos="10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Blueprint Medicines has U.S. commercialization rights for up to two programs.</w:t>
      </w:r>
    </w:p>
    <w:p>
      <w:pPr>
        <w:ind w:left="1000" w:hanging="349"/>
        <w:spacing w:after="0"/>
        <w:tabs>
          <w:tab w:leader="none" w:pos="10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Roche has worldwide commercialization rights for up to three programs and ex-U.S. commercialization rights for up to two programs.</w:t>
      </w:r>
    </w:p>
    <w:p>
      <w:pPr>
        <w:spacing w:after="0" w:line="113" w:lineRule="exact"/>
        <w:rPr>
          <w:sz w:val="20"/>
          <w:szCs w:val="20"/>
          <w:color w:val="auto"/>
        </w:rPr>
      </w:pPr>
    </w:p>
    <w:p>
      <w:pPr>
        <w:ind w:right="60" w:firstLine="648"/>
        <w:spacing w:after="0" w:line="182" w:lineRule="exact"/>
        <w:rPr>
          <w:sz w:val="20"/>
          <w:szCs w:val="20"/>
          <w:color w:val="auto"/>
        </w:rPr>
      </w:pPr>
      <w:r>
        <w:rPr>
          <w:rFonts w:ascii="Arial" w:cs="Arial" w:eastAsia="Arial" w:hAnsi="Arial"/>
          <w:sz w:val="17"/>
          <w:szCs w:val="17"/>
          <w:color w:val="auto"/>
        </w:rPr>
        <w:t>All of our current clinical programs target patient populations with genomically defined diseases. Generally, as we advance our drug candidates through Phase 1 clinical development, we enrich our clinical trials by selecting patients most likely to respond to our drug candidates to confirm mechanistic and clinical proof of concept. We are also collaborating with third parties to develop and commercialize companion diagnostic tests for avapritinib in order to identify GIST patients with the PDGFRα D842V mutation, BLU</w:t>
      </w:r>
      <w:r>
        <w:rPr>
          <w:rFonts w:ascii="MS PGothic" w:cs="MS PGothic" w:eastAsia="MS PGothic" w:hAnsi="MS PGothic"/>
          <w:sz w:val="17"/>
          <w:szCs w:val="17"/>
          <w:color w:val="auto"/>
        </w:rPr>
        <w:t>‑</w:t>
      </w:r>
      <w:r>
        <w:rPr>
          <w:rFonts w:ascii="Arial" w:cs="Arial" w:eastAsia="Arial" w:hAnsi="Arial"/>
          <w:sz w:val="17"/>
          <w:szCs w:val="17"/>
          <w:color w:val="auto"/>
        </w:rPr>
        <w:t>554 in order to identify HCC patients with FGFR4 pathway activation and BLU-667 in order to identify NSCLC patients with RET fusions. We may collaborate with other third parties in the future to develop and commercialize additional companion diagnostic tests or to develop assays to measure target engagement, pathway modulation and early response.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type w:val="continuous"/>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9" w:firstLine="648"/>
        <w:spacing w:after="0" w:line="232" w:lineRule="auto"/>
        <w:rPr>
          <w:sz w:val="20"/>
          <w:szCs w:val="20"/>
          <w:color w:val="auto"/>
        </w:rPr>
      </w:pPr>
      <w:r>
        <w:rPr>
          <w:rFonts w:ascii="Arial" w:cs="Arial" w:eastAsia="Arial" w:hAnsi="Arial"/>
          <w:sz w:val="17"/>
          <w:szCs w:val="17"/>
          <w:color w:val="auto"/>
        </w:rPr>
        <w:t>The table below lists the initial diseases and genomic drivers targeted by avapritinib, BLU-554, BLU-667 and BLU-782, and for each of these diseases, the corresponding estimated number of patients in the United States, France, Germany, Italy, Spain, the United Kingdom and Japan, or the Major Markets. In addition, the table lists the estimated frequency of the genomic alterations that we are initially targeting for each of these diseases.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80" w:type="dxa"/>
            <w:vAlign w:val="bottom"/>
            <w:tcBorders>
              <w:top w:val="single" w:sz="8" w:color="auto"/>
            </w:tcBorders>
            <w:shd w:val="clear" w:color="auto" w:fill="D9D9D9"/>
          </w:tcPr>
          <w:p>
            <w:pPr>
              <w:spacing w:after="0"/>
              <w:rPr>
                <w:sz w:val="15"/>
                <w:szCs w:val="15"/>
                <w:color w:val="auto"/>
              </w:rPr>
            </w:pPr>
          </w:p>
        </w:tc>
        <w:tc>
          <w:tcPr>
            <w:tcW w:w="140" w:type="dxa"/>
            <w:vAlign w:val="bottom"/>
            <w:tcBorders>
              <w:top w:val="single" w:sz="8" w:color="auto"/>
            </w:tcBorders>
            <w:shd w:val="clear" w:color="auto" w:fill="D9D9D9"/>
          </w:tcPr>
          <w:p>
            <w:pPr>
              <w:spacing w:after="0"/>
              <w:rPr>
                <w:sz w:val="15"/>
                <w:szCs w:val="15"/>
                <w:color w:val="auto"/>
              </w:rPr>
            </w:pPr>
          </w:p>
        </w:tc>
        <w:tc>
          <w:tcPr>
            <w:tcW w:w="820" w:type="dxa"/>
            <w:vAlign w:val="bottom"/>
            <w:tcBorders>
              <w:top w:val="single" w:sz="8" w:color="auto"/>
            </w:tcBorders>
            <w:shd w:val="clear" w:color="auto" w:fill="D9D9D9"/>
          </w:tcPr>
          <w:p>
            <w:pPr>
              <w:spacing w:after="0"/>
              <w:rPr>
                <w:sz w:val="15"/>
                <w:szCs w:val="15"/>
                <w:color w:val="auto"/>
              </w:rPr>
            </w:pPr>
          </w:p>
        </w:tc>
        <w:tc>
          <w:tcPr>
            <w:tcW w:w="160" w:type="dxa"/>
            <w:vAlign w:val="bottom"/>
            <w:tcBorders>
              <w:top w:val="single" w:sz="8" w:color="auto"/>
            </w:tcBorders>
            <w:shd w:val="clear" w:color="auto" w:fill="D9D9D9"/>
          </w:tcPr>
          <w:p>
            <w:pPr>
              <w:spacing w:after="0"/>
              <w:rPr>
                <w:sz w:val="15"/>
                <w:szCs w:val="15"/>
                <w:color w:val="auto"/>
              </w:rPr>
            </w:pPr>
          </w:p>
        </w:tc>
        <w:tc>
          <w:tcPr>
            <w:tcW w:w="2660" w:type="dxa"/>
            <w:vAlign w:val="bottom"/>
            <w:tcBorders>
              <w:top w:val="single" w:sz="8" w:color="auto"/>
            </w:tcBorders>
            <w:gridSpan w:val="2"/>
            <w:shd w:val="clear" w:color="auto" w:fill="D9D9D9"/>
          </w:tcPr>
          <w:p>
            <w:pPr>
              <w:ind w:left="340"/>
              <w:spacing w:after="0"/>
              <w:rPr>
                <w:sz w:val="20"/>
                <w:szCs w:val="20"/>
                <w:color w:val="auto"/>
              </w:rPr>
            </w:pPr>
            <w:r>
              <w:rPr>
                <w:rFonts w:ascii="Arial" w:cs="Arial" w:eastAsia="Arial" w:hAnsi="Arial"/>
                <w:sz w:val="14"/>
                <w:szCs w:val="14"/>
                <w:b w:val="1"/>
                <w:bCs w:val="1"/>
                <w:color w:val="auto"/>
              </w:rPr>
              <w:t xml:space="preserve">Estimated Number of Patients </w:t>
            </w:r>
            <w:r>
              <w:rPr>
                <w:rFonts w:ascii="Arial" w:cs="Arial" w:eastAsia="Arial" w:hAnsi="Arial"/>
                <w:sz w:val="7"/>
                <w:szCs w:val="7"/>
                <w:b w:val="1"/>
                <w:bCs w:val="1"/>
                <w:color w:val="auto"/>
              </w:rPr>
              <w:t>(1)</w:t>
            </w:r>
          </w:p>
        </w:tc>
        <w:tc>
          <w:tcPr>
            <w:tcW w:w="140" w:type="dxa"/>
            <w:vAlign w:val="bottom"/>
            <w:tcBorders>
              <w:top w:val="single" w:sz="8" w:color="auto"/>
            </w:tcBorders>
            <w:shd w:val="clear" w:color="auto" w:fill="D9D9D9"/>
          </w:tcPr>
          <w:p>
            <w:pPr>
              <w:spacing w:after="0"/>
              <w:rPr>
                <w:sz w:val="15"/>
                <w:szCs w:val="15"/>
                <w:color w:val="auto"/>
              </w:rPr>
            </w:pPr>
          </w:p>
        </w:tc>
        <w:tc>
          <w:tcPr>
            <w:tcW w:w="1680" w:type="dxa"/>
            <w:vAlign w:val="bottom"/>
            <w:tcBorders>
              <w:top w:val="single" w:sz="8" w:color="auto"/>
            </w:tcBorders>
            <w:shd w:val="clear" w:color="auto" w:fill="D9D9D9"/>
          </w:tcPr>
          <w:p>
            <w:pPr>
              <w:spacing w:after="0"/>
              <w:rPr>
                <w:sz w:val="15"/>
                <w:szCs w:val="15"/>
                <w:color w:val="auto"/>
              </w:rPr>
            </w:pPr>
          </w:p>
        </w:tc>
        <w:tc>
          <w:tcPr>
            <w:tcW w:w="1800" w:type="dxa"/>
            <w:vAlign w:val="bottom"/>
            <w:tcBorders>
              <w:top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81"/>
        </w:trPr>
        <w:tc>
          <w:tcPr>
            <w:tcW w:w="980" w:type="dxa"/>
            <w:vAlign w:val="bottom"/>
            <w:tcBorders>
              <w:bottom w:val="single" w:sz="8" w:color="D9D9D9"/>
            </w:tcBorders>
            <w:vMerge w:val="restart"/>
            <w:shd w:val="clear" w:color="auto" w:fill="D9D9D9"/>
          </w:tcPr>
          <w:p>
            <w:pPr>
              <w:jc w:val="center"/>
              <w:spacing w:after="0" w:line="135" w:lineRule="exact"/>
              <w:rPr>
                <w:sz w:val="20"/>
                <w:szCs w:val="20"/>
                <w:color w:val="auto"/>
              </w:rPr>
            </w:pPr>
            <w:r>
              <w:rPr>
                <w:rFonts w:ascii="Arial" w:cs="Arial" w:eastAsia="Arial" w:hAnsi="Arial"/>
                <w:sz w:val="14"/>
                <w:szCs w:val="14"/>
                <w:b w:val="1"/>
                <w:bCs w:val="1"/>
                <w:color w:val="auto"/>
                <w:w w:val="97"/>
              </w:rPr>
              <w:t>Drug</w:t>
            </w:r>
          </w:p>
        </w:tc>
        <w:tc>
          <w:tcPr>
            <w:tcW w:w="140" w:type="dxa"/>
            <w:vAlign w:val="bottom"/>
            <w:tcBorders>
              <w:bottom w:val="single" w:sz="8" w:color="D9D9D9"/>
            </w:tcBorders>
            <w:shd w:val="clear" w:color="auto" w:fill="D9D9D9"/>
          </w:tcPr>
          <w:p>
            <w:pPr>
              <w:spacing w:after="0"/>
              <w:rPr>
                <w:sz w:val="7"/>
                <w:szCs w:val="7"/>
                <w:color w:val="auto"/>
              </w:rPr>
            </w:pPr>
          </w:p>
        </w:tc>
        <w:tc>
          <w:tcPr>
            <w:tcW w:w="820" w:type="dxa"/>
            <w:vAlign w:val="bottom"/>
            <w:tcBorders>
              <w:bottom w:val="single" w:sz="8" w:color="D9D9D9"/>
            </w:tcBorders>
            <w:vMerge w:val="restart"/>
            <w:shd w:val="clear" w:color="auto" w:fill="D9D9D9"/>
          </w:tcPr>
          <w:p>
            <w:pPr>
              <w:jc w:val="center"/>
              <w:spacing w:after="0" w:line="135" w:lineRule="exact"/>
              <w:rPr>
                <w:sz w:val="20"/>
                <w:szCs w:val="20"/>
                <w:color w:val="auto"/>
              </w:rPr>
            </w:pPr>
            <w:r>
              <w:rPr>
                <w:rFonts w:ascii="Arial" w:cs="Arial" w:eastAsia="Arial" w:hAnsi="Arial"/>
                <w:sz w:val="14"/>
                <w:szCs w:val="14"/>
                <w:b w:val="1"/>
                <w:bCs w:val="1"/>
                <w:color w:val="auto"/>
              </w:rPr>
              <w:t>Initial</w:t>
            </w:r>
          </w:p>
        </w:tc>
        <w:tc>
          <w:tcPr>
            <w:tcW w:w="160" w:type="dxa"/>
            <w:vAlign w:val="bottom"/>
            <w:tcBorders>
              <w:bottom w:val="single" w:sz="8" w:color="D9D9D9"/>
            </w:tcBorders>
            <w:shd w:val="clear" w:color="auto" w:fill="D9D9D9"/>
          </w:tcPr>
          <w:p>
            <w:pPr>
              <w:spacing w:after="0"/>
              <w:rPr>
                <w:sz w:val="7"/>
                <w:szCs w:val="7"/>
                <w:color w:val="auto"/>
              </w:rPr>
            </w:pPr>
          </w:p>
        </w:tc>
        <w:tc>
          <w:tcPr>
            <w:tcW w:w="1220" w:type="dxa"/>
            <w:vAlign w:val="bottom"/>
            <w:tcBorders>
              <w:bottom w:val="single" w:sz="8" w:color="auto"/>
            </w:tcBorders>
            <w:shd w:val="clear" w:color="auto" w:fill="D9D9D9"/>
          </w:tcPr>
          <w:p>
            <w:pPr>
              <w:spacing w:after="0"/>
              <w:rPr>
                <w:sz w:val="7"/>
                <w:szCs w:val="7"/>
                <w:color w:val="auto"/>
              </w:rPr>
            </w:pPr>
          </w:p>
        </w:tc>
        <w:tc>
          <w:tcPr>
            <w:tcW w:w="1440" w:type="dxa"/>
            <w:vAlign w:val="bottom"/>
            <w:tcBorders>
              <w:bottom w:val="single" w:sz="8" w:color="auto"/>
            </w:tcBorders>
            <w:shd w:val="clear" w:color="auto" w:fill="D9D9D9"/>
          </w:tcPr>
          <w:p>
            <w:pPr>
              <w:spacing w:after="0"/>
              <w:rPr>
                <w:sz w:val="7"/>
                <w:szCs w:val="7"/>
                <w:color w:val="auto"/>
              </w:rPr>
            </w:pPr>
          </w:p>
        </w:tc>
        <w:tc>
          <w:tcPr>
            <w:tcW w:w="140" w:type="dxa"/>
            <w:vAlign w:val="bottom"/>
            <w:tcBorders>
              <w:bottom w:val="single" w:sz="8" w:color="D9D9D9"/>
            </w:tcBorders>
            <w:shd w:val="clear" w:color="auto" w:fill="D9D9D9"/>
          </w:tcPr>
          <w:p>
            <w:pPr>
              <w:spacing w:after="0"/>
              <w:rPr>
                <w:sz w:val="7"/>
                <w:szCs w:val="7"/>
                <w:color w:val="auto"/>
              </w:rPr>
            </w:pPr>
          </w:p>
        </w:tc>
        <w:tc>
          <w:tcPr>
            <w:tcW w:w="1680" w:type="dxa"/>
            <w:vAlign w:val="bottom"/>
            <w:tcBorders>
              <w:bottom w:val="single" w:sz="8" w:color="D9D9D9"/>
            </w:tcBorders>
            <w:shd w:val="clear" w:color="auto" w:fill="D9D9D9"/>
          </w:tcPr>
          <w:p>
            <w:pPr>
              <w:spacing w:after="0"/>
              <w:rPr>
                <w:sz w:val="7"/>
                <w:szCs w:val="7"/>
                <w:color w:val="auto"/>
              </w:rPr>
            </w:pPr>
          </w:p>
        </w:tc>
        <w:tc>
          <w:tcPr>
            <w:tcW w:w="1800" w:type="dxa"/>
            <w:vAlign w:val="bottom"/>
            <w:tcBorders>
              <w:bottom w:val="single" w:sz="8" w:color="D9D9D9"/>
            </w:tcBorders>
            <w:vMerge w:val="restart"/>
            <w:shd w:val="clear" w:color="auto" w:fill="D9D9D9"/>
          </w:tcPr>
          <w:p>
            <w:pPr>
              <w:jc w:val="center"/>
              <w:spacing w:after="0" w:line="135" w:lineRule="exact"/>
              <w:rPr>
                <w:sz w:val="20"/>
                <w:szCs w:val="20"/>
                <w:color w:val="auto"/>
              </w:rPr>
            </w:pPr>
            <w:r>
              <w:rPr>
                <w:rFonts w:ascii="Arial" w:cs="Arial" w:eastAsia="Arial" w:hAnsi="Arial"/>
                <w:sz w:val="14"/>
                <w:szCs w:val="14"/>
                <w:b w:val="1"/>
                <w:bCs w:val="1"/>
                <w:color w:val="auto"/>
                <w:w w:val="92"/>
              </w:rPr>
              <w:t>Frequency of Alteration</w:t>
            </w:r>
          </w:p>
        </w:tc>
        <w:tc>
          <w:tcPr>
            <w:tcW w:w="0" w:type="dxa"/>
            <w:vAlign w:val="bottom"/>
          </w:tcPr>
          <w:p>
            <w:pPr>
              <w:spacing w:after="0"/>
              <w:rPr>
                <w:sz w:val="1"/>
                <w:szCs w:val="1"/>
                <w:color w:val="auto"/>
              </w:rPr>
            </w:pPr>
          </w:p>
        </w:tc>
      </w:tr>
      <w:tr>
        <w:trPr>
          <w:trHeight w:val="34"/>
        </w:trPr>
        <w:tc>
          <w:tcPr>
            <w:tcW w:w="980" w:type="dxa"/>
            <w:vAlign w:val="bottom"/>
            <w:vMerge w:val="continue"/>
            <w:shd w:val="clear" w:color="auto" w:fill="D9D9D9"/>
          </w:tcPr>
          <w:p>
            <w:pPr>
              <w:spacing w:after="0"/>
              <w:rPr>
                <w:sz w:val="2"/>
                <w:szCs w:val="2"/>
                <w:color w:val="auto"/>
              </w:rPr>
            </w:pPr>
          </w:p>
        </w:tc>
        <w:tc>
          <w:tcPr>
            <w:tcW w:w="140" w:type="dxa"/>
            <w:vAlign w:val="bottom"/>
            <w:shd w:val="clear" w:color="auto" w:fill="D9D9D9"/>
          </w:tcPr>
          <w:p>
            <w:pPr>
              <w:spacing w:after="0"/>
              <w:rPr>
                <w:sz w:val="2"/>
                <w:szCs w:val="2"/>
                <w:color w:val="auto"/>
              </w:rPr>
            </w:pPr>
          </w:p>
        </w:tc>
        <w:tc>
          <w:tcPr>
            <w:tcW w:w="820" w:type="dxa"/>
            <w:vAlign w:val="bottom"/>
            <w:vMerge w:val="continue"/>
            <w:shd w:val="clear" w:color="auto" w:fill="D9D9D9"/>
          </w:tcPr>
          <w:p>
            <w:pPr>
              <w:spacing w:after="0"/>
              <w:rPr>
                <w:sz w:val="2"/>
                <w:szCs w:val="2"/>
                <w:color w:val="auto"/>
              </w:rPr>
            </w:pPr>
          </w:p>
        </w:tc>
        <w:tc>
          <w:tcPr>
            <w:tcW w:w="160" w:type="dxa"/>
            <w:vAlign w:val="bottom"/>
            <w:shd w:val="clear" w:color="auto" w:fill="D9D9D9"/>
          </w:tcPr>
          <w:p>
            <w:pPr>
              <w:spacing w:after="0"/>
              <w:rPr>
                <w:sz w:val="2"/>
                <w:szCs w:val="2"/>
                <w:color w:val="auto"/>
              </w:rPr>
            </w:pPr>
          </w:p>
        </w:tc>
        <w:tc>
          <w:tcPr>
            <w:tcW w:w="1220" w:type="dxa"/>
            <w:vAlign w:val="bottom"/>
            <w:vMerge w:val="restart"/>
            <w:shd w:val="clear" w:color="auto" w:fill="D9D9D9"/>
          </w:tcPr>
          <w:p>
            <w:pPr>
              <w:ind w:left="180"/>
              <w:spacing w:after="0"/>
              <w:rPr>
                <w:sz w:val="20"/>
                <w:szCs w:val="20"/>
                <w:color w:val="auto"/>
              </w:rPr>
            </w:pPr>
            <w:r>
              <w:rPr>
                <w:rFonts w:ascii="Arial" w:cs="Arial" w:eastAsia="Arial" w:hAnsi="Arial"/>
                <w:sz w:val="14"/>
                <w:szCs w:val="14"/>
                <w:b w:val="1"/>
                <w:bCs w:val="1"/>
                <w:color w:val="auto"/>
              </w:rPr>
              <w:t>United States</w:t>
            </w:r>
          </w:p>
        </w:tc>
        <w:tc>
          <w:tcPr>
            <w:tcW w:w="1440" w:type="dxa"/>
            <w:vAlign w:val="bottom"/>
            <w:vMerge w:val="restart"/>
            <w:shd w:val="clear" w:color="auto" w:fill="D9D9D9"/>
          </w:tcPr>
          <w:p>
            <w:pPr>
              <w:ind w:left="100"/>
              <w:spacing w:after="0"/>
              <w:rPr>
                <w:sz w:val="20"/>
                <w:szCs w:val="20"/>
                <w:color w:val="auto"/>
              </w:rPr>
            </w:pPr>
            <w:r>
              <w:rPr>
                <w:rFonts w:ascii="Arial" w:cs="Arial" w:eastAsia="Arial" w:hAnsi="Arial"/>
                <w:sz w:val="14"/>
                <w:szCs w:val="14"/>
                <w:b w:val="1"/>
                <w:bCs w:val="1"/>
                <w:color w:val="auto"/>
              </w:rPr>
              <w:t>Total Major Markets</w:t>
            </w:r>
          </w:p>
        </w:tc>
        <w:tc>
          <w:tcPr>
            <w:tcW w:w="140" w:type="dxa"/>
            <w:vAlign w:val="bottom"/>
            <w:shd w:val="clear" w:color="auto" w:fill="D9D9D9"/>
          </w:tcPr>
          <w:p>
            <w:pPr>
              <w:spacing w:after="0"/>
              <w:rPr>
                <w:sz w:val="2"/>
                <w:szCs w:val="2"/>
                <w:color w:val="auto"/>
              </w:rPr>
            </w:pPr>
          </w:p>
        </w:tc>
        <w:tc>
          <w:tcPr>
            <w:tcW w:w="1680" w:type="dxa"/>
            <w:vAlign w:val="bottom"/>
            <w:vMerge w:val="restart"/>
            <w:shd w:val="clear" w:color="auto" w:fill="D9D9D9"/>
          </w:tcPr>
          <w:p>
            <w:pPr>
              <w:ind w:left="260"/>
              <w:spacing w:after="0"/>
              <w:rPr>
                <w:sz w:val="20"/>
                <w:szCs w:val="20"/>
                <w:color w:val="auto"/>
              </w:rPr>
            </w:pPr>
            <w:r>
              <w:rPr>
                <w:rFonts w:ascii="Arial" w:cs="Arial" w:eastAsia="Arial" w:hAnsi="Arial"/>
                <w:sz w:val="14"/>
                <w:szCs w:val="14"/>
                <w:b w:val="1"/>
                <w:bCs w:val="1"/>
                <w:color w:val="auto"/>
              </w:rPr>
              <w:t>Genomic Drivers</w:t>
            </w:r>
          </w:p>
        </w:tc>
        <w:tc>
          <w:tcPr>
            <w:tcW w:w="1800" w:type="dxa"/>
            <w:vAlign w:val="bottom"/>
            <w:vMerge w:val="continue"/>
            <w:shd w:val="clear" w:color="auto" w:fill="D9D9D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8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b w:val="1"/>
                <w:bCs w:val="1"/>
                <w:color w:val="auto"/>
                <w:w w:val="94"/>
              </w:rPr>
              <w:t>Candidate</w:t>
            </w:r>
          </w:p>
        </w:tc>
        <w:tc>
          <w:tcPr>
            <w:tcW w:w="140" w:type="dxa"/>
            <w:vAlign w:val="bottom"/>
            <w:tcBorders>
              <w:bottom w:val="single" w:sz="8" w:color="D9D9D9"/>
            </w:tcBorders>
            <w:shd w:val="clear" w:color="auto" w:fill="D9D9D9"/>
          </w:tcPr>
          <w:p>
            <w:pPr>
              <w:spacing w:after="0"/>
              <w:rPr>
                <w:sz w:val="18"/>
                <w:szCs w:val="18"/>
                <w:color w:val="auto"/>
              </w:rPr>
            </w:pPr>
          </w:p>
        </w:tc>
        <w:tc>
          <w:tcPr>
            <w:tcW w:w="82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b w:val="1"/>
                <w:bCs w:val="1"/>
                <w:color w:val="auto"/>
                <w:w w:val="85"/>
              </w:rPr>
              <w:t>Diseases</w:t>
            </w:r>
          </w:p>
        </w:tc>
        <w:tc>
          <w:tcPr>
            <w:tcW w:w="160" w:type="dxa"/>
            <w:vAlign w:val="bottom"/>
            <w:tcBorders>
              <w:bottom w:val="single" w:sz="8" w:color="D9D9D9"/>
            </w:tcBorders>
            <w:shd w:val="clear" w:color="auto" w:fill="D9D9D9"/>
          </w:tcPr>
          <w:p>
            <w:pPr>
              <w:spacing w:after="0"/>
              <w:rPr>
                <w:sz w:val="18"/>
                <w:szCs w:val="18"/>
                <w:color w:val="auto"/>
              </w:rPr>
            </w:pPr>
          </w:p>
        </w:tc>
        <w:tc>
          <w:tcPr>
            <w:tcW w:w="1220" w:type="dxa"/>
            <w:vAlign w:val="bottom"/>
            <w:tcBorders>
              <w:bottom w:val="single" w:sz="8" w:color="D9D9D9"/>
            </w:tcBorders>
            <w:vMerge w:val="continue"/>
            <w:shd w:val="clear" w:color="auto" w:fill="D9D9D9"/>
          </w:tcPr>
          <w:p>
            <w:pPr>
              <w:spacing w:after="0"/>
              <w:rPr>
                <w:sz w:val="18"/>
                <w:szCs w:val="18"/>
                <w:color w:val="auto"/>
              </w:rPr>
            </w:pPr>
          </w:p>
        </w:tc>
        <w:tc>
          <w:tcPr>
            <w:tcW w:w="1440" w:type="dxa"/>
            <w:vAlign w:val="bottom"/>
            <w:tcBorders>
              <w:bottom w:val="single" w:sz="8" w:color="D9D9D9"/>
            </w:tcBorders>
            <w:vMerge w:val="continue"/>
            <w:shd w:val="clear" w:color="auto" w:fill="D9D9D9"/>
          </w:tcPr>
          <w:p>
            <w:pPr>
              <w:spacing w:after="0"/>
              <w:rPr>
                <w:sz w:val="18"/>
                <w:szCs w:val="18"/>
                <w:color w:val="auto"/>
              </w:rPr>
            </w:pPr>
          </w:p>
        </w:tc>
        <w:tc>
          <w:tcPr>
            <w:tcW w:w="140" w:type="dxa"/>
            <w:vAlign w:val="bottom"/>
            <w:tcBorders>
              <w:bottom w:val="single" w:sz="8" w:color="D9D9D9"/>
            </w:tcBorders>
            <w:shd w:val="clear" w:color="auto" w:fill="D9D9D9"/>
          </w:tcPr>
          <w:p>
            <w:pPr>
              <w:spacing w:after="0"/>
              <w:rPr>
                <w:sz w:val="18"/>
                <w:szCs w:val="18"/>
                <w:color w:val="auto"/>
              </w:rPr>
            </w:pPr>
          </w:p>
        </w:tc>
        <w:tc>
          <w:tcPr>
            <w:tcW w:w="1680" w:type="dxa"/>
            <w:vAlign w:val="bottom"/>
            <w:tcBorders>
              <w:bottom w:val="single" w:sz="8" w:color="D9D9D9"/>
            </w:tcBorders>
            <w:vMerge w:val="continue"/>
            <w:shd w:val="clear" w:color="auto" w:fill="D9D9D9"/>
          </w:tcPr>
          <w:p>
            <w:pPr>
              <w:spacing w:after="0"/>
              <w:rPr>
                <w:sz w:val="18"/>
                <w:szCs w:val="18"/>
                <w:color w:val="auto"/>
              </w:rPr>
            </w:pPr>
          </w:p>
        </w:tc>
        <w:tc>
          <w:tcPr>
            <w:tcW w:w="180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b w:val="1"/>
                <w:bCs w:val="1"/>
                <w:color w:val="auto"/>
                <w:w w:val="96"/>
              </w:rPr>
              <w:t>(% of Patients)</w:t>
            </w:r>
          </w:p>
        </w:tc>
        <w:tc>
          <w:tcPr>
            <w:tcW w:w="0" w:type="dxa"/>
            <w:vAlign w:val="bottom"/>
          </w:tcPr>
          <w:p>
            <w:pPr>
              <w:spacing w:after="0"/>
              <w:rPr>
                <w:sz w:val="1"/>
                <w:szCs w:val="1"/>
                <w:color w:val="auto"/>
              </w:rPr>
            </w:pPr>
          </w:p>
        </w:tc>
      </w:tr>
      <w:tr>
        <w:trPr>
          <w:trHeight w:val="237"/>
        </w:trPr>
        <w:tc>
          <w:tcPr>
            <w:tcW w:w="9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color w:val="auto"/>
              </w:rPr>
              <w:t>3,300 first line</w:t>
            </w:r>
          </w:p>
        </w:tc>
        <w:tc>
          <w:tcPr>
            <w:tcW w:w="144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8,700 first line</w:t>
            </w:r>
          </w:p>
        </w:tc>
        <w:tc>
          <w:tcPr>
            <w:tcW w:w="182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color w:val="auto"/>
              </w:rPr>
              <w:t>D842V mutant PDGFRα</w:t>
            </w: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~5-6% of primary GIST</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color w:val="auto"/>
              </w:rPr>
              <w:t>GIST</w:t>
            </w:r>
          </w:p>
        </w:tc>
        <w:tc>
          <w:tcPr>
            <w:tcW w:w="1380" w:type="dxa"/>
            <w:vAlign w:val="bottom"/>
            <w:gridSpan w:val="2"/>
            <w:vMerge w:val="restart"/>
          </w:tcPr>
          <w:p>
            <w:pPr>
              <w:ind w:left="160"/>
              <w:spacing w:after="0"/>
              <w:rPr>
                <w:sz w:val="20"/>
                <w:szCs w:val="20"/>
                <w:color w:val="auto"/>
              </w:rPr>
            </w:pPr>
            <w:r>
              <w:rPr>
                <w:rFonts w:ascii="Arial" w:cs="Arial" w:eastAsia="Arial" w:hAnsi="Arial"/>
                <w:sz w:val="14"/>
                <w:szCs w:val="14"/>
                <w:color w:val="auto"/>
              </w:rPr>
              <w:t>3,000 second line</w:t>
            </w:r>
          </w:p>
        </w:tc>
        <w:tc>
          <w:tcPr>
            <w:tcW w:w="1440" w:type="dxa"/>
            <w:vAlign w:val="bottom"/>
            <w:vMerge w:val="restart"/>
          </w:tcPr>
          <w:p>
            <w:pPr>
              <w:ind w:left="60"/>
              <w:spacing w:after="0"/>
              <w:rPr>
                <w:sz w:val="20"/>
                <w:szCs w:val="20"/>
                <w:color w:val="auto"/>
              </w:rPr>
            </w:pPr>
            <w:r>
              <w:rPr>
                <w:rFonts w:ascii="Arial" w:cs="Arial" w:eastAsia="Arial" w:hAnsi="Arial"/>
                <w:sz w:val="14"/>
                <w:szCs w:val="14"/>
                <w:color w:val="auto"/>
              </w:rPr>
              <w:t>7,700 second line</w:t>
            </w:r>
          </w:p>
        </w:tc>
        <w:tc>
          <w:tcPr>
            <w:tcW w:w="1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1820" w:type="dxa"/>
            <w:vAlign w:val="bottom"/>
            <w:gridSpan w:val="2"/>
            <w:vMerge w:val="restart"/>
          </w:tcPr>
          <w:p>
            <w:pPr>
              <w:ind w:left="140"/>
              <w:spacing w:after="0"/>
              <w:rPr>
                <w:sz w:val="20"/>
                <w:szCs w:val="20"/>
                <w:color w:val="auto"/>
              </w:rPr>
            </w:pPr>
            <w:r>
              <w:rPr>
                <w:rFonts w:ascii="Arial" w:cs="Arial" w:eastAsia="Arial" w:hAnsi="Arial"/>
                <w:sz w:val="14"/>
                <w:szCs w:val="14"/>
                <w:color w:val="auto"/>
              </w:rPr>
              <w:t>KIT mutations</w:t>
            </w:r>
          </w:p>
        </w:tc>
        <w:tc>
          <w:tcPr>
            <w:tcW w:w="1800" w:type="dxa"/>
            <w:vAlign w:val="bottom"/>
            <w:vMerge w:val="restart"/>
          </w:tcPr>
          <w:p>
            <w:pPr>
              <w:jc w:val="center"/>
              <w:spacing w:after="0"/>
              <w:rPr>
                <w:sz w:val="20"/>
                <w:szCs w:val="20"/>
                <w:color w:val="auto"/>
              </w:rPr>
            </w:pPr>
            <w:r>
              <w:rPr>
                <w:rFonts w:ascii="Arial" w:cs="Arial" w:eastAsia="Arial" w:hAnsi="Arial"/>
                <w:sz w:val="14"/>
                <w:szCs w:val="14"/>
                <w:color w:val="auto"/>
                <w:w w:val="93"/>
              </w:rPr>
              <w:t>~80%</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4"/>
                <w:szCs w:val="14"/>
                <w:color w:val="auto"/>
              </w:rPr>
              <w:t>3,600 ≥ third line</w:t>
            </w:r>
          </w:p>
        </w:tc>
        <w:tc>
          <w:tcPr>
            <w:tcW w:w="1440" w:type="dxa"/>
            <w:vAlign w:val="bottom"/>
            <w:vMerge w:val="restart"/>
          </w:tcPr>
          <w:p>
            <w:pPr>
              <w:ind w:left="60"/>
              <w:spacing w:after="0"/>
              <w:rPr>
                <w:sz w:val="20"/>
                <w:szCs w:val="20"/>
                <w:color w:val="auto"/>
              </w:rPr>
            </w:pPr>
            <w:r>
              <w:rPr>
                <w:rFonts w:ascii="Arial" w:cs="Arial" w:eastAsia="Arial" w:hAnsi="Arial"/>
                <w:sz w:val="14"/>
                <w:szCs w:val="14"/>
                <w:color w:val="auto"/>
              </w:rPr>
              <w:t>7,700 ≥ third line</w:t>
            </w:r>
          </w:p>
        </w:tc>
        <w:tc>
          <w:tcPr>
            <w:tcW w:w="1820" w:type="dxa"/>
            <w:vAlign w:val="bottom"/>
            <w:gridSpan w:val="2"/>
            <w:vMerge w:val="continue"/>
          </w:tcPr>
          <w:p>
            <w:pPr>
              <w:spacing w:after="0"/>
              <w:rPr>
                <w:sz w:val="10"/>
                <w:szCs w:val="10"/>
                <w:color w:val="auto"/>
              </w:rPr>
            </w:pPr>
          </w:p>
        </w:tc>
        <w:tc>
          <w:tcPr>
            <w:tcW w:w="1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97"/>
              </w:rPr>
              <w:t>avapritinib</w:t>
            </w: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9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9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4"/>
                <w:szCs w:val="14"/>
                <w:color w:val="auto"/>
                <w:w w:val="96"/>
              </w:rPr>
              <w:t>1,100 advanced SM</w:t>
            </w:r>
          </w:p>
        </w:tc>
        <w:tc>
          <w:tcPr>
            <w:tcW w:w="1440" w:type="dxa"/>
            <w:vAlign w:val="bottom"/>
            <w:vMerge w:val="restart"/>
          </w:tcPr>
          <w:p>
            <w:pPr>
              <w:ind w:left="60"/>
              <w:spacing w:after="0"/>
              <w:rPr>
                <w:sz w:val="20"/>
                <w:szCs w:val="20"/>
                <w:color w:val="auto"/>
              </w:rPr>
            </w:pPr>
            <w:r>
              <w:rPr>
                <w:rFonts w:ascii="Arial" w:cs="Arial" w:eastAsia="Arial" w:hAnsi="Arial"/>
                <w:sz w:val="14"/>
                <w:szCs w:val="14"/>
                <w:color w:val="auto"/>
              </w:rPr>
              <w:t>2,600 advanced SM</w:t>
            </w:r>
          </w:p>
        </w:tc>
        <w:tc>
          <w:tcPr>
            <w:tcW w:w="1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color w:val="auto"/>
              </w:rPr>
              <w:t>SM</w:t>
            </w:r>
          </w:p>
        </w:tc>
        <w:tc>
          <w:tcPr>
            <w:tcW w:w="1380" w:type="dxa"/>
            <w:vAlign w:val="bottom"/>
            <w:gridSpan w:val="2"/>
          </w:tcPr>
          <w:p>
            <w:pPr>
              <w:ind w:left="160"/>
              <w:spacing w:after="0"/>
              <w:rPr>
                <w:sz w:val="20"/>
                <w:szCs w:val="20"/>
                <w:color w:val="auto"/>
              </w:rPr>
            </w:pPr>
            <w:r>
              <w:rPr>
                <w:rFonts w:ascii="Arial" w:cs="Arial" w:eastAsia="Arial" w:hAnsi="Arial"/>
                <w:sz w:val="14"/>
                <w:szCs w:val="14"/>
                <w:color w:val="auto"/>
                <w:w w:val="99"/>
              </w:rPr>
              <w:t>700 smoldering SM</w:t>
            </w:r>
          </w:p>
        </w:tc>
        <w:tc>
          <w:tcPr>
            <w:tcW w:w="1440" w:type="dxa"/>
            <w:vAlign w:val="bottom"/>
          </w:tcPr>
          <w:p>
            <w:pPr>
              <w:ind w:left="60"/>
              <w:spacing w:after="0"/>
              <w:rPr>
                <w:sz w:val="20"/>
                <w:szCs w:val="20"/>
                <w:color w:val="auto"/>
              </w:rPr>
            </w:pPr>
            <w:r>
              <w:rPr>
                <w:rFonts w:ascii="Arial" w:cs="Arial" w:eastAsia="Arial" w:hAnsi="Arial"/>
                <w:sz w:val="14"/>
                <w:szCs w:val="14"/>
                <w:color w:val="auto"/>
              </w:rPr>
              <w:t>1,800 smoldering SM</w:t>
            </w:r>
          </w:p>
        </w:tc>
        <w:tc>
          <w:tcPr>
            <w:tcW w:w="1820" w:type="dxa"/>
            <w:vAlign w:val="bottom"/>
            <w:gridSpan w:val="2"/>
          </w:tcPr>
          <w:p>
            <w:pPr>
              <w:ind w:left="140"/>
              <w:spacing w:after="0"/>
              <w:rPr>
                <w:sz w:val="20"/>
                <w:szCs w:val="20"/>
                <w:color w:val="auto"/>
              </w:rPr>
            </w:pPr>
            <w:r>
              <w:rPr>
                <w:rFonts w:ascii="Arial" w:cs="Arial" w:eastAsia="Arial" w:hAnsi="Arial"/>
                <w:sz w:val="14"/>
                <w:szCs w:val="14"/>
                <w:color w:val="auto"/>
              </w:rPr>
              <w:t>KIT D816V mutation</w:t>
            </w: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~90-95%</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color w:val="auto"/>
              </w:rPr>
              <w:t>6,600 indolent SM</w:t>
            </w:r>
          </w:p>
        </w:tc>
        <w:tc>
          <w:tcPr>
            <w:tcW w:w="1440" w:type="dxa"/>
            <w:vAlign w:val="bottom"/>
          </w:tcPr>
          <w:p>
            <w:pPr>
              <w:ind w:left="60"/>
              <w:spacing w:after="0"/>
              <w:rPr>
                <w:sz w:val="20"/>
                <w:szCs w:val="20"/>
                <w:color w:val="auto"/>
              </w:rPr>
            </w:pPr>
            <w:r>
              <w:rPr>
                <w:rFonts w:ascii="Arial" w:cs="Arial" w:eastAsia="Arial" w:hAnsi="Arial"/>
                <w:sz w:val="14"/>
                <w:szCs w:val="14"/>
                <w:color w:val="auto"/>
              </w:rPr>
              <w:t>16,300 indolent SM</w:t>
            </w: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9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gridSpan w:val="2"/>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gridSpan w:val="2"/>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980" w:type="dxa"/>
            <w:vAlign w:val="bottom"/>
          </w:tcPr>
          <w:p>
            <w:pPr>
              <w:jc w:val="center"/>
              <w:spacing w:after="0" w:line="161" w:lineRule="exact"/>
              <w:rPr>
                <w:sz w:val="20"/>
                <w:szCs w:val="20"/>
                <w:color w:val="auto"/>
              </w:rPr>
            </w:pPr>
            <w:r>
              <w:rPr>
                <w:rFonts w:ascii="Arial" w:cs="Arial" w:eastAsia="Arial" w:hAnsi="Arial"/>
                <w:sz w:val="14"/>
                <w:szCs w:val="14"/>
                <w:color w:val="auto"/>
                <w:w w:val="98"/>
              </w:rPr>
              <w:t>BLU</w:t>
            </w:r>
            <w:r>
              <w:rPr>
                <w:rFonts w:ascii="MS PGothic" w:cs="MS PGothic" w:eastAsia="MS PGothic" w:hAnsi="MS PGothic"/>
                <w:sz w:val="14"/>
                <w:szCs w:val="14"/>
                <w:color w:val="auto"/>
                <w:w w:val="98"/>
              </w:rPr>
              <w:t>‑</w:t>
            </w:r>
            <w:r>
              <w:rPr>
                <w:rFonts w:ascii="Arial" w:cs="Arial" w:eastAsia="Arial" w:hAnsi="Arial"/>
                <w:sz w:val="14"/>
                <w:szCs w:val="14"/>
                <w:color w:val="auto"/>
                <w:w w:val="98"/>
              </w:rPr>
              <w:t>554</w:t>
            </w:r>
          </w:p>
        </w:tc>
        <w:tc>
          <w:tcPr>
            <w:tcW w:w="960" w:type="dxa"/>
            <w:vAlign w:val="bottom"/>
            <w:gridSpan w:val="2"/>
          </w:tcPr>
          <w:p>
            <w:pPr>
              <w:ind w:left="140"/>
              <w:spacing w:after="0"/>
              <w:rPr>
                <w:sz w:val="20"/>
                <w:szCs w:val="20"/>
                <w:color w:val="auto"/>
              </w:rPr>
            </w:pPr>
            <w:r>
              <w:rPr>
                <w:rFonts w:ascii="Arial" w:cs="Arial" w:eastAsia="Arial" w:hAnsi="Arial"/>
                <w:sz w:val="14"/>
                <w:szCs w:val="14"/>
                <w:color w:val="auto"/>
              </w:rPr>
              <w:t xml:space="preserve">HCC </w:t>
            </w:r>
            <w:r>
              <w:rPr>
                <w:rFonts w:ascii="Arial" w:cs="Arial" w:eastAsia="Arial" w:hAnsi="Arial"/>
                <w:sz w:val="14"/>
                <w:szCs w:val="14"/>
                <w:color w:val="auto"/>
                <w:vertAlign w:val="superscript"/>
              </w:rPr>
              <w:t>(2)</w:t>
            </w:r>
          </w:p>
        </w:tc>
        <w:tc>
          <w:tcPr>
            <w:tcW w:w="1380" w:type="dxa"/>
            <w:vAlign w:val="bottom"/>
            <w:gridSpan w:val="2"/>
          </w:tcPr>
          <w:p>
            <w:pPr>
              <w:ind w:left="160"/>
              <w:spacing w:after="0"/>
              <w:rPr>
                <w:sz w:val="20"/>
                <w:szCs w:val="20"/>
                <w:color w:val="auto"/>
              </w:rPr>
            </w:pPr>
            <w:r>
              <w:rPr>
                <w:rFonts w:ascii="Arial" w:cs="Arial" w:eastAsia="Arial" w:hAnsi="Arial"/>
                <w:sz w:val="14"/>
                <w:szCs w:val="14"/>
                <w:color w:val="auto"/>
              </w:rPr>
              <w:t>18,700 first line</w:t>
            </w:r>
          </w:p>
        </w:tc>
        <w:tc>
          <w:tcPr>
            <w:tcW w:w="1440" w:type="dxa"/>
            <w:vAlign w:val="bottom"/>
          </w:tcPr>
          <w:p>
            <w:pPr>
              <w:ind w:left="60"/>
              <w:spacing w:after="0"/>
              <w:rPr>
                <w:sz w:val="20"/>
                <w:szCs w:val="20"/>
                <w:color w:val="auto"/>
              </w:rPr>
            </w:pPr>
            <w:r>
              <w:rPr>
                <w:rFonts w:ascii="Arial" w:cs="Arial" w:eastAsia="Arial" w:hAnsi="Arial"/>
                <w:sz w:val="14"/>
                <w:szCs w:val="14"/>
                <w:color w:val="auto"/>
              </w:rPr>
              <w:t>64,700 first line</w:t>
            </w:r>
          </w:p>
        </w:tc>
        <w:tc>
          <w:tcPr>
            <w:tcW w:w="1820" w:type="dxa"/>
            <w:vAlign w:val="bottom"/>
            <w:gridSpan w:val="2"/>
          </w:tcPr>
          <w:p>
            <w:pPr>
              <w:ind w:left="140"/>
              <w:spacing w:after="0"/>
              <w:rPr>
                <w:sz w:val="20"/>
                <w:szCs w:val="20"/>
                <w:color w:val="auto"/>
              </w:rPr>
            </w:pPr>
            <w:r>
              <w:rPr>
                <w:rFonts w:ascii="Arial" w:cs="Arial" w:eastAsia="Arial" w:hAnsi="Arial"/>
                <w:sz w:val="14"/>
                <w:szCs w:val="14"/>
                <w:color w:val="auto"/>
              </w:rPr>
              <w:t>Aberrant FGFR4 signaling</w:t>
            </w:r>
          </w:p>
        </w:tc>
        <w:tc>
          <w:tcPr>
            <w:tcW w:w="1800" w:type="dxa"/>
            <w:vAlign w:val="bottom"/>
          </w:tcPr>
          <w:p>
            <w:pPr>
              <w:jc w:val="center"/>
              <w:spacing w:after="0"/>
              <w:rPr>
                <w:sz w:val="20"/>
                <w:szCs w:val="20"/>
                <w:color w:val="auto"/>
              </w:rPr>
            </w:pPr>
            <w:r>
              <w:rPr>
                <w:rFonts w:ascii="Arial" w:cs="Arial" w:eastAsia="Arial" w:hAnsi="Arial"/>
                <w:sz w:val="14"/>
                <w:szCs w:val="14"/>
                <w:color w:val="auto"/>
                <w:w w:val="93"/>
              </w:rPr>
              <w:t>~30%</w:t>
            </w:r>
          </w:p>
        </w:tc>
        <w:tc>
          <w:tcPr>
            <w:tcW w:w="0" w:type="dxa"/>
            <w:vAlign w:val="bottom"/>
          </w:tcPr>
          <w:p>
            <w:pPr>
              <w:spacing w:after="0"/>
              <w:rPr>
                <w:sz w:val="1"/>
                <w:szCs w:val="1"/>
                <w:color w:val="auto"/>
              </w:rPr>
            </w:pPr>
          </w:p>
        </w:tc>
      </w:tr>
      <w:tr>
        <w:trPr>
          <w:trHeight w:val="186"/>
        </w:trPr>
        <w:tc>
          <w:tcPr>
            <w:tcW w:w="9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8,200 second line</w:t>
            </w:r>
          </w:p>
        </w:tc>
        <w:tc>
          <w:tcPr>
            <w:tcW w:w="14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29,000 second line</w:t>
            </w: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color w:val="auto"/>
              </w:rPr>
              <w:t>147,000 first line</w:t>
            </w:r>
          </w:p>
        </w:tc>
        <w:tc>
          <w:tcPr>
            <w:tcW w:w="1440" w:type="dxa"/>
            <w:vAlign w:val="bottom"/>
          </w:tcPr>
          <w:p>
            <w:pPr>
              <w:ind w:left="60"/>
              <w:spacing w:after="0"/>
              <w:rPr>
                <w:sz w:val="20"/>
                <w:szCs w:val="20"/>
                <w:color w:val="auto"/>
              </w:rPr>
            </w:pPr>
            <w:r>
              <w:rPr>
                <w:rFonts w:ascii="Arial" w:cs="Arial" w:eastAsia="Arial" w:hAnsi="Arial"/>
                <w:sz w:val="14"/>
                <w:szCs w:val="14"/>
                <w:color w:val="auto"/>
              </w:rPr>
              <w:t>373,000 first line</w:t>
            </w: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80" w:type="dxa"/>
            <w:vAlign w:val="bottom"/>
            <w:vMerge w:val="restart"/>
          </w:tcPr>
          <w:p>
            <w:pPr>
              <w:jc w:val="center"/>
              <w:spacing w:after="0" w:line="161" w:lineRule="exact"/>
              <w:rPr>
                <w:sz w:val="20"/>
                <w:szCs w:val="20"/>
                <w:color w:val="auto"/>
              </w:rPr>
            </w:pPr>
            <w:r>
              <w:rPr>
                <w:rFonts w:ascii="Arial" w:cs="Arial" w:eastAsia="Arial" w:hAnsi="Arial"/>
                <w:sz w:val="14"/>
                <w:szCs w:val="14"/>
                <w:color w:val="auto"/>
                <w:w w:val="98"/>
              </w:rPr>
              <w:t>BLU</w:t>
            </w:r>
            <w:r>
              <w:rPr>
                <w:rFonts w:ascii="MS PGothic" w:cs="MS PGothic" w:eastAsia="MS PGothic" w:hAnsi="MS PGothic"/>
                <w:sz w:val="14"/>
                <w:szCs w:val="14"/>
                <w:color w:val="auto"/>
                <w:w w:val="98"/>
              </w:rPr>
              <w:t>‑</w:t>
            </w:r>
            <w:r>
              <w:rPr>
                <w:rFonts w:ascii="Arial" w:cs="Arial" w:eastAsia="Arial" w:hAnsi="Arial"/>
                <w:sz w:val="14"/>
                <w:szCs w:val="14"/>
                <w:color w:val="auto"/>
                <w:w w:val="98"/>
              </w:rPr>
              <w:t>667</w:t>
            </w:r>
          </w:p>
        </w:tc>
        <w:tc>
          <w:tcPr>
            <w:tcW w:w="960" w:type="dxa"/>
            <w:vAlign w:val="bottom"/>
            <w:gridSpan w:val="2"/>
          </w:tcPr>
          <w:p>
            <w:pPr>
              <w:ind w:left="140"/>
              <w:spacing w:after="0"/>
              <w:rPr>
                <w:sz w:val="20"/>
                <w:szCs w:val="20"/>
                <w:color w:val="auto"/>
              </w:rPr>
            </w:pPr>
            <w:r>
              <w:rPr>
                <w:rFonts w:ascii="Arial" w:cs="Arial" w:eastAsia="Arial" w:hAnsi="Arial"/>
                <w:sz w:val="14"/>
                <w:szCs w:val="14"/>
                <w:color w:val="auto"/>
              </w:rPr>
              <w:t>NSCLC</w:t>
            </w:r>
          </w:p>
        </w:tc>
        <w:tc>
          <w:tcPr>
            <w:tcW w:w="1380" w:type="dxa"/>
            <w:vAlign w:val="bottom"/>
            <w:gridSpan w:val="2"/>
          </w:tcPr>
          <w:p>
            <w:pPr>
              <w:ind w:left="160"/>
              <w:spacing w:after="0"/>
              <w:rPr>
                <w:sz w:val="20"/>
                <w:szCs w:val="20"/>
                <w:color w:val="auto"/>
              </w:rPr>
            </w:pPr>
            <w:r>
              <w:rPr>
                <w:rFonts w:ascii="Arial" w:cs="Arial" w:eastAsia="Arial" w:hAnsi="Arial"/>
                <w:sz w:val="14"/>
                <w:szCs w:val="14"/>
                <w:color w:val="auto"/>
              </w:rPr>
              <w:t>87,500 second line</w:t>
            </w:r>
          </w:p>
        </w:tc>
        <w:tc>
          <w:tcPr>
            <w:tcW w:w="1440" w:type="dxa"/>
            <w:vAlign w:val="bottom"/>
          </w:tcPr>
          <w:p>
            <w:pPr>
              <w:ind w:left="60"/>
              <w:spacing w:after="0"/>
              <w:rPr>
                <w:sz w:val="20"/>
                <w:szCs w:val="20"/>
                <w:color w:val="auto"/>
              </w:rPr>
            </w:pPr>
            <w:r>
              <w:rPr>
                <w:rFonts w:ascii="Arial" w:cs="Arial" w:eastAsia="Arial" w:hAnsi="Arial"/>
                <w:sz w:val="14"/>
                <w:szCs w:val="14"/>
                <w:color w:val="auto"/>
              </w:rPr>
              <w:t>217,100 second line</w:t>
            </w:r>
          </w:p>
        </w:tc>
        <w:tc>
          <w:tcPr>
            <w:tcW w:w="1820" w:type="dxa"/>
            <w:vAlign w:val="bottom"/>
            <w:gridSpan w:val="2"/>
          </w:tcPr>
          <w:p>
            <w:pPr>
              <w:ind w:left="140"/>
              <w:spacing w:after="0"/>
              <w:rPr>
                <w:sz w:val="20"/>
                <w:szCs w:val="20"/>
                <w:color w:val="auto"/>
              </w:rPr>
            </w:pPr>
            <w:r>
              <w:rPr>
                <w:rFonts w:ascii="Arial" w:cs="Arial" w:eastAsia="Arial" w:hAnsi="Arial"/>
                <w:sz w:val="14"/>
                <w:szCs w:val="14"/>
                <w:color w:val="auto"/>
              </w:rPr>
              <w:t>RET fusions</w:t>
            </w:r>
          </w:p>
        </w:tc>
        <w:tc>
          <w:tcPr>
            <w:tcW w:w="1800" w:type="dxa"/>
            <w:vAlign w:val="bottom"/>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4"/>
                <w:szCs w:val="14"/>
                <w:color w:val="auto"/>
              </w:rPr>
              <w:t>39,400 third line</w:t>
            </w:r>
          </w:p>
        </w:tc>
        <w:tc>
          <w:tcPr>
            <w:tcW w:w="1440" w:type="dxa"/>
            <w:vAlign w:val="bottom"/>
            <w:vMerge w:val="restart"/>
          </w:tcPr>
          <w:p>
            <w:pPr>
              <w:ind w:left="60"/>
              <w:spacing w:after="0"/>
              <w:rPr>
                <w:sz w:val="20"/>
                <w:szCs w:val="20"/>
                <w:color w:val="auto"/>
              </w:rPr>
            </w:pPr>
            <w:r>
              <w:rPr>
                <w:rFonts w:ascii="Arial" w:cs="Arial" w:eastAsia="Arial" w:hAnsi="Arial"/>
                <w:sz w:val="14"/>
                <w:szCs w:val="14"/>
                <w:color w:val="auto"/>
              </w:rPr>
              <w:t>89,700 third line</w:t>
            </w:r>
          </w:p>
        </w:tc>
        <w:tc>
          <w:tcPr>
            <w:tcW w:w="1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9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980" w:type="dxa"/>
            <w:vAlign w:val="bottom"/>
          </w:tcPr>
          <w:p>
            <w:pPr>
              <w:spacing w:after="0"/>
              <w:rPr>
                <w:sz w:val="17"/>
                <w:szCs w:val="17"/>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color w:val="auto"/>
              </w:rPr>
              <w:t>MTC</w:t>
            </w:r>
          </w:p>
        </w:tc>
        <w:tc>
          <w:tcPr>
            <w:tcW w:w="1380" w:type="dxa"/>
            <w:vAlign w:val="bottom"/>
            <w:gridSpan w:val="2"/>
          </w:tcPr>
          <w:p>
            <w:pPr>
              <w:ind w:left="160"/>
              <w:spacing w:after="0"/>
              <w:rPr>
                <w:sz w:val="20"/>
                <w:szCs w:val="20"/>
                <w:color w:val="auto"/>
              </w:rPr>
            </w:pPr>
            <w:r>
              <w:rPr>
                <w:rFonts w:ascii="Arial" w:cs="Arial" w:eastAsia="Arial" w:hAnsi="Arial"/>
                <w:sz w:val="14"/>
                <w:szCs w:val="14"/>
                <w:color w:val="auto"/>
              </w:rPr>
              <w:t>640 total</w:t>
            </w:r>
          </w:p>
        </w:tc>
        <w:tc>
          <w:tcPr>
            <w:tcW w:w="1440" w:type="dxa"/>
            <w:vAlign w:val="bottom"/>
          </w:tcPr>
          <w:p>
            <w:pPr>
              <w:ind w:left="60"/>
              <w:spacing w:after="0"/>
              <w:rPr>
                <w:sz w:val="20"/>
                <w:szCs w:val="20"/>
                <w:color w:val="auto"/>
              </w:rPr>
            </w:pPr>
            <w:r>
              <w:rPr>
                <w:rFonts w:ascii="Arial" w:cs="Arial" w:eastAsia="Arial" w:hAnsi="Arial"/>
                <w:sz w:val="14"/>
                <w:szCs w:val="14"/>
                <w:color w:val="auto"/>
              </w:rPr>
              <w:t>1,300 total</w:t>
            </w:r>
          </w:p>
        </w:tc>
        <w:tc>
          <w:tcPr>
            <w:tcW w:w="1820" w:type="dxa"/>
            <w:vAlign w:val="bottom"/>
            <w:gridSpan w:val="2"/>
          </w:tcPr>
          <w:p>
            <w:pPr>
              <w:ind w:left="140"/>
              <w:spacing w:after="0"/>
              <w:rPr>
                <w:sz w:val="20"/>
                <w:szCs w:val="20"/>
                <w:color w:val="auto"/>
              </w:rPr>
            </w:pPr>
            <w:r>
              <w:rPr>
                <w:rFonts w:ascii="Arial" w:cs="Arial" w:eastAsia="Arial" w:hAnsi="Arial"/>
                <w:sz w:val="14"/>
                <w:szCs w:val="14"/>
                <w:color w:val="auto"/>
              </w:rPr>
              <w:t>RET mutations</w:t>
            </w:r>
          </w:p>
        </w:tc>
        <w:tc>
          <w:tcPr>
            <w:tcW w:w="1800" w:type="dxa"/>
            <w:vAlign w:val="bottom"/>
          </w:tcPr>
          <w:p>
            <w:pPr>
              <w:jc w:val="center"/>
              <w:spacing w:after="0"/>
              <w:rPr>
                <w:sz w:val="20"/>
                <w:szCs w:val="20"/>
                <w:color w:val="auto"/>
              </w:rPr>
            </w:pPr>
            <w:r>
              <w:rPr>
                <w:rFonts w:ascii="Arial" w:cs="Arial" w:eastAsia="Arial" w:hAnsi="Arial"/>
                <w:sz w:val="14"/>
                <w:szCs w:val="14"/>
                <w:color w:val="auto"/>
                <w:w w:val="93"/>
              </w:rPr>
              <w:t>~60%</w:t>
            </w:r>
          </w:p>
        </w:tc>
        <w:tc>
          <w:tcPr>
            <w:tcW w:w="0" w:type="dxa"/>
            <w:vAlign w:val="bottom"/>
          </w:tcPr>
          <w:p>
            <w:pPr>
              <w:spacing w:after="0"/>
              <w:rPr>
                <w:sz w:val="1"/>
                <w:szCs w:val="1"/>
                <w:color w:val="auto"/>
              </w:rPr>
            </w:pPr>
          </w:p>
        </w:tc>
      </w:tr>
      <w:tr>
        <w:trPr>
          <w:trHeight w:val="39"/>
        </w:trPr>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980" w:type="dxa"/>
            <w:vAlign w:val="bottom"/>
          </w:tcPr>
          <w:p>
            <w:pPr>
              <w:jc w:val="center"/>
              <w:spacing w:after="0" w:line="161" w:lineRule="exact"/>
              <w:rPr>
                <w:sz w:val="20"/>
                <w:szCs w:val="20"/>
                <w:color w:val="auto"/>
              </w:rPr>
            </w:pPr>
            <w:r>
              <w:rPr>
                <w:rFonts w:ascii="Arial" w:cs="Arial" w:eastAsia="Arial" w:hAnsi="Arial"/>
                <w:sz w:val="14"/>
                <w:szCs w:val="14"/>
                <w:color w:val="auto"/>
                <w:w w:val="98"/>
              </w:rPr>
              <w:t>BLU</w:t>
            </w:r>
            <w:r>
              <w:rPr>
                <w:rFonts w:ascii="MS PGothic" w:cs="MS PGothic" w:eastAsia="MS PGothic" w:hAnsi="MS PGothic"/>
                <w:sz w:val="14"/>
                <w:szCs w:val="14"/>
                <w:color w:val="auto"/>
                <w:w w:val="98"/>
              </w:rPr>
              <w:t>‑</w:t>
            </w:r>
            <w:r>
              <w:rPr>
                <w:rFonts w:ascii="Arial" w:cs="Arial" w:eastAsia="Arial" w:hAnsi="Arial"/>
                <w:sz w:val="14"/>
                <w:szCs w:val="14"/>
                <w:color w:val="auto"/>
                <w:w w:val="98"/>
              </w:rPr>
              <w:t>782</w:t>
            </w:r>
          </w:p>
        </w:tc>
        <w:tc>
          <w:tcPr>
            <w:tcW w:w="960" w:type="dxa"/>
            <w:vAlign w:val="bottom"/>
            <w:gridSpan w:val="2"/>
          </w:tcPr>
          <w:p>
            <w:pPr>
              <w:ind w:left="140"/>
              <w:spacing w:after="0"/>
              <w:rPr>
                <w:sz w:val="20"/>
                <w:szCs w:val="20"/>
                <w:color w:val="auto"/>
              </w:rPr>
            </w:pPr>
            <w:r>
              <w:rPr>
                <w:rFonts w:ascii="Arial" w:cs="Arial" w:eastAsia="Arial" w:hAnsi="Arial"/>
                <w:sz w:val="14"/>
                <w:szCs w:val="14"/>
                <w:color w:val="auto"/>
              </w:rPr>
              <w:t>FOP</w:t>
            </w:r>
          </w:p>
        </w:tc>
        <w:tc>
          <w:tcPr>
            <w:tcW w:w="1380" w:type="dxa"/>
            <w:vAlign w:val="bottom"/>
            <w:gridSpan w:val="2"/>
          </w:tcPr>
          <w:p>
            <w:pPr>
              <w:ind w:left="160"/>
              <w:spacing w:after="0"/>
              <w:rPr>
                <w:sz w:val="20"/>
                <w:szCs w:val="20"/>
                <w:color w:val="auto"/>
              </w:rPr>
            </w:pPr>
            <w:r>
              <w:rPr>
                <w:rFonts w:ascii="Arial" w:cs="Arial" w:eastAsia="Arial" w:hAnsi="Arial"/>
                <w:sz w:val="14"/>
                <w:szCs w:val="14"/>
                <w:color w:val="auto"/>
              </w:rPr>
              <w:t>400 total</w:t>
            </w:r>
          </w:p>
        </w:tc>
        <w:tc>
          <w:tcPr>
            <w:tcW w:w="1440" w:type="dxa"/>
            <w:vAlign w:val="bottom"/>
          </w:tcPr>
          <w:p>
            <w:pPr>
              <w:ind w:left="60"/>
              <w:spacing w:after="0"/>
              <w:rPr>
                <w:sz w:val="20"/>
                <w:szCs w:val="20"/>
                <w:color w:val="auto"/>
              </w:rPr>
            </w:pPr>
            <w:r>
              <w:rPr>
                <w:rFonts w:ascii="Arial" w:cs="Arial" w:eastAsia="Arial" w:hAnsi="Arial"/>
                <w:sz w:val="14"/>
                <w:szCs w:val="14"/>
                <w:color w:val="auto"/>
              </w:rPr>
              <w:t>1,100 total</w:t>
            </w:r>
          </w:p>
        </w:tc>
        <w:tc>
          <w:tcPr>
            <w:tcW w:w="1820" w:type="dxa"/>
            <w:vAlign w:val="bottom"/>
            <w:gridSpan w:val="2"/>
          </w:tcPr>
          <w:p>
            <w:pPr>
              <w:ind w:left="140"/>
              <w:spacing w:after="0"/>
              <w:rPr>
                <w:sz w:val="20"/>
                <w:szCs w:val="20"/>
                <w:color w:val="auto"/>
              </w:rPr>
            </w:pPr>
            <w:r>
              <w:rPr>
                <w:rFonts w:ascii="Arial" w:cs="Arial" w:eastAsia="Arial" w:hAnsi="Arial"/>
                <w:sz w:val="14"/>
                <w:szCs w:val="14"/>
                <w:color w:val="auto"/>
              </w:rPr>
              <w:t>ALK2 mutations</w:t>
            </w: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~100%</w:t>
            </w:r>
          </w:p>
        </w:tc>
        <w:tc>
          <w:tcPr>
            <w:tcW w:w="0" w:type="dxa"/>
            <w:vAlign w:val="bottom"/>
          </w:tcPr>
          <w:p>
            <w:pPr>
              <w:spacing w:after="0"/>
              <w:rPr>
                <w:sz w:val="1"/>
                <w:szCs w:val="1"/>
                <w:color w:val="auto"/>
              </w:rPr>
            </w:pPr>
          </w:p>
        </w:tc>
      </w:tr>
      <w:tr>
        <w:trPr>
          <w:trHeight w:val="39"/>
        </w:trPr>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980" w:right="339" w:hanging="329"/>
        <w:spacing w:after="0" w:line="210" w:lineRule="auto"/>
        <w:tabs>
          <w:tab w:leader="none" w:pos="9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Based on estimated prevalence for SM, MTC patients and FOP patients and estimated incidence for GIST, HCC and NSCLC patients. Estimates for GIST, HCC and NSCLC include metastatic and unresectable patient populations.</w:t>
      </w:r>
    </w:p>
    <w:p>
      <w:pPr>
        <w:ind w:left="980" w:right="319" w:hanging="329"/>
        <w:spacing w:after="0" w:line="153" w:lineRule="exact"/>
        <w:tabs>
          <w:tab w:leader="none" w:pos="9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incidence of HCC outside of the Major Markets, including in China, South Korea, Taiwan and Singapore, represents an additional opportunity for BLU</w:t>
      </w:r>
      <w:r>
        <w:rPr>
          <w:rFonts w:ascii="MS PGothic" w:cs="MS PGothic" w:eastAsia="MS PGothic" w:hAnsi="MS PGothic"/>
          <w:sz w:val="14"/>
          <w:szCs w:val="14"/>
          <w:color w:val="auto"/>
        </w:rPr>
        <w:t>‑</w:t>
      </w:r>
      <w:r>
        <w:rPr>
          <w:rFonts w:ascii="Arial" w:cs="Arial" w:eastAsia="Arial" w:hAnsi="Arial"/>
          <w:sz w:val="14"/>
          <w:szCs w:val="14"/>
          <w:color w:val="auto"/>
        </w:rPr>
        <w:t>554.</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KIT and PDGFRα Inhibitor Program (avapritinib)</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85" w:lineRule="exact"/>
        <w:rPr>
          <w:sz w:val="20"/>
          <w:szCs w:val="20"/>
          <w:color w:val="auto"/>
        </w:rPr>
      </w:pPr>
    </w:p>
    <w:p>
      <w:pPr>
        <w:ind w:right="19" w:firstLine="648"/>
        <w:spacing w:after="0" w:line="241" w:lineRule="auto"/>
        <w:rPr>
          <w:sz w:val="20"/>
          <w:szCs w:val="20"/>
          <w:color w:val="auto"/>
        </w:rPr>
      </w:pPr>
      <w:r>
        <w:rPr>
          <w:rFonts w:ascii="Arial" w:cs="Arial" w:eastAsia="Arial" w:hAnsi="Arial"/>
          <w:sz w:val="16"/>
          <w:szCs w:val="16"/>
          <w:color w:val="auto"/>
        </w:rPr>
        <w:t>Avapritinib is an orally available, potent and highly selective inhibitor that targets the homologous kinases KIT and PDGFRα, receptor tyrosine kinases that are drivers of cancer and proliferative disorders when abnormally activated. We specifically designed avapritinib to preferentially interact with the active conformation of KIT and PDGFRα to potently inhibit activation loop mutants not well-targeted by other agents, as well as a broad spectrum of other clinically relevant mutations. Avapritinib is able to potently and selectively inhibit both KIT and PDGFRα mutations with minimal inhibition of other kinases due to the high degree of structural similarity of the kinase domains of KIT and PDGFRα.</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120015</wp:posOffset>
            </wp:positionV>
            <wp:extent cx="1311910" cy="1792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11910" cy="179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right="559"/>
        <w:spacing w:after="0" w:line="243" w:lineRule="auto"/>
        <w:rPr>
          <w:sz w:val="20"/>
          <w:szCs w:val="20"/>
          <w:color w:val="auto"/>
        </w:rPr>
      </w:pPr>
      <w:r>
        <w:rPr>
          <w:rFonts w:ascii="Arial" w:cs="Arial" w:eastAsia="Arial" w:hAnsi="Arial"/>
          <w:sz w:val="13"/>
          <w:szCs w:val="13"/>
          <w:color w:val="auto"/>
        </w:rPr>
        <w:t xml:space="preserve">Kinome tree locations of KIT and PDGFRα illustrating close structural similarity between these kinases. Each branch of the dendogram represents an individual human kinase. </w:t>
      </w:r>
      <w:r>
        <w:rPr>
          <w:rFonts w:ascii="Arial" w:cs="Arial" w:eastAsia="Arial" w:hAnsi="Arial"/>
          <w:sz w:val="13"/>
          <w:szCs w:val="13"/>
          <w:i w:val="1"/>
          <w:iCs w:val="1"/>
          <w:color w:val="auto"/>
        </w:rPr>
        <w:t>Kinome illustration reproduced courtesy of Cell Signaling Technology, Inc., or CSTI</w:t>
      </w:r>
      <w:r>
        <w:rPr>
          <w:rFonts w:ascii="Arial" w:cs="Arial" w:eastAsia="Arial" w:hAnsi="Arial"/>
          <w:sz w:val="13"/>
          <w:szCs w:val="13"/>
          <w:color w:val="auto"/>
        </w:rPr>
        <w:t xml:space="preserve"> </w:t>
      </w:r>
      <w:r>
        <w:rPr>
          <w:rFonts w:ascii="Arial" w:cs="Arial" w:eastAsia="Arial" w:hAnsi="Arial"/>
          <w:sz w:val="13"/>
          <w:szCs w:val="13"/>
          <w:i w:val="1"/>
          <w:iCs w:val="1"/>
          <w:color w:val="auto"/>
        </w:rPr>
        <w:t>(www.cellsignal.com). The foregoing website is maintained by CSTI, and Blueprint Medicines is not responsible for its content.</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60" w:firstLine="648"/>
        <w:spacing w:after="0" w:line="185" w:lineRule="exact"/>
        <w:rPr>
          <w:sz w:val="20"/>
          <w:szCs w:val="20"/>
          <w:color w:val="auto"/>
        </w:rPr>
      </w:pPr>
      <w:r>
        <w:rPr>
          <w:rFonts w:ascii="Arial" w:cs="Arial" w:eastAsia="Arial" w:hAnsi="Arial"/>
          <w:sz w:val="17"/>
          <w:szCs w:val="17"/>
          <w:color w:val="auto"/>
        </w:rPr>
        <w:t>We are initially developing avapritinib for PDGFRα-driven GIST and KIT-driven GIST, which we collectively refer to as advanced GIST, and for advanced SM. In addition, based on the preliminary safety and clinical activity data from our Phase 1 clinical trial for avapritinib for advanced SM to date, including evidence of clinical activity starting at the lowest dose level, we anticipate initiating a Phase 2 dose escalation and proof</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concept clinical trial to evaluate avapritinib in patients with indolent SM, or ISM, and smoldering SM, or SSM, in the second half of 2018. We also plan to evaluate further development of avapritinib in additional diseases driven by KIT and PDGFRα.</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Gastrointestinal Stromal Tumors (GIST)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GIST Disease Background</w:t>
      </w:r>
    </w:p>
    <w:p>
      <w:pPr>
        <w:spacing w:after="0" w:line="185"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GIST is a rare disease that is a sarcoma of the GI tract. Tumors arise within cells in the wall of the GI tract and occur most often in the stomach or small intestine. Most patients are diagnosed between the ages of 50</w:t>
      </w:r>
      <w:r>
        <w:rPr>
          <w:rFonts w:ascii="MS PGothic" w:cs="MS PGothic" w:eastAsia="MS PGothic" w:hAnsi="MS PGothic"/>
          <w:sz w:val="18"/>
          <w:szCs w:val="18"/>
          <w:color w:val="auto"/>
        </w:rPr>
        <w:t>‑</w:t>
      </w:r>
      <w:r>
        <w:rPr>
          <w:rFonts w:ascii="Arial" w:cs="Arial" w:eastAsia="Arial" w:hAnsi="Arial"/>
          <w:sz w:val="18"/>
          <w:szCs w:val="18"/>
          <w:color w:val="auto"/>
        </w:rPr>
        <w:t>80 with diagnosis triggered by GI bleeding, incidental findings during surgery or imaging, or in rare cases acute presentation due to tumor rupture or GI obstruction. The standard workup at primary presentation includes pathologic confirmation and imaging to assess extent of disease.</w:t>
      </w:r>
    </w:p>
    <w:p>
      <w:pPr>
        <w:spacing w:after="0" w:line="162" w:lineRule="exact"/>
        <w:rPr>
          <w:sz w:val="20"/>
          <w:szCs w:val="20"/>
          <w:color w:val="auto"/>
        </w:rPr>
      </w:pPr>
    </w:p>
    <w:p>
      <w:pPr>
        <w:ind w:right="20" w:firstLine="648"/>
        <w:spacing w:after="0" w:line="187" w:lineRule="exact"/>
        <w:rPr>
          <w:sz w:val="20"/>
          <w:szCs w:val="20"/>
          <w:color w:val="auto"/>
        </w:rPr>
      </w:pPr>
      <w:r>
        <w:rPr>
          <w:rFonts w:ascii="Arial" w:cs="Arial" w:eastAsia="Arial" w:hAnsi="Arial"/>
          <w:sz w:val="18"/>
          <w:szCs w:val="18"/>
          <w:color w:val="auto"/>
        </w:rPr>
        <w:t>The GIST treatment paradigm has advanced dramatically over the past 15 years. Patients diagnosed with localized disease undergo potentially curative tumor resection, while imatinib is given to high risk resected patients to prolong the time to recurrence. The advent of imatinib has improved the prognosis of patients with unresectable or metastatic disease to a five</w:t>
      </w:r>
      <w:r>
        <w:rPr>
          <w:rFonts w:ascii="MS PGothic" w:cs="MS PGothic" w:eastAsia="MS PGothic" w:hAnsi="MS PGothic"/>
          <w:sz w:val="18"/>
          <w:szCs w:val="18"/>
          <w:color w:val="auto"/>
        </w:rPr>
        <w:t>‑</w:t>
      </w:r>
      <w:r>
        <w:rPr>
          <w:rFonts w:ascii="Arial" w:cs="Arial" w:eastAsia="Arial" w:hAnsi="Arial"/>
          <w:sz w:val="18"/>
          <w:szCs w:val="18"/>
          <w:color w:val="auto"/>
        </w:rPr>
        <w:t>year median overall survival. Unresectable or metastatic patients typically receive imatinib, followed by sunitinib and regorafenib as the disease progresses.</w:t>
      </w:r>
    </w:p>
    <w:p>
      <w:pPr>
        <w:spacing w:after="0" w:line="162" w:lineRule="exact"/>
        <w:rPr>
          <w:sz w:val="20"/>
          <w:szCs w:val="20"/>
          <w:color w:val="auto"/>
        </w:rPr>
      </w:pPr>
    </w:p>
    <w:p>
      <w:pPr>
        <w:ind w:right="240" w:firstLine="648"/>
        <w:spacing w:after="0" w:line="187" w:lineRule="exact"/>
        <w:rPr>
          <w:sz w:val="20"/>
          <w:szCs w:val="20"/>
          <w:color w:val="auto"/>
        </w:rPr>
      </w:pPr>
      <w:r>
        <w:rPr>
          <w:rFonts w:ascii="Arial" w:cs="Arial" w:eastAsia="Arial" w:hAnsi="Arial"/>
          <w:sz w:val="17"/>
          <w:szCs w:val="17"/>
          <w:color w:val="auto"/>
        </w:rPr>
        <w:t>For patients with KIT</w:t>
      </w:r>
      <w:r>
        <w:rPr>
          <w:rFonts w:ascii="MS PGothic" w:cs="MS PGothic" w:eastAsia="MS PGothic" w:hAnsi="MS PGothic"/>
          <w:sz w:val="17"/>
          <w:szCs w:val="17"/>
          <w:color w:val="auto"/>
        </w:rPr>
        <w:t>‑</w:t>
      </w:r>
      <w:r>
        <w:rPr>
          <w:rFonts w:ascii="Arial" w:cs="Arial" w:eastAsia="Arial" w:hAnsi="Arial"/>
          <w:sz w:val="17"/>
          <w:szCs w:val="17"/>
          <w:color w:val="auto"/>
        </w:rPr>
        <w:t>driven GIST, current medical therapies slow the course of disease but progression is inevitable in most cases. Up to 50% of patients treated with frontline imatinib relapse within approximately 18 months. Of the secondary resistance mutations that lead to relapse, many of the mutations are not addressed by current therapies and confer mutations confer resistance to current treatments. A therapy that effectively suppresses a broad spectrum of KIT mutations and that is potentially amenable to combinations with existing agents is needed.</w:t>
      </w:r>
    </w:p>
    <w:p>
      <w:pPr>
        <w:spacing w:after="0" w:line="161" w:lineRule="exact"/>
        <w:rPr>
          <w:sz w:val="20"/>
          <w:szCs w:val="20"/>
          <w:color w:val="auto"/>
        </w:rPr>
      </w:pPr>
    </w:p>
    <w:p>
      <w:pPr>
        <w:ind w:right="180" w:firstLine="648"/>
        <w:spacing w:after="0" w:line="194" w:lineRule="exact"/>
        <w:rPr>
          <w:sz w:val="20"/>
          <w:szCs w:val="20"/>
          <w:color w:val="auto"/>
        </w:rPr>
      </w:pPr>
      <w:r>
        <w:rPr>
          <w:rFonts w:ascii="Arial" w:cs="Arial" w:eastAsia="Arial" w:hAnsi="Arial"/>
          <w:sz w:val="18"/>
          <w:szCs w:val="18"/>
          <w:color w:val="auto"/>
        </w:rPr>
        <w:t>Patients with PDGFRα D842V</w:t>
      </w:r>
      <w:r>
        <w:rPr>
          <w:rFonts w:ascii="MS PGothic" w:cs="MS PGothic" w:eastAsia="MS PGothic" w:hAnsi="MS PGothic"/>
          <w:sz w:val="18"/>
          <w:szCs w:val="18"/>
          <w:color w:val="auto"/>
        </w:rPr>
        <w:t>‑</w:t>
      </w:r>
      <w:r>
        <w:rPr>
          <w:rFonts w:ascii="Arial" w:cs="Arial" w:eastAsia="Arial" w:hAnsi="Arial"/>
          <w:sz w:val="18"/>
          <w:szCs w:val="18"/>
          <w:color w:val="auto"/>
        </w:rPr>
        <w:t>driven GIST have great unmet medical need, as no approved medical therapies are effective. Progression can occur within as little as three months, and the median overall survival is 15 months for patients with advanced disease.</w:t>
      </w:r>
    </w:p>
    <w:p>
      <w:pPr>
        <w:spacing w:after="0" w:line="163" w:lineRule="exact"/>
        <w:rPr>
          <w:sz w:val="20"/>
          <w:szCs w:val="20"/>
          <w:color w:val="auto"/>
        </w:rPr>
      </w:pPr>
    </w:p>
    <w:p>
      <w:pPr>
        <w:ind w:right="20" w:firstLine="648"/>
        <w:spacing w:after="0" w:line="189" w:lineRule="exact"/>
        <w:rPr>
          <w:sz w:val="20"/>
          <w:szCs w:val="20"/>
          <w:color w:val="auto"/>
        </w:rPr>
      </w:pPr>
      <w:r>
        <w:rPr>
          <w:rFonts w:ascii="Arial" w:cs="Arial" w:eastAsia="Arial" w:hAnsi="Arial"/>
          <w:sz w:val="17"/>
          <w:szCs w:val="17"/>
          <w:color w:val="auto"/>
        </w:rPr>
        <w:t>In the Major Markets, we estimate there are approximately 24,100 patients with unresectable or metastatic GIST, including approximately 7,700 patients with second line GIST and approximately 7,700 patients with third line or later GIST. The PDGFRα D842V mutation is found in 5</w:t>
      </w:r>
      <w:r>
        <w:rPr>
          <w:rFonts w:ascii="MS PGothic" w:cs="MS PGothic" w:eastAsia="MS PGothic" w:hAnsi="MS PGothic"/>
          <w:sz w:val="17"/>
          <w:szCs w:val="17"/>
          <w:color w:val="auto"/>
        </w:rPr>
        <w:t>‑</w:t>
      </w:r>
      <w:r>
        <w:rPr>
          <w:rFonts w:ascii="Arial" w:cs="Arial" w:eastAsia="Arial" w:hAnsi="Arial"/>
          <w:sz w:val="17"/>
          <w:szCs w:val="17"/>
          <w:color w:val="auto"/>
        </w:rPr>
        <w:t>6% of frontline unresectable or metastatic GIST patients, and we estimate there are approximately 500 patients with PDGFRα D842V</w:t>
      </w:r>
      <w:r>
        <w:rPr>
          <w:rFonts w:ascii="MS PGothic" w:cs="MS PGothic" w:eastAsia="MS PGothic" w:hAnsi="MS PGothic"/>
          <w:sz w:val="17"/>
          <w:szCs w:val="17"/>
          <w:color w:val="auto"/>
        </w:rPr>
        <w:t>‑</w:t>
      </w:r>
      <w:r>
        <w:rPr>
          <w:rFonts w:ascii="Arial" w:cs="Arial" w:eastAsia="Arial" w:hAnsi="Arial"/>
          <w:sz w:val="17"/>
          <w:szCs w:val="17"/>
          <w:color w:val="auto"/>
        </w:rPr>
        <w:t>driven GIST in the Major Markets.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KIT and PDGFRα Driver Mutations in GIST</w:t>
      </w:r>
    </w:p>
    <w:p>
      <w:pPr>
        <w:spacing w:after="0" w:line="185" w:lineRule="exact"/>
        <w:rPr>
          <w:sz w:val="20"/>
          <w:szCs w:val="20"/>
          <w:color w:val="auto"/>
        </w:rPr>
      </w:pPr>
    </w:p>
    <w:p>
      <w:pPr>
        <w:ind w:right="20" w:firstLine="648"/>
        <w:spacing w:after="0" w:line="182" w:lineRule="exact"/>
        <w:rPr>
          <w:sz w:val="20"/>
          <w:szCs w:val="20"/>
          <w:color w:val="auto"/>
        </w:rPr>
      </w:pPr>
      <w:r>
        <w:rPr>
          <w:rFonts w:ascii="Arial" w:cs="Arial" w:eastAsia="Arial" w:hAnsi="Arial"/>
          <w:sz w:val="16"/>
          <w:szCs w:val="16"/>
          <w:color w:val="auto"/>
        </w:rPr>
        <w:t>GIST is a tumor type that depends on continued signaling of a single, aberrantly active kinase. Most GISTs result from primary mutations in KIT or PDGFRα. Approximately 80% of patients have KIT</w:t>
      </w:r>
      <w:r>
        <w:rPr>
          <w:rFonts w:ascii="MS PGothic" w:cs="MS PGothic" w:eastAsia="MS PGothic" w:hAnsi="MS PGothic"/>
          <w:sz w:val="16"/>
          <w:szCs w:val="16"/>
          <w:color w:val="auto"/>
        </w:rPr>
        <w:t>‑</w:t>
      </w:r>
      <w:r>
        <w:rPr>
          <w:rFonts w:ascii="Arial" w:cs="Arial" w:eastAsia="Arial" w:hAnsi="Arial"/>
          <w:sz w:val="16"/>
          <w:szCs w:val="16"/>
          <w:color w:val="auto"/>
        </w:rPr>
        <w:t>driven GIST. Imatinib effectively inhibits most KIT primary mutations; however over time, secondary mutations occur elsewhere in the KIT gene that lead to kinase activation despite the presence of imatinib, thereby leading to disease progression. The most common mutation in the PDGFRα gene is D842V, found in approximately 5</w:t>
      </w:r>
      <w:r>
        <w:rPr>
          <w:rFonts w:ascii="MS PGothic" w:cs="MS PGothic" w:eastAsia="MS PGothic" w:hAnsi="MS PGothic"/>
          <w:sz w:val="16"/>
          <w:szCs w:val="16"/>
          <w:color w:val="auto"/>
        </w:rPr>
        <w:t>‑</w:t>
      </w:r>
      <w:r>
        <w:rPr>
          <w:rFonts w:ascii="Arial" w:cs="Arial" w:eastAsia="Arial" w:hAnsi="Arial"/>
          <w:sz w:val="16"/>
          <w:szCs w:val="16"/>
          <w:color w:val="auto"/>
        </w:rPr>
        <w:t>6% of frontline unresectable or metastatic GIST patients. There is currently no therapeutic option for patients with D842V mutant PDGFRα</w:t>
      </w:r>
      <w:r>
        <w:rPr>
          <w:rFonts w:ascii="MS PGothic" w:cs="MS PGothic" w:eastAsia="MS PGothic" w:hAnsi="MS PGothic"/>
          <w:sz w:val="16"/>
          <w:szCs w:val="16"/>
          <w:color w:val="auto"/>
        </w:rPr>
        <w:t>‑</w:t>
      </w:r>
      <w:r>
        <w:rPr>
          <w:rFonts w:ascii="Arial" w:cs="Arial" w:eastAsia="Arial" w:hAnsi="Arial"/>
          <w:sz w:val="16"/>
          <w:szCs w:val="16"/>
          <w:color w:val="auto"/>
        </w:rPr>
        <w:t>driven GIST. PDGFRα has a very similar active site structure to KIT, and the PDGFRα D842V mutation is homologous to KIT D816V. As in the case of KIT Exon 17 mutant receptors, PDGFRα D842V mutations confer ligand</w:t>
      </w:r>
      <w:r>
        <w:rPr>
          <w:rFonts w:ascii="MS PGothic" w:cs="MS PGothic" w:eastAsia="MS PGothic" w:hAnsi="MS PGothic"/>
          <w:sz w:val="16"/>
          <w:szCs w:val="16"/>
          <w:color w:val="auto"/>
        </w:rPr>
        <w:t>‑</w:t>
      </w:r>
      <w:r>
        <w:rPr>
          <w:rFonts w:ascii="Arial" w:cs="Arial" w:eastAsia="Arial" w:hAnsi="Arial"/>
          <w:sz w:val="16"/>
          <w:szCs w:val="16"/>
          <w:color w:val="auto"/>
        </w:rPr>
        <w:t>independent constitutive signaling of the mutant PDGFRα kinase.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Pre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clinical Development of avapritinib in GIST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conducted comprehensive pre-clinical experiments to characterize the potency and selectivity of</w:t>
      </w:r>
    </w:p>
    <w:p>
      <w:pPr>
        <w:ind w:right="60"/>
        <w:spacing w:after="0" w:line="230" w:lineRule="exact"/>
        <w:rPr>
          <w:sz w:val="20"/>
          <w:szCs w:val="20"/>
          <w:color w:val="auto"/>
        </w:rPr>
      </w:pPr>
      <w:r>
        <w:rPr>
          <w:rFonts w:ascii="Arial" w:cs="Arial" w:eastAsia="Arial" w:hAnsi="Arial"/>
          <w:sz w:val="16"/>
          <w:szCs w:val="16"/>
          <w:color w:val="auto"/>
        </w:rPr>
        <w:t xml:space="preserve">avapritinib. Avapritinib potently inhibits PDGFRα D842V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 0.24 nM). In contrast, imatinib inhibits PDGFRα D842V at least 3,000</w:t>
      </w:r>
      <w:r>
        <w:rPr>
          <w:rFonts w:ascii="MS PGothic" w:cs="MS PGothic" w:eastAsia="MS PGothic" w:hAnsi="MS PGothic"/>
          <w:sz w:val="16"/>
          <w:szCs w:val="16"/>
          <w:color w:val="auto"/>
        </w:rPr>
        <w:t>‑</w:t>
      </w:r>
      <w:r>
        <w:rPr>
          <w:rFonts w:ascii="Arial" w:cs="Arial" w:eastAsia="Arial" w:hAnsi="Arial"/>
          <w:sz w:val="16"/>
          <w:szCs w:val="16"/>
          <w:color w:val="auto"/>
        </w:rPr>
        <w:t>fold less potently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 759 nM). In a cellular model driven by an activated PDGFRα D842V mutant</w:t>
      </w:r>
    </w:p>
    <w:p>
      <w:pPr>
        <w:spacing w:after="0" w:line="1" w:lineRule="exact"/>
        <w:rPr>
          <w:sz w:val="20"/>
          <w:szCs w:val="20"/>
          <w:color w:val="auto"/>
        </w:rPr>
      </w:pPr>
    </w:p>
    <w:p>
      <w:pPr>
        <w:spacing w:after="0" w:line="203" w:lineRule="exact"/>
        <w:rPr>
          <w:sz w:val="20"/>
          <w:szCs w:val="20"/>
          <w:color w:val="auto"/>
        </w:rPr>
      </w:pPr>
      <w:r>
        <w:rPr>
          <w:rFonts w:ascii="Arial" w:cs="Arial" w:eastAsia="Arial" w:hAnsi="Arial"/>
          <w:sz w:val="16"/>
          <w:szCs w:val="16"/>
          <w:color w:val="auto"/>
        </w:rPr>
        <w:t>protein, avapritinib potently inhibits signaling of the oncogenic PDGFRα mutant protein as measured by inhibition of PDGFRα autophosphorylation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 30 nM). By comparison, imatinib shows at least 100</w:t>
      </w:r>
      <w:r>
        <w:rPr>
          <w:rFonts w:ascii="MS PGothic" w:cs="MS PGothic" w:eastAsia="MS PGothic" w:hAnsi="MS PGothic"/>
          <w:sz w:val="16"/>
          <w:szCs w:val="16"/>
          <w:color w:val="auto"/>
        </w:rPr>
        <w:t>‑</w:t>
      </w:r>
      <w:r>
        <w:rPr>
          <w:rFonts w:ascii="Arial" w:cs="Arial" w:eastAsia="Arial" w:hAnsi="Arial"/>
          <w:sz w:val="16"/>
          <w:szCs w:val="16"/>
          <w:color w:val="auto"/>
        </w:rPr>
        <w:t>fold lower potency in the cellular</w:t>
      </w:r>
    </w:p>
    <w:p>
      <w:pPr>
        <w:spacing w:after="0" w:line="183" w:lineRule="auto"/>
        <w:rPr>
          <w:sz w:val="20"/>
          <w:szCs w:val="20"/>
          <w:color w:val="auto"/>
        </w:rPr>
      </w:pPr>
      <w:r>
        <w:rPr>
          <w:rFonts w:ascii="Arial" w:cs="Arial" w:eastAsia="Arial" w:hAnsi="Arial"/>
          <w:sz w:val="17"/>
          <w:szCs w:val="17"/>
          <w:color w:val="auto"/>
        </w:rPr>
        <w:t>model (IC</w:t>
      </w:r>
      <w:r>
        <w:rPr>
          <w:rFonts w:ascii="Arial" w:cs="Arial" w:eastAsia="Arial" w:hAnsi="Arial"/>
          <w:sz w:val="28"/>
          <w:szCs w:val="28"/>
          <w:color w:val="auto"/>
          <w:vertAlign w:val="subscript"/>
        </w:rPr>
        <w:t>50</w:t>
      </w:r>
      <w:r>
        <w:rPr>
          <w:rFonts w:ascii="Arial" w:cs="Arial" w:eastAsia="Arial" w:hAnsi="Arial"/>
          <w:sz w:val="17"/>
          <w:szCs w:val="17"/>
          <w:color w:val="auto"/>
        </w:rPr>
        <w:t xml:space="preserve"> = 3,145 nM).</w:t>
      </w:r>
    </w:p>
    <w:p>
      <w:pPr>
        <w:spacing w:after="0" w:line="185" w:lineRule="exact"/>
        <w:rPr>
          <w:sz w:val="20"/>
          <w:szCs w:val="20"/>
          <w:color w:val="auto"/>
        </w:rPr>
      </w:pPr>
    </w:p>
    <w:p>
      <w:pPr>
        <w:ind w:right="140" w:firstLine="648"/>
        <w:spacing w:after="0" w:line="187" w:lineRule="exact"/>
        <w:rPr>
          <w:sz w:val="20"/>
          <w:szCs w:val="20"/>
          <w:color w:val="auto"/>
        </w:rPr>
      </w:pPr>
      <w:r>
        <w:rPr>
          <w:rFonts w:ascii="Arial" w:cs="Arial" w:eastAsia="Arial" w:hAnsi="Arial"/>
          <w:sz w:val="18"/>
          <w:szCs w:val="18"/>
          <w:color w:val="auto"/>
        </w:rPr>
        <w:t>We have also demonstrated significant anti</w:t>
      </w:r>
      <w:r>
        <w:rPr>
          <w:rFonts w:ascii="MS PGothic" w:cs="MS PGothic" w:eastAsia="MS PGothic" w:hAnsi="MS PGothic"/>
          <w:sz w:val="18"/>
          <w:szCs w:val="18"/>
          <w:color w:val="auto"/>
        </w:rPr>
        <w:t>‑</w:t>
      </w:r>
      <w:r>
        <w:rPr>
          <w:rFonts w:ascii="Arial" w:cs="Arial" w:eastAsia="Arial" w:hAnsi="Arial"/>
          <w:sz w:val="18"/>
          <w:szCs w:val="18"/>
          <w:color w:val="auto"/>
        </w:rPr>
        <w:t>tumor efficacy with avapritinib in an imatinib-resistant patient</w:t>
      </w:r>
      <w:r>
        <w:rPr>
          <w:rFonts w:ascii="MS PGothic" w:cs="MS PGothic" w:eastAsia="MS PGothic" w:hAnsi="MS PGothic"/>
          <w:sz w:val="18"/>
          <w:szCs w:val="18"/>
          <w:color w:val="auto"/>
        </w:rPr>
        <w:t>‑</w:t>
      </w:r>
      <w:r>
        <w:rPr>
          <w:rFonts w:ascii="Arial" w:cs="Arial" w:eastAsia="Arial" w:hAnsi="Arial"/>
          <w:sz w:val="18"/>
          <w:szCs w:val="18"/>
          <w:color w:val="auto"/>
        </w:rPr>
        <w:t>derived xenograft models with a KIT Exon 17 resistance mutation, similar to what is found in relapsed/refractory KIT</w:t>
      </w:r>
      <w:r>
        <w:rPr>
          <w:rFonts w:ascii="MS PGothic" w:cs="MS PGothic" w:eastAsia="MS PGothic" w:hAnsi="MS PGothic"/>
          <w:sz w:val="18"/>
          <w:szCs w:val="18"/>
          <w:color w:val="auto"/>
        </w:rPr>
        <w:t>‑</w:t>
      </w:r>
      <w:r>
        <w:rPr>
          <w:rFonts w:ascii="Arial" w:cs="Arial" w:eastAsia="Arial" w:hAnsi="Arial"/>
          <w:sz w:val="18"/>
          <w:szCs w:val="18"/>
          <w:color w:val="auto"/>
        </w:rPr>
        <w:t>driven GIST, as well as patient-derived xenograft models with KIT Exon 11 and KIT Exon 13 mutations. In these xenograft models, avapritinib administered orally for 25 days resulted in tumor regression at the two highest tested doses, which were well-tolerated.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wp:posOffset>
            </wp:positionH>
            <wp:positionV relativeFrom="paragraph">
              <wp:posOffset>95250</wp:posOffset>
            </wp:positionV>
            <wp:extent cx="4999990" cy="1792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9990" cy="179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60" w:right="380"/>
        <w:spacing w:after="0" w:line="159" w:lineRule="exact"/>
        <w:rPr>
          <w:sz w:val="20"/>
          <w:szCs w:val="20"/>
          <w:color w:val="auto"/>
        </w:rPr>
      </w:pPr>
      <w:r>
        <w:rPr>
          <w:rFonts w:ascii="Arial" w:cs="Arial" w:eastAsia="Arial" w:hAnsi="Arial"/>
          <w:sz w:val="13"/>
          <w:szCs w:val="13"/>
          <w:color w:val="auto"/>
        </w:rPr>
        <w:t>Avapritinib elicits dose</w:t>
      </w:r>
      <w:r>
        <w:rPr>
          <w:rFonts w:ascii="MS PGothic" w:cs="MS PGothic" w:eastAsia="MS PGothic" w:hAnsi="MS PGothic"/>
          <w:sz w:val="13"/>
          <w:szCs w:val="13"/>
          <w:color w:val="auto"/>
        </w:rPr>
        <w:t>‑</w:t>
      </w:r>
      <w:r>
        <w:rPr>
          <w:rFonts w:ascii="Arial" w:cs="Arial" w:eastAsia="Arial" w:hAnsi="Arial"/>
          <w:sz w:val="13"/>
          <w:szCs w:val="13"/>
          <w:color w:val="auto"/>
        </w:rPr>
        <w:t>dependent tumor regression in a patient</w:t>
      </w:r>
      <w:r>
        <w:rPr>
          <w:rFonts w:ascii="MS PGothic" w:cs="MS PGothic" w:eastAsia="MS PGothic" w:hAnsi="MS PGothic"/>
          <w:sz w:val="13"/>
          <w:szCs w:val="13"/>
          <w:color w:val="auto"/>
        </w:rPr>
        <w:t>‑</w:t>
      </w:r>
      <w:r>
        <w:rPr>
          <w:rFonts w:ascii="Arial" w:cs="Arial" w:eastAsia="Arial" w:hAnsi="Arial"/>
          <w:sz w:val="13"/>
          <w:szCs w:val="13"/>
          <w:color w:val="auto"/>
        </w:rPr>
        <w:t>derived GIST xenograft model with a KIT Exon 11 mutation, KIT Exon 13 mutations and a KIT Exon 17 resistance mutation. In the figure above, QD means once a day and BID means twice a day.</w:t>
      </w:r>
    </w:p>
    <w:p>
      <w:pPr>
        <w:spacing w:after="0" w:line="174" w:lineRule="exact"/>
        <w:rPr>
          <w:sz w:val="20"/>
          <w:szCs w:val="20"/>
          <w:color w:val="auto"/>
        </w:rPr>
      </w:pPr>
    </w:p>
    <w:p>
      <w:pPr>
        <w:ind w:right="140" w:firstLine="648"/>
        <w:spacing w:after="0" w:line="235" w:lineRule="auto"/>
        <w:rPr>
          <w:sz w:val="20"/>
          <w:szCs w:val="20"/>
          <w:color w:val="auto"/>
        </w:rPr>
      </w:pPr>
      <w:r>
        <w:rPr>
          <w:rFonts w:ascii="Arial" w:cs="Arial" w:eastAsia="Arial" w:hAnsi="Arial"/>
          <w:sz w:val="18"/>
          <w:szCs w:val="18"/>
          <w:color w:val="auto"/>
        </w:rPr>
        <w:t>We recently presented pre-clinical data showing avapritinib is active across a broad spectrum of KIT and PDGFRα mutations, as shown in the figure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0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2160" w:type="dxa"/>
            <w:vAlign w:val="bottom"/>
            <w:tcBorders>
              <w:top w:val="single" w:sz="8" w:color="auto"/>
              <w:bottom w:val="single" w:sz="8" w:color="auto"/>
            </w:tcBorders>
            <w:gridSpan w:val="2"/>
          </w:tcPr>
          <w:p>
            <w:pPr>
              <w:ind w:left="680"/>
              <w:spacing w:after="0" w:line="243" w:lineRule="exact"/>
              <w:rPr>
                <w:sz w:val="20"/>
                <w:szCs w:val="20"/>
                <w:color w:val="auto"/>
              </w:rPr>
            </w:pPr>
            <w:r>
              <w:rPr>
                <w:rFonts w:ascii="Arial" w:cs="Arial" w:eastAsia="Arial" w:hAnsi="Arial"/>
                <w:sz w:val="17"/>
                <w:szCs w:val="17"/>
                <w:b w:val="1"/>
                <w:bCs w:val="1"/>
                <w:color w:val="auto"/>
              </w:rPr>
              <w:t>IC</w:t>
            </w:r>
            <w:r>
              <w:rPr>
                <w:rFonts w:ascii="Arial" w:cs="Arial" w:eastAsia="Arial" w:hAnsi="Arial"/>
                <w:sz w:val="28"/>
                <w:szCs w:val="28"/>
                <w:b w:val="1"/>
                <w:bCs w:val="1"/>
                <w:color w:val="auto"/>
                <w:vertAlign w:val="subscript"/>
              </w:rPr>
              <w:t>50</w:t>
            </w:r>
            <w:r>
              <w:rPr>
                <w:rFonts w:ascii="Arial" w:cs="Arial" w:eastAsia="Arial" w:hAnsi="Arial"/>
                <w:sz w:val="17"/>
                <w:szCs w:val="17"/>
                <w:b w:val="1"/>
                <w:bCs w:val="1"/>
                <w:color w:val="auto"/>
              </w:rPr>
              <w:t xml:space="preserve"> (nM)</w:t>
            </w:r>
          </w:p>
        </w:tc>
        <w:tc>
          <w:tcPr>
            <w:tcW w:w="0" w:type="dxa"/>
            <w:vAlign w:val="bottom"/>
          </w:tcPr>
          <w:p>
            <w:pPr>
              <w:spacing w:after="0"/>
              <w:rPr>
                <w:sz w:val="1"/>
                <w:szCs w:val="1"/>
                <w:color w:val="auto"/>
              </w:rPr>
            </w:pPr>
          </w:p>
        </w:tc>
      </w:tr>
      <w:tr>
        <w:trPr>
          <w:trHeight w:val="169"/>
        </w:trPr>
        <w:tc>
          <w:tcPr>
            <w:tcW w:w="2200" w:type="dxa"/>
            <w:vAlign w:val="bottom"/>
            <w:tcBorders>
              <w:bottom w:val="single" w:sz="8" w:color="auto"/>
            </w:tcBorders>
            <w:shd w:val="clear" w:color="auto" w:fill="BFBFBF"/>
          </w:tcPr>
          <w:p>
            <w:pPr>
              <w:spacing w:after="0"/>
              <w:rPr>
                <w:sz w:val="14"/>
                <w:szCs w:val="14"/>
                <w:color w:val="auto"/>
              </w:rPr>
            </w:pPr>
          </w:p>
        </w:tc>
        <w:tc>
          <w:tcPr>
            <w:tcW w:w="2200" w:type="dxa"/>
            <w:vAlign w:val="bottom"/>
            <w:tcBorders>
              <w:bottom w:val="single" w:sz="8" w:color="auto"/>
            </w:tcBorders>
            <w:shd w:val="clear" w:color="auto" w:fill="BFBFBF"/>
          </w:tcPr>
          <w:p>
            <w:pPr>
              <w:spacing w:after="0"/>
              <w:rPr>
                <w:sz w:val="14"/>
                <w:szCs w:val="14"/>
                <w:color w:val="auto"/>
              </w:rPr>
            </w:pPr>
          </w:p>
        </w:tc>
        <w:tc>
          <w:tcPr>
            <w:tcW w:w="1060" w:type="dxa"/>
            <w:vAlign w:val="bottom"/>
            <w:tcBorders>
              <w:bottom w:val="single" w:sz="8" w:color="auto"/>
            </w:tcBorders>
            <w:shd w:val="clear" w:color="auto" w:fill="BFBFBF"/>
          </w:tcPr>
          <w:p>
            <w:pPr>
              <w:ind w:left="120"/>
              <w:spacing w:after="0" w:line="170" w:lineRule="exact"/>
              <w:rPr>
                <w:sz w:val="20"/>
                <w:szCs w:val="20"/>
                <w:color w:val="auto"/>
              </w:rPr>
            </w:pPr>
            <w:r>
              <w:rPr>
                <w:rFonts w:ascii="Arial" w:cs="Arial" w:eastAsia="Arial" w:hAnsi="Arial"/>
                <w:sz w:val="18"/>
                <w:szCs w:val="18"/>
                <w:b w:val="1"/>
                <w:bCs w:val="1"/>
                <w:i w:val="1"/>
                <w:iCs w:val="1"/>
                <w:color w:val="auto"/>
              </w:rPr>
              <w:t>avapritinib</w:t>
            </w:r>
          </w:p>
        </w:tc>
        <w:tc>
          <w:tcPr>
            <w:tcW w:w="1100" w:type="dxa"/>
            <w:vAlign w:val="bottom"/>
            <w:tcBorders>
              <w:bottom w:val="single" w:sz="8" w:color="auto"/>
            </w:tcBorders>
            <w:shd w:val="clear" w:color="auto" w:fill="BFBFBF"/>
          </w:tcPr>
          <w:p>
            <w:pPr>
              <w:ind w:left="240"/>
              <w:spacing w:after="0" w:line="170" w:lineRule="exact"/>
              <w:rPr>
                <w:sz w:val="20"/>
                <w:szCs w:val="20"/>
                <w:color w:val="auto"/>
              </w:rPr>
            </w:pPr>
            <w:r>
              <w:rPr>
                <w:rFonts w:ascii="Arial" w:cs="Arial" w:eastAsia="Arial" w:hAnsi="Arial"/>
                <w:sz w:val="18"/>
                <w:szCs w:val="18"/>
                <w:b w:val="1"/>
                <w:bCs w:val="1"/>
                <w:i w:val="1"/>
                <w:iCs w:val="1"/>
                <w:color w:val="auto"/>
              </w:rPr>
              <w:t>imatinib</w:t>
            </w:r>
          </w:p>
        </w:tc>
        <w:tc>
          <w:tcPr>
            <w:tcW w:w="0" w:type="dxa"/>
            <w:vAlign w:val="bottom"/>
          </w:tcPr>
          <w:p>
            <w:pPr>
              <w:spacing w:after="0"/>
              <w:rPr>
                <w:sz w:val="1"/>
                <w:szCs w:val="1"/>
                <w:color w:val="auto"/>
              </w:rPr>
            </w:pPr>
          </w:p>
        </w:tc>
      </w:tr>
      <w:tr>
        <w:trPr>
          <w:trHeight w:val="142"/>
        </w:trPr>
        <w:tc>
          <w:tcPr>
            <w:tcW w:w="2200" w:type="dxa"/>
            <w:vAlign w:val="bottom"/>
          </w:tcPr>
          <w:p>
            <w:pPr>
              <w:ind w:left="120"/>
              <w:spacing w:after="0" w:line="142" w:lineRule="exact"/>
              <w:rPr>
                <w:sz w:val="20"/>
                <w:szCs w:val="20"/>
                <w:color w:val="auto"/>
              </w:rPr>
            </w:pPr>
            <w:r>
              <w:rPr>
                <w:rFonts w:ascii="Arial" w:cs="Arial" w:eastAsia="Arial" w:hAnsi="Arial"/>
                <w:sz w:val="16"/>
                <w:szCs w:val="16"/>
                <w:b w:val="1"/>
                <w:bCs w:val="1"/>
                <w:color w:val="auto"/>
              </w:rPr>
              <w:t>KIT Exon 11 deletion</w:t>
            </w:r>
          </w:p>
        </w:tc>
        <w:tc>
          <w:tcPr>
            <w:tcW w:w="220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1"/>
              </w:rPr>
              <w:t>JM domain mutations</w:t>
            </w:r>
          </w:p>
        </w:tc>
        <w:tc>
          <w:tcPr>
            <w:tcW w:w="1060" w:type="dxa"/>
            <w:vAlign w:val="bottom"/>
          </w:tcPr>
          <w:p>
            <w:pPr>
              <w:jc w:val="center"/>
              <w:spacing w:after="0" w:line="142" w:lineRule="exact"/>
              <w:rPr>
                <w:sz w:val="20"/>
                <w:szCs w:val="20"/>
                <w:color w:val="auto"/>
              </w:rPr>
            </w:pPr>
            <w:r>
              <w:rPr>
                <w:rFonts w:ascii="Arial" w:cs="Arial" w:eastAsia="Arial" w:hAnsi="Arial"/>
                <w:sz w:val="16"/>
                <w:szCs w:val="16"/>
                <w:color w:val="auto"/>
                <w:w w:val="98"/>
              </w:rPr>
              <w:t>0.6</w:t>
            </w:r>
          </w:p>
        </w:tc>
        <w:tc>
          <w:tcPr>
            <w:tcW w:w="1100" w:type="dxa"/>
            <w:vAlign w:val="bottom"/>
          </w:tcPr>
          <w:p>
            <w:pPr>
              <w:jc w:val="center"/>
              <w:spacing w:after="0" w:line="142"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35"/>
        </w:trPr>
        <w:tc>
          <w:tcPr>
            <w:tcW w:w="2200" w:type="dxa"/>
            <w:vAlign w:val="bottom"/>
            <w:vMerge w:val="restart"/>
          </w:tcPr>
          <w:p>
            <w:pPr>
              <w:ind w:left="120"/>
              <w:spacing w:after="0" w:line="202" w:lineRule="exact"/>
              <w:rPr>
                <w:sz w:val="20"/>
                <w:szCs w:val="20"/>
                <w:color w:val="auto"/>
              </w:rPr>
            </w:pPr>
            <w:r>
              <w:rPr>
                <w:rFonts w:ascii="Arial" w:cs="Arial" w:eastAsia="Arial" w:hAnsi="Arial"/>
                <w:sz w:val="18"/>
                <w:szCs w:val="18"/>
                <w:b w:val="1"/>
                <w:bCs w:val="1"/>
                <w:color w:val="auto"/>
              </w:rPr>
              <w:t>KIT Exon 11 V560G</w:t>
            </w:r>
          </w:p>
        </w:tc>
        <w:tc>
          <w:tcPr>
            <w:tcW w:w="2200" w:type="dxa"/>
            <w:vAlign w:val="bottom"/>
            <w:vMerge w:val="continue"/>
          </w:tcPr>
          <w:p>
            <w:pPr>
              <w:spacing w:after="0"/>
              <w:rPr>
                <w:sz w:val="11"/>
                <w:szCs w:val="11"/>
                <w:color w:val="auto"/>
              </w:rPr>
            </w:pPr>
          </w:p>
        </w:tc>
        <w:tc>
          <w:tcPr>
            <w:tcW w:w="1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1</w:t>
            </w:r>
          </w:p>
        </w:tc>
        <w:tc>
          <w:tcPr>
            <w:tcW w:w="11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89"/>
              </w:rPr>
              <w:t>87</w:t>
            </w:r>
          </w:p>
        </w:tc>
        <w:tc>
          <w:tcPr>
            <w:tcW w:w="0" w:type="dxa"/>
            <w:vAlign w:val="bottom"/>
          </w:tcPr>
          <w:p>
            <w:pPr>
              <w:spacing w:after="0"/>
              <w:rPr>
                <w:sz w:val="1"/>
                <w:szCs w:val="1"/>
                <w:color w:val="auto"/>
              </w:rPr>
            </w:pPr>
          </w:p>
        </w:tc>
      </w:tr>
      <w:tr>
        <w:trPr>
          <w:trHeight w:val="68"/>
        </w:trPr>
        <w:tc>
          <w:tcPr>
            <w:tcW w:w="2200" w:type="dxa"/>
            <w:vAlign w:val="bottom"/>
            <w:tcBorders>
              <w:bottom w:val="single" w:sz="8" w:color="auto"/>
            </w:tcBorders>
            <w:vMerge w:val="continue"/>
          </w:tcPr>
          <w:p>
            <w:pPr>
              <w:spacing w:after="0"/>
              <w:rPr>
                <w:sz w:val="5"/>
                <w:szCs w:val="5"/>
                <w:color w:val="auto"/>
              </w:rPr>
            </w:pPr>
          </w:p>
        </w:tc>
        <w:tc>
          <w:tcPr>
            <w:tcW w:w="2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200" w:type="dxa"/>
            <w:vAlign w:val="bottom"/>
          </w:tcPr>
          <w:p>
            <w:pPr>
              <w:ind w:left="120"/>
              <w:spacing w:after="0" w:line="142" w:lineRule="exact"/>
              <w:rPr>
                <w:sz w:val="20"/>
                <w:szCs w:val="20"/>
                <w:color w:val="auto"/>
              </w:rPr>
            </w:pPr>
            <w:r>
              <w:rPr>
                <w:rFonts w:ascii="Arial" w:cs="Arial" w:eastAsia="Arial" w:hAnsi="Arial"/>
                <w:sz w:val="16"/>
                <w:szCs w:val="16"/>
                <w:b w:val="1"/>
                <w:bCs w:val="1"/>
                <w:color w:val="auto"/>
              </w:rPr>
              <w:t>KIT Exon 11/13</w:t>
            </w:r>
          </w:p>
        </w:tc>
        <w:tc>
          <w:tcPr>
            <w:tcW w:w="220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1"/>
              </w:rPr>
              <w:t>ATP binding site mutations</w:t>
            </w:r>
          </w:p>
        </w:tc>
        <w:tc>
          <w:tcPr>
            <w:tcW w:w="1060" w:type="dxa"/>
            <w:vAlign w:val="bottom"/>
          </w:tcPr>
          <w:p>
            <w:pPr>
              <w:jc w:val="center"/>
              <w:spacing w:after="0" w:line="142" w:lineRule="exact"/>
              <w:rPr>
                <w:sz w:val="20"/>
                <w:szCs w:val="20"/>
                <w:color w:val="auto"/>
              </w:rPr>
            </w:pPr>
            <w:r>
              <w:rPr>
                <w:rFonts w:ascii="Arial" w:cs="Arial" w:eastAsia="Arial" w:hAnsi="Arial"/>
                <w:sz w:val="16"/>
                <w:szCs w:val="16"/>
                <w:color w:val="auto"/>
              </w:rPr>
              <w:t>11</w:t>
            </w:r>
          </w:p>
        </w:tc>
        <w:tc>
          <w:tcPr>
            <w:tcW w:w="1100" w:type="dxa"/>
            <w:vAlign w:val="bottom"/>
          </w:tcPr>
          <w:p>
            <w:pPr>
              <w:jc w:val="center"/>
              <w:spacing w:after="0" w:line="142" w:lineRule="exact"/>
              <w:rPr>
                <w:sz w:val="20"/>
                <w:szCs w:val="20"/>
                <w:color w:val="auto"/>
              </w:rPr>
            </w:pPr>
            <w:r>
              <w:rPr>
                <w:rFonts w:ascii="Arial" w:cs="Arial" w:eastAsia="Arial" w:hAnsi="Arial"/>
                <w:sz w:val="16"/>
                <w:szCs w:val="16"/>
                <w:color w:val="auto"/>
                <w:w w:val="99"/>
              </w:rPr>
              <w:t>9,160</w:t>
            </w:r>
          </w:p>
        </w:tc>
        <w:tc>
          <w:tcPr>
            <w:tcW w:w="0" w:type="dxa"/>
            <w:vAlign w:val="bottom"/>
          </w:tcPr>
          <w:p>
            <w:pPr>
              <w:spacing w:after="0"/>
              <w:rPr>
                <w:sz w:val="1"/>
                <w:szCs w:val="1"/>
                <w:color w:val="auto"/>
              </w:rPr>
            </w:pPr>
          </w:p>
        </w:tc>
      </w:tr>
      <w:tr>
        <w:trPr>
          <w:trHeight w:val="135"/>
        </w:trPr>
        <w:tc>
          <w:tcPr>
            <w:tcW w:w="2200" w:type="dxa"/>
            <w:vAlign w:val="bottom"/>
            <w:vMerge w:val="restart"/>
          </w:tcPr>
          <w:p>
            <w:pPr>
              <w:ind w:left="120"/>
              <w:spacing w:after="0" w:line="202" w:lineRule="exact"/>
              <w:rPr>
                <w:sz w:val="20"/>
                <w:szCs w:val="20"/>
                <w:color w:val="auto"/>
              </w:rPr>
            </w:pPr>
            <w:r>
              <w:rPr>
                <w:rFonts w:ascii="Arial" w:cs="Arial" w:eastAsia="Arial" w:hAnsi="Arial"/>
                <w:sz w:val="18"/>
                <w:szCs w:val="18"/>
                <w:b w:val="1"/>
                <w:bCs w:val="1"/>
                <w:color w:val="auto"/>
              </w:rPr>
              <w:t>KIT Exon 11/14</w:t>
            </w:r>
          </w:p>
        </w:tc>
        <w:tc>
          <w:tcPr>
            <w:tcW w:w="2200" w:type="dxa"/>
            <w:vAlign w:val="bottom"/>
            <w:vMerge w:val="continue"/>
          </w:tcPr>
          <w:p>
            <w:pPr>
              <w:spacing w:after="0"/>
              <w:rPr>
                <w:sz w:val="11"/>
                <w:szCs w:val="11"/>
                <w:color w:val="auto"/>
              </w:rPr>
            </w:pPr>
          </w:p>
        </w:tc>
        <w:tc>
          <w:tcPr>
            <w:tcW w:w="1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89"/>
              </w:rPr>
              <w:t>28</w:t>
            </w:r>
          </w:p>
        </w:tc>
        <w:tc>
          <w:tcPr>
            <w:tcW w:w="11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0"/>
              </w:rPr>
              <w:t>19,650</w:t>
            </w:r>
          </w:p>
        </w:tc>
        <w:tc>
          <w:tcPr>
            <w:tcW w:w="0" w:type="dxa"/>
            <w:vAlign w:val="bottom"/>
          </w:tcPr>
          <w:p>
            <w:pPr>
              <w:spacing w:after="0"/>
              <w:rPr>
                <w:sz w:val="1"/>
                <w:szCs w:val="1"/>
                <w:color w:val="auto"/>
              </w:rPr>
            </w:pPr>
          </w:p>
        </w:tc>
      </w:tr>
      <w:tr>
        <w:trPr>
          <w:trHeight w:val="68"/>
        </w:trPr>
        <w:tc>
          <w:tcPr>
            <w:tcW w:w="2200" w:type="dxa"/>
            <w:vAlign w:val="bottom"/>
            <w:tcBorders>
              <w:bottom w:val="single" w:sz="8" w:color="auto"/>
            </w:tcBorders>
            <w:vMerge w:val="continue"/>
          </w:tcPr>
          <w:p>
            <w:pPr>
              <w:spacing w:after="0"/>
              <w:rPr>
                <w:sz w:val="5"/>
                <w:szCs w:val="5"/>
                <w:color w:val="auto"/>
              </w:rPr>
            </w:pPr>
          </w:p>
        </w:tc>
        <w:tc>
          <w:tcPr>
            <w:tcW w:w="2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200" w:type="dxa"/>
            <w:vAlign w:val="bottom"/>
          </w:tcPr>
          <w:p>
            <w:pPr>
              <w:ind w:left="120"/>
              <w:spacing w:after="0" w:line="142" w:lineRule="exact"/>
              <w:rPr>
                <w:sz w:val="20"/>
                <w:szCs w:val="20"/>
                <w:color w:val="auto"/>
              </w:rPr>
            </w:pPr>
            <w:r>
              <w:rPr>
                <w:rFonts w:ascii="Arial" w:cs="Arial" w:eastAsia="Arial" w:hAnsi="Arial"/>
                <w:sz w:val="16"/>
                <w:szCs w:val="16"/>
                <w:b w:val="1"/>
                <w:bCs w:val="1"/>
                <w:color w:val="auto"/>
              </w:rPr>
              <w:t>KIT Exon 17</w:t>
            </w:r>
          </w:p>
        </w:tc>
        <w:tc>
          <w:tcPr>
            <w:tcW w:w="220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2"/>
              </w:rPr>
              <w:t>Activation loop mutations</w:t>
            </w:r>
          </w:p>
        </w:tc>
        <w:tc>
          <w:tcPr>
            <w:tcW w:w="1060" w:type="dxa"/>
            <w:vAlign w:val="bottom"/>
          </w:tcPr>
          <w:p>
            <w:pPr>
              <w:jc w:val="center"/>
              <w:spacing w:after="0" w:line="142" w:lineRule="exact"/>
              <w:rPr>
                <w:sz w:val="20"/>
                <w:szCs w:val="20"/>
                <w:color w:val="auto"/>
              </w:rPr>
            </w:pPr>
            <w:r>
              <w:rPr>
                <w:rFonts w:ascii="Arial" w:cs="Arial" w:eastAsia="Arial" w:hAnsi="Arial"/>
                <w:sz w:val="16"/>
                <w:szCs w:val="16"/>
                <w:color w:val="auto"/>
              </w:rPr>
              <w:t>&lt; 2</w:t>
            </w:r>
          </w:p>
        </w:tc>
        <w:tc>
          <w:tcPr>
            <w:tcW w:w="1100" w:type="dxa"/>
            <w:vAlign w:val="bottom"/>
          </w:tcPr>
          <w:p>
            <w:pPr>
              <w:jc w:val="center"/>
              <w:spacing w:after="0" w:line="142" w:lineRule="exact"/>
              <w:rPr>
                <w:sz w:val="20"/>
                <w:szCs w:val="20"/>
                <w:color w:val="auto"/>
              </w:rPr>
            </w:pPr>
            <w:r>
              <w:rPr>
                <w:rFonts w:ascii="Arial" w:cs="Arial" w:eastAsia="Arial" w:hAnsi="Arial"/>
                <w:sz w:val="16"/>
                <w:szCs w:val="16"/>
                <w:color w:val="auto"/>
              </w:rPr>
              <w:t>60 – 12,750</w:t>
            </w:r>
          </w:p>
        </w:tc>
        <w:tc>
          <w:tcPr>
            <w:tcW w:w="0" w:type="dxa"/>
            <w:vAlign w:val="bottom"/>
          </w:tcPr>
          <w:p>
            <w:pPr>
              <w:spacing w:after="0"/>
              <w:rPr>
                <w:sz w:val="1"/>
                <w:szCs w:val="1"/>
                <w:color w:val="auto"/>
              </w:rPr>
            </w:pPr>
          </w:p>
        </w:tc>
      </w:tr>
      <w:tr>
        <w:trPr>
          <w:trHeight w:val="176"/>
        </w:trPr>
        <w:tc>
          <w:tcPr>
            <w:tcW w:w="2200" w:type="dxa"/>
            <w:vAlign w:val="bottom"/>
          </w:tcPr>
          <w:p>
            <w:pPr>
              <w:ind w:left="120"/>
              <w:spacing w:after="0" w:line="176" w:lineRule="exact"/>
              <w:rPr>
                <w:sz w:val="20"/>
                <w:szCs w:val="20"/>
                <w:color w:val="auto"/>
              </w:rPr>
            </w:pPr>
            <w:r>
              <w:rPr>
                <w:rFonts w:ascii="Arial" w:cs="Arial" w:eastAsia="Arial" w:hAnsi="Arial"/>
                <w:sz w:val="18"/>
                <w:szCs w:val="18"/>
                <w:b w:val="1"/>
                <w:bCs w:val="1"/>
                <w:color w:val="auto"/>
              </w:rPr>
              <w:t>KIT Exon 17 D816V</w:t>
            </w:r>
          </w:p>
        </w:tc>
        <w:tc>
          <w:tcPr>
            <w:tcW w:w="2200" w:type="dxa"/>
            <w:vAlign w:val="bottom"/>
            <w:vMerge w:val="continue"/>
          </w:tcPr>
          <w:p>
            <w:pPr>
              <w:spacing w:after="0"/>
              <w:rPr>
                <w:sz w:val="15"/>
                <w:szCs w:val="15"/>
                <w:color w:val="auto"/>
              </w:rPr>
            </w:pPr>
          </w:p>
        </w:tc>
        <w:tc>
          <w:tcPr>
            <w:tcW w:w="1060" w:type="dxa"/>
            <w:vAlign w:val="bottom"/>
          </w:tcPr>
          <w:p>
            <w:pPr>
              <w:jc w:val="center"/>
              <w:spacing w:after="0" w:line="176" w:lineRule="exact"/>
              <w:rPr>
                <w:sz w:val="20"/>
                <w:szCs w:val="20"/>
                <w:color w:val="auto"/>
              </w:rPr>
            </w:pPr>
            <w:r>
              <w:rPr>
                <w:rFonts w:ascii="Arial" w:cs="Arial" w:eastAsia="Arial" w:hAnsi="Arial"/>
                <w:sz w:val="18"/>
                <w:szCs w:val="18"/>
                <w:color w:val="auto"/>
                <w:w w:val="85"/>
              </w:rPr>
              <w:t>0.27</w:t>
            </w: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88"/>
              </w:rPr>
              <w:t>8,150</w:t>
            </w:r>
          </w:p>
        </w:tc>
        <w:tc>
          <w:tcPr>
            <w:tcW w:w="0" w:type="dxa"/>
            <w:vAlign w:val="bottom"/>
          </w:tcPr>
          <w:p>
            <w:pPr>
              <w:spacing w:after="0"/>
              <w:rPr>
                <w:sz w:val="1"/>
                <w:szCs w:val="1"/>
                <w:color w:val="auto"/>
              </w:rPr>
            </w:pPr>
          </w:p>
        </w:tc>
      </w:tr>
      <w:tr>
        <w:trPr>
          <w:trHeight w:val="203"/>
        </w:trPr>
        <w:tc>
          <w:tcPr>
            <w:tcW w:w="2200" w:type="dxa"/>
            <w:vAlign w:val="bottom"/>
            <w:tcBorders>
              <w:bottom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w w:val="98"/>
              </w:rPr>
              <w:t>PDGFRα Exon 18 D842V</w:t>
            </w:r>
          </w:p>
        </w:tc>
        <w:tc>
          <w:tcPr>
            <w:tcW w:w="2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5"/>
              </w:rPr>
              <w:t>0.24</w:t>
            </w:r>
          </w:p>
        </w:tc>
        <w:tc>
          <w:tcPr>
            <w:tcW w:w="11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6"/>
              </w:rPr>
              <w:t>759</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 xml:space="preserve">In addition, we have developed an understanding of the biology that will inform the development of combinations to address these resistance mutations. We performed a comprehensive analysis of these secondary KIT Exon 17 mutations, analyzing the literature and unpublished data from opinion leaders to understand which mutations occur and to quantify their frequency in the clinical setting. We also conducted a series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biochemistry experiments using compounds from our proprietary compound library and currently available therapies (imatinib, sunitinib and regorafenib) to interrogate their activity against the range of KIT Exon 17 mutations. The result is a deep understanding of the spectrum of activity of avapritinib, additional compounds from our proprietary compound library and available therapies across the range of possible mutations.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Navigator Trial (avapritinib) – Phase 1 Clinical Trial for Patients with Advanced GIST</w:t>
      </w:r>
    </w:p>
    <w:p>
      <w:pPr>
        <w:spacing w:after="0" w:line="185"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Avapritinib is currently being evaluated in the dose expansion portion of a Phase 1 clinical trial in patients with advanced GIST, which we refer to as the Navigator trial, and enrollment is ongoing. In November 2017, we reported updated data from the dose escalation and expansion portions of the Navigator trial at the Connective Tissue Oncology Society Annual Meeting.</w:t>
      </w:r>
    </w:p>
    <w:p>
      <w:pPr>
        <w:spacing w:after="0" w:line="163"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As of the data cutoff date of October 11, 2017, 116 patients had been treated with avapritinib in the dose escalation and expansion portions of the Navigator trial at eight dose levels (ranging from 30 mg QD to 600 mg QD), including 76 patients with KIT</w:t>
      </w:r>
      <w:r>
        <w:rPr>
          <w:rFonts w:ascii="MS PGothic" w:cs="MS PGothic" w:eastAsia="MS PGothic" w:hAnsi="MS PGothic"/>
          <w:sz w:val="16"/>
          <w:szCs w:val="16"/>
          <w:color w:val="auto"/>
        </w:rPr>
        <w:t>‑</w:t>
      </w:r>
      <w:r>
        <w:rPr>
          <w:rFonts w:ascii="Arial" w:cs="Arial" w:eastAsia="Arial" w:hAnsi="Arial"/>
          <w:sz w:val="16"/>
          <w:szCs w:val="16"/>
          <w:color w:val="auto"/>
        </w:rPr>
        <w:t>driven GIST, 39 patients with PDGFRα</w:t>
      </w:r>
      <w:r>
        <w:rPr>
          <w:rFonts w:ascii="MS PGothic" w:cs="MS PGothic" w:eastAsia="MS PGothic" w:hAnsi="MS PGothic"/>
          <w:sz w:val="16"/>
          <w:szCs w:val="16"/>
          <w:color w:val="auto"/>
        </w:rPr>
        <w:t>‑</w:t>
      </w:r>
      <w:r>
        <w:rPr>
          <w:rFonts w:ascii="Arial" w:cs="Arial" w:eastAsia="Arial" w:hAnsi="Arial"/>
          <w:sz w:val="16"/>
          <w:szCs w:val="16"/>
          <w:color w:val="auto"/>
        </w:rPr>
        <w:t>driven GIST, and one patient with KIT/PDGFRα wild</w:t>
      </w:r>
      <w:r>
        <w:rPr>
          <w:rFonts w:ascii="MS PGothic" w:cs="MS PGothic" w:eastAsia="MS PGothic" w:hAnsi="MS PGothic"/>
          <w:sz w:val="16"/>
          <w:szCs w:val="16"/>
          <w:color w:val="auto"/>
        </w:rPr>
        <w:t>‑</w:t>
      </w:r>
      <w:r>
        <w:rPr>
          <w:rFonts w:ascii="Arial" w:cs="Arial" w:eastAsia="Arial" w:hAnsi="Arial"/>
          <w:sz w:val="16"/>
          <w:szCs w:val="16"/>
          <w:color w:val="auto"/>
        </w:rPr>
        <w:t>type GIST. The median number of prior TKI regimens was four for patients with KIT</w:t>
      </w:r>
      <w:r>
        <w:rPr>
          <w:rFonts w:ascii="MS PGothic" w:cs="MS PGothic" w:eastAsia="MS PGothic" w:hAnsi="MS PGothic"/>
          <w:sz w:val="16"/>
          <w:szCs w:val="16"/>
          <w:color w:val="auto"/>
        </w:rPr>
        <w:t>‑</w:t>
      </w:r>
      <w:r>
        <w:rPr>
          <w:rFonts w:ascii="Arial" w:cs="Arial" w:eastAsia="Arial" w:hAnsi="Arial"/>
          <w:sz w:val="16"/>
          <w:szCs w:val="16"/>
          <w:color w:val="auto"/>
        </w:rPr>
        <w:t>driven GIST (ranging from two to 11), and one for patients with PDGFRα</w:t>
      </w:r>
      <w:r>
        <w:rPr>
          <w:rFonts w:ascii="MS PGothic" w:cs="MS PGothic" w:eastAsia="MS PGothic" w:hAnsi="MS PGothic"/>
          <w:sz w:val="16"/>
          <w:szCs w:val="16"/>
          <w:color w:val="auto"/>
        </w:rPr>
        <w:t>‑</w:t>
      </w:r>
      <w:r>
        <w:rPr>
          <w:rFonts w:ascii="Arial" w:cs="Arial" w:eastAsia="Arial" w:hAnsi="Arial"/>
          <w:sz w:val="16"/>
          <w:szCs w:val="16"/>
          <w:color w:val="auto"/>
        </w:rPr>
        <w:t>driven GIST (ranging from zero to six). Among patients with KIT</w:t>
      </w:r>
      <w:r>
        <w:rPr>
          <w:rFonts w:ascii="MS PGothic" w:cs="MS PGothic" w:eastAsia="MS PGothic" w:hAnsi="MS PGothic"/>
          <w:sz w:val="16"/>
          <w:szCs w:val="16"/>
          <w:color w:val="auto"/>
        </w:rPr>
        <w:t>‑</w:t>
      </w:r>
      <w:r>
        <w:rPr>
          <w:rFonts w:ascii="Arial" w:cs="Arial" w:eastAsia="Arial" w:hAnsi="Arial"/>
          <w:sz w:val="16"/>
          <w:szCs w:val="16"/>
          <w:color w:val="auto"/>
        </w:rPr>
        <w:t>driven GIST, 64 patients (83%) previously received regorafenib. We have selected 300 mg QD as the RP2D for the expansion portion of the Navigator trial, with an option for investigators to escalate patients to the MTD of 400 mg QD following two treatment cycles.</w:t>
      </w:r>
    </w:p>
    <w:p>
      <w:pPr>
        <w:spacing w:after="0" w:line="163"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i w:val="1"/>
          <w:iCs w:val="1"/>
          <w:color w:val="auto"/>
        </w:rPr>
        <w:t xml:space="preserve">Safety Data. </w:t>
      </w:r>
      <w:r>
        <w:rPr>
          <w:rFonts w:ascii="Arial" w:cs="Arial" w:eastAsia="Arial" w:hAnsi="Arial"/>
          <w:sz w:val="17"/>
          <w:szCs w:val="17"/>
          <w:color w:val="auto"/>
        </w:rPr>
        <w:t>As of the data cutoff date, avapritinib was generally well</w:t>
      </w:r>
      <w:r>
        <w:rPr>
          <w:rFonts w:ascii="MS PGothic" w:cs="MS PGothic" w:eastAsia="MS PGothic" w:hAnsi="MS PGothic"/>
          <w:sz w:val="17"/>
          <w:szCs w:val="17"/>
          <w:color w:val="auto"/>
        </w:rPr>
        <w:t>‑</w:t>
      </w:r>
      <w:r>
        <w:rPr>
          <w:rFonts w:ascii="Arial" w:cs="Arial" w:eastAsia="Arial" w:hAnsi="Arial"/>
          <w:sz w:val="17"/>
          <w:szCs w:val="17"/>
          <w:color w:val="auto"/>
        </w:rPr>
        <w:t>tolerated. Most AEs reported by investigators</w:t>
      </w:r>
      <w:r>
        <w:rPr>
          <w:rFonts w:ascii="Arial" w:cs="Arial" w:eastAsia="Arial" w:hAnsi="Arial"/>
          <w:sz w:val="17"/>
          <w:szCs w:val="17"/>
          <w:i w:val="1"/>
          <w:iCs w:val="1"/>
          <w:color w:val="auto"/>
        </w:rPr>
        <w:t xml:space="preserve"> </w:t>
      </w:r>
      <w:r>
        <w:rPr>
          <w:rFonts w:ascii="Arial" w:cs="Arial" w:eastAsia="Arial" w:hAnsi="Arial"/>
          <w:sz w:val="17"/>
          <w:szCs w:val="17"/>
          <w:color w:val="auto"/>
        </w:rPr>
        <w:t>were Grade 1 or 2. Across all grades, the most common treatment</w:t>
      </w:r>
      <w:r>
        <w:rPr>
          <w:rFonts w:ascii="MS PGothic" w:cs="MS PGothic" w:eastAsia="MS PGothic" w:hAnsi="MS PGothic"/>
          <w:sz w:val="17"/>
          <w:szCs w:val="17"/>
          <w:color w:val="auto"/>
        </w:rPr>
        <w:t>‑</w:t>
      </w:r>
      <w:r>
        <w:rPr>
          <w:rFonts w:ascii="Arial" w:cs="Arial" w:eastAsia="Arial" w:hAnsi="Arial"/>
          <w:sz w:val="17"/>
          <w:szCs w:val="17"/>
          <w:color w:val="auto"/>
        </w:rPr>
        <w:t>emergent AEs reported by investigators (≥20%) included nausea (56%), fatigue (53%), periorbital edema (43%), vomiting (41%), edema peripheral (34%), anemia (31%), diarrhea (31%), increased lacrimation (30%), cognitive effects (30%), decreased appetite (28%), dizziness (23%), constipation (22%) and hair color changes (22%). Cognitive effects are an aggregated category of individual cognitive events, each of which was observed in fewer than 20% of patients. Investigators reported treatment</w:t>
      </w:r>
      <w:r>
        <w:rPr>
          <w:rFonts w:ascii="MS PGothic" w:cs="MS PGothic" w:eastAsia="MS PGothic" w:hAnsi="MS PGothic"/>
          <w:sz w:val="17"/>
          <w:szCs w:val="17"/>
          <w:color w:val="auto"/>
        </w:rPr>
        <w:t>‑</w:t>
      </w:r>
      <w:r>
        <w:rPr>
          <w:rFonts w:ascii="Arial" w:cs="Arial" w:eastAsia="Arial" w:hAnsi="Arial"/>
          <w:sz w:val="17"/>
          <w:szCs w:val="17"/>
          <w:color w:val="auto"/>
        </w:rPr>
        <w:t>related Grade ≥3 AEs in 39 patients (34%), including anemia (9%), fatigue (7%), hypophosphatemia (4%), nausea (4%) and cognitive effects (3%). Six patients (5%) discontinued treatment with avapritinib due to AEs. An additional 43 patients discontinued treatment, with 40 patients due to progressive disease and three patients who withdrew consent. Among all 116 enrolled patients, 67 remained on treatment as of the data cutoff date.</w:t>
      </w:r>
    </w:p>
    <w:p>
      <w:pPr>
        <w:spacing w:after="0" w:line="164" w:lineRule="exact"/>
        <w:rPr>
          <w:sz w:val="20"/>
          <w:szCs w:val="20"/>
          <w:color w:val="auto"/>
        </w:rPr>
      </w:pPr>
    </w:p>
    <w:p>
      <w:pPr>
        <w:ind w:right="240" w:firstLine="648"/>
        <w:spacing w:after="0" w:line="182" w:lineRule="exact"/>
        <w:rPr>
          <w:sz w:val="20"/>
          <w:szCs w:val="20"/>
          <w:color w:val="auto"/>
        </w:rPr>
      </w:pPr>
      <w:r>
        <w:rPr>
          <w:rFonts w:ascii="Arial" w:cs="Arial" w:eastAsia="Arial" w:hAnsi="Arial"/>
          <w:sz w:val="16"/>
          <w:szCs w:val="16"/>
          <w:i w:val="1"/>
          <w:iCs w:val="1"/>
          <w:color w:val="auto"/>
        </w:rPr>
        <w:t xml:space="preserve">Clinical Activity Data. </w:t>
      </w:r>
      <w:r>
        <w:rPr>
          <w:rFonts w:ascii="Arial" w:cs="Arial" w:eastAsia="Arial" w:hAnsi="Arial"/>
          <w:sz w:val="16"/>
          <w:szCs w:val="16"/>
          <w:color w:val="auto"/>
        </w:rPr>
        <w:t>As of the data cutoff date, 30 patients with KIT</w:t>
      </w:r>
      <w:r>
        <w:rPr>
          <w:rFonts w:ascii="MS PGothic" w:cs="MS PGothic" w:eastAsia="MS PGothic" w:hAnsi="MS PGothic"/>
          <w:sz w:val="16"/>
          <w:szCs w:val="16"/>
          <w:color w:val="auto"/>
        </w:rPr>
        <w:t>‑</w:t>
      </w:r>
      <w:r>
        <w:rPr>
          <w:rFonts w:ascii="Arial" w:cs="Arial" w:eastAsia="Arial" w:hAnsi="Arial"/>
          <w:sz w:val="16"/>
          <w:szCs w:val="16"/>
          <w:color w:val="auto"/>
        </w:rPr>
        <w:t>driven GIST treated at 300 to 400 mg QD</w:t>
      </w:r>
      <w:r>
        <w:rPr>
          <w:rFonts w:ascii="Arial" w:cs="Arial" w:eastAsia="Arial" w:hAnsi="Arial"/>
          <w:sz w:val="16"/>
          <w:szCs w:val="16"/>
          <w:i w:val="1"/>
          <w:iCs w:val="1"/>
          <w:color w:val="auto"/>
        </w:rPr>
        <w:t xml:space="preserve"> </w:t>
      </w:r>
      <w:r>
        <w:rPr>
          <w:rFonts w:ascii="Arial" w:cs="Arial" w:eastAsia="Arial" w:hAnsi="Arial"/>
          <w:sz w:val="16"/>
          <w:szCs w:val="16"/>
          <w:color w:val="auto"/>
        </w:rPr>
        <w:t>were evaluable for response assessments. In addition, 31 patients with PDGFRα D842</w:t>
      </w:r>
      <w:r>
        <w:rPr>
          <w:rFonts w:ascii="MS PGothic" w:cs="MS PGothic" w:eastAsia="MS PGothic" w:hAnsi="MS PGothic"/>
          <w:sz w:val="16"/>
          <w:szCs w:val="16"/>
          <w:color w:val="auto"/>
        </w:rPr>
        <w:t>‑</w:t>
      </w:r>
      <w:r>
        <w:rPr>
          <w:rFonts w:ascii="Arial" w:cs="Arial" w:eastAsia="Arial" w:hAnsi="Arial"/>
          <w:sz w:val="16"/>
          <w:szCs w:val="16"/>
          <w:color w:val="auto"/>
        </w:rPr>
        <w:t>driven GIST at all doses were evaluable for response assessments, including 29 patients with a D842V mutation and two patients with other D842 mutations. Two patients with a PDGFRα exon 14 mutation were excluded from analyses of clinical activity. Patients were evaluable if they had at least one centrally reviewed radiographic scan, and all reported data are based on blinded central radiology review as per modified Response Evaluation Criteria in Solid Tumors version 1.1, or mRECIST 1.1 criteria, for GIST. Radiographic scans were also assessed by Choi criteria, a supportive method of response assessment in soft tissue sarcomas that has been shown to be predictive of improved prognosis in patients with advanced GIST.</w:t>
      </w:r>
    </w:p>
    <w:p>
      <w:pPr>
        <w:spacing w:after="0" w:line="167"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i w:val="1"/>
          <w:iCs w:val="1"/>
          <w:color w:val="auto"/>
        </w:rPr>
        <w:t>Patients with heavily pretreated KIT</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driven GIST treated at doses of 300 to 400 mg QD</w:t>
      </w:r>
    </w:p>
    <w:p>
      <w:pPr>
        <w:spacing w:after="0" w:line="185" w:lineRule="exact"/>
        <w:rPr>
          <w:sz w:val="20"/>
          <w:szCs w:val="20"/>
          <w:color w:val="auto"/>
        </w:rPr>
      </w:pPr>
    </w:p>
    <w:p>
      <w:pPr>
        <w:ind w:left="980" w:hanging="329"/>
        <w:spacing w:after="0" w:line="224" w:lineRule="auto"/>
        <w:tabs>
          <w:tab w:leader="none" w:pos="935" w:val="left"/>
        </w:tabs>
        <w:numPr>
          <w:ilvl w:val="0"/>
          <w:numId w:val="13"/>
        </w:numPr>
        <w:rPr>
          <w:rFonts w:ascii="Arial" w:cs="Arial" w:eastAsia="Arial" w:hAnsi="Arial"/>
          <w:sz w:val="18"/>
          <w:szCs w:val="18"/>
          <w:i w:val="1"/>
          <w:iCs w:val="1"/>
          <w:color w:val="auto"/>
        </w:rPr>
      </w:pPr>
      <w:r>
        <w:rPr>
          <w:rFonts w:ascii="Arial" w:cs="Arial" w:eastAsia="Arial" w:hAnsi="Arial"/>
          <w:sz w:val="18"/>
          <w:szCs w:val="18"/>
          <w:color w:val="auto"/>
        </w:rPr>
        <w:t>Centrally assessed radiographic tumor reductions were observed in 20 of 30 evaluable patients (67%) across all common KIT genotypes, including mutations in exons 9, 11, 13, 14 and 17, confirmed by archival tumor biopsy and circulating tumor DNA.</w:t>
      </w:r>
    </w:p>
    <w:p>
      <w:pPr>
        <w:spacing w:after="0" w:line="163" w:lineRule="exact"/>
        <w:rPr>
          <w:rFonts w:ascii="Arial" w:cs="Arial" w:eastAsia="Arial" w:hAnsi="Arial"/>
          <w:sz w:val="18"/>
          <w:szCs w:val="18"/>
          <w:i w:val="1"/>
          <w:iCs w:val="1"/>
          <w:color w:val="auto"/>
        </w:rPr>
      </w:pPr>
    </w:p>
    <w:p>
      <w:pPr>
        <w:ind w:left="980" w:right="160" w:hanging="329"/>
        <w:spacing w:after="0" w:line="235" w:lineRule="auto"/>
        <w:tabs>
          <w:tab w:leader="none" w:pos="9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 mRECIST 1.1 criteria, five patients had a PR (three confirmed, two pending confirmation), and 18 patients had SD, representing an ORR of 17% and a disease control rate, or DCR, of 77%.</w:t>
      </w:r>
    </w:p>
    <w:p>
      <w:pPr>
        <w:spacing w:after="0" w:line="161" w:lineRule="exact"/>
        <w:rPr>
          <w:rFonts w:ascii="Arial" w:cs="Arial" w:eastAsia="Arial" w:hAnsi="Arial"/>
          <w:sz w:val="18"/>
          <w:szCs w:val="18"/>
          <w:color w:val="auto"/>
        </w:rPr>
      </w:pPr>
    </w:p>
    <w:p>
      <w:pPr>
        <w:ind w:left="980" w:right="220" w:hanging="329"/>
        <w:spacing w:after="0" w:line="235" w:lineRule="auto"/>
        <w:tabs>
          <w:tab w:leader="none" w:pos="9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 Choi criteria, 16 patients had a PR and seven patients had SD, representing an ORR of 53% and a DCR of 77%.</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Median PFS was 11.5 months.</w:t>
      </w:r>
    </w:p>
    <w:p>
      <w:pPr>
        <w:spacing w:after="0" w:line="180" w:lineRule="exact"/>
        <w:rPr>
          <w:rFonts w:ascii="Arial" w:cs="Arial" w:eastAsia="Arial" w:hAnsi="Arial"/>
          <w:sz w:val="18"/>
          <w:szCs w:val="18"/>
          <w:color w:val="auto"/>
        </w:rPr>
      </w:pPr>
    </w:p>
    <w:p>
      <w:pPr>
        <w:ind w:left="940" w:hanging="289"/>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contrast, historical data showed a zero percent ORR and median PFS of 1.8 months in patients with</w:t>
      </w:r>
    </w:p>
    <w:p>
      <w:pPr>
        <w:ind w:left="980"/>
        <w:spacing w:after="0" w:line="207" w:lineRule="exact"/>
        <w:rPr>
          <w:sz w:val="20"/>
          <w:szCs w:val="20"/>
          <w:color w:val="auto"/>
        </w:rPr>
      </w:pPr>
      <w:r>
        <w:rPr>
          <w:rFonts w:ascii="Arial" w:cs="Arial" w:eastAsia="Arial" w:hAnsi="Arial"/>
          <w:sz w:val="18"/>
          <w:szCs w:val="18"/>
          <w:color w:val="auto"/>
        </w:rPr>
        <w:t>TKI</w:t>
      </w:r>
      <w:r>
        <w:rPr>
          <w:rFonts w:ascii="MS PGothic" w:cs="MS PGothic" w:eastAsia="MS PGothic" w:hAnsi="MS PGothic"/>
          <w:sz w:val="18"/>
          <w:szCs w:val="18"/>
          <w:color w:val="auto"/>
        </w:rPr>
        <w:t>‑</w:t>
      </w:r>
      <w:r>
        <w:rPr>
          <w:rFonts w:ascii="Arial" w:cs="Arial" w:eastAsia="Arial" w:hAnsi="Arial"/>
          <w:sz w:val="18"/>
          <w:szCs w:val="18"/>
          <w:color w:val="auto"/>
        </w:rPr>
        <w:t>resistant advanced GIST re</w:t>
      </w:r>
      <w:r>
        <w:rPr>
          <w:rFonts w:ascii="MS PGothic" w:cs="MS PGothic" w:eastAsia="MS PGothic" w:hAnsi="MS PGothic"/>
          <w:sz w:val="18"/>
          <w:szCs w:val="18"/>
          <w:color w:val="auto"/>
        </w:rPr>
        <w:t>‑</w:t>
      </w:r>
      <w:r>
        <w:rPr>
          <w:rFonts w:ascii="Arial" w:cs="Arial" w:eastAsia="Arial" w:hAnsi="Arial"/>
          <w:sz w:val="18"/>
          <w:szCs w:val="18"/>
          <w:color w:val="auto"/>
        </w:rPr>
        <w:t>treated with imatinib in a third</w:t>
      </w:r>
      <w:r>
        <w:rPr>
          <w:rFonts w:ascii="MS PGothic" w:cs="MS PGothic" w:eastAsia="MS PGothic" w:hAnsi="MS PGothic"/>
          <w:sz w:val="18"/>
          <w:szCs w:val="18"/>
          <w:color w:val="auto"/>
        </w:rPr>
        <w:t>‑</w:t>
      </w:r>
      <w:r>
        <w:rPr>
          <w:rFonts w:ascii="Arial" w:cs="Arial" w:eastAsia="Arial" w:hAnsi="Arial"/>
          <w:sz w:val="18"/>
          <w:szCs w:val="18"/>
          <w:color w:val="auto"/>
        </w:rPr>
        <w:t>line or later setting.</w:t>
      </w:r>
    </w:p>
    <w:p>
      <w:pPr>
        <w:spacing w:after="0" w:line="169"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i w:val="1"/>
          <w:iCs w:val="1"/>
          <w:color w:val="auto"/>
        </w:rPr>
        <w:t>Patients with PDGFRα</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driven GIST</w:t>
      </w:r>
    </w:p>
    <w:p>
      <w:pPr>
        <w:spacing w:after="0" w:line="185" w:lineRule="exact"/>
        <w:rPr>
          <w:sz w:val="20"/>
          <w:szCs w:val="20"/>
          <w:color w:val="auto"/>
        </w:rPr>
      </w:pPr>
    </w:p>
    <w:p>
      <w:pPr>
        <w:ind w:left="4440" w:right="1460" w:hanging="3789"/>
        <w:spacing w:after="0" w:line="481" w:lineRule="auto"/>
        <w:tabs>
          <w:tab w:leader="none" w:pos="923" w:val="left"/>
        </w:tabs>
        <w:numPr>
          <w:ilvl w:val="0"/>
          <w:numId w:val="14"/>
        </w:numPr>
        <w:rPr>
          <w:rFonts w:ascii="Arial" w:cs="Arial" w:eastAsia="Arial" w:hAnsi="Arial"/>
          <w:sz w:val="18"/>
          <w:szCs w:val="18"/>
          <w:i w:val="1"/>
          <w:iCs w:val="1"/>
          <w:color w:val="auto"/>
        </w:rPr>
      </w:pPr>
      <w:r>
        <w:rPr>
          <w:rFonts w:ascii="Arial" w:cs="Arial" w:eastAsia="Arial" w:hAnsi="Arial"/>
          <w:sz w:val="18"/>
          <w:szCs w:val="18"/>
          <w:color w:val="auto"/>
        </w:rPr>
        <w:t>Centrally assessed radiographic tumor reductions were observed in all 31 evaluable patients.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980" w:right="280" w:hanging="329"/>
        <w:spacing w:after="0" w:line="289" w:lineRule="auto"/>
        <w:tabs>
          <w:tab w:leader="none" w:pos="935" w:val="left"/>
        </w:tabs>
        <w:numPr>
          <w:ilvl w:val="0"/>
          <w:numId w:val="15"/>
        </w:numPr>
        <w:rPr>
          <w:rFonts w:ascii="Arial" w:cs="Arial" w:eastAsia="Arial" w:hAnsi="Arial"/>
          <w:sz w:val="16"/>
          <w:szCs w:val="16"/>
          <w:color w:val="auto"/>
        </w:rPr>
      </w:pPr>
      <w:r>
        <w:rPr>
          <w:rFonts w:ascii="Arial" w:cs="Arial" w:eastAsia="Arial" w:hAnsi="Arial"/>
          <w:sz w:val="16"/>
          <w:szCs w:val="16"/>
          <w:color w:val="auto"/>
        </w:rPr>
        <w:t>By mRECIST 1.1 criteria, one patient had a CR (pending confirmation), 21 patients had a PR (18 confirmed, three pending confirmation), and nine patients had SD, representing an ORR of 71% and a DCR of 100%.</w:t>
      </w:r>
    </w:p>
    <w:p>
      <w:pPr>
        <w:spacing w:after="0" w:line="124" w:lineRule="exact"/>
        <w:rPr>
          <w:rFonts w:ascii="Arial" w:cs="Arial" w:eastAsia="Arial" w:hAnsi="Arial"/>
          <w:sz w:val="16"/>
          <w:szCs w:val="16"/>
          <w:color w:val="auto"/>
        </w:rPr>
      </w:pPr>
    </w:p>
    <w:p>
      <w:pPr>
        <w:ind w:left="940" w:hanging="289"/>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Choi criteria, one patient had a CR, and 30 patients had a PR, representing an ORR of 100%.</w:t>
      </w:r>
    </w:p>
    <w:p>
      <w:pPr>
        <w:spacing w:after="0" w:line="184" w:lineRule="exact"/>
        <w:rPr>
          <w:rFonts w:ascii="Arial" w:cs="Arial" w:eastAsia="Arial" w:hAnsi="Arial"/>
          <w:sz w:val="18"/>
          <w:szCs w:val="18"/>
          <w:color w:val="auto"/>
        </w:rPr>
      </w:pPr>
    </w:p>
    <w:p>
      <w:pPr>
        <w:ind w:left="940" w:hanging="289"/>
        <w:spacing w:after="0" w:line="207" w:lineRule="exact"/>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Median PFS was not reached, and 12</w:t>
      </w:r>
      <w:r>
        <w:rPr>
          <w:rFonts w:ascii="MS PGothic" w:cs="MS PGothic" w:eastAsia="MS PGothic" w:hAnsi="MS PGothic"/>
          <w:sz w:val="18"/>
          <w:szCs w:val="18"/>
          <w:color w:val="auto"/>
        </w:rPr>
        <w:t>‑</w:t>
      </w:r>
      <w:r>
        <w:rPr>
          <w:rFonts w:ascii="Arial" w:cs="Arial" w:eastAsia="Arial" w:hAnsi="Arial"/>
          <w:sz w:val="18"/>
          <w:szCs w:val="18"/>
          <w:color w:val="auto"/>
        </w:rPr>
        <w:t>month PFS was estimated to be 78%.</w:t>
      </w:r>
    </w:p>
    <w:p>
      <w:pPr>
        <w:spacing w:after="0" w:line="184" w:lineRule="exact"/>
        <w:rPr>
          <w:rFonts w:ascii="Arial" w:cs="Arial" w:eastAsia="Arial" w:hAnsi="Arial"/>
          <w:sz w:val="18"/>
          <w:szCs w:val="18"/>
          <w:color w:val="auto"/>
        </w:rPr>
      </w:pPr>
    </w:p>
    <w:p>
      <w:pPr>
        <w:ind w:left="980" w:right="60" w:hanging="329"/>
        <w:spacing w:after="0" w:line="203" w:lineRule="exact"/>
        <w:tabs>
          <w:tab w:leader="none" w:pos="9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contrast, historical data showed a zero percent ORR and median PFS of 2.8 months in patients with PDGFRα D842V</w:t>
      </w:r>
      <w:r>
        <w:rPr>
          <w:rFonts w:ascii="MS PGothic" w:cs="MS PGothic" w:eastAsia="MS PGothic" w:hAnsi="MS PGothic"/>
          <w:sz w:val="18"/>
          <w:szCs w:val="18"/>
          <w:color w:val="auto"/>
        </w:rPr>
        <w:t>‑</w:t>
      </w:r>
      <w:r>
        <w:rPr>
          <w:rFonts w:ascii="Arial" w:cs="Arial" w:eastAsia="Arial" w:hAnsi="Arial"/>
          <w:sz w:val="18"/>
          <w:szCs w:val="18"/>
          <w:color w:val="auto"/>
        </w:rPr>
        <w:t>driven GIST treated with imatinib.</w:t>
      </w:r>
    </w:p>
    <w:p>
      <w:pPr>
        <w:spacing w:after="0" w:line="162"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i w:val="1"/>
          <w:iCs w:val="1"/>
          <w:color w:val="auto"/>
        </w:rPr>
        <w:t xml:space="preserve">Navigator Trial Design. </w:t>
      </w:r>
      <w:r>
        <w:rPr>
          <w:rFonts w:ascii="Arial" w:cs="Arial" w:eastAsia="Arial" w:hAnsi="Arial"/>
          <w:sz w:val="17"/>
          <w:szCs w:val="17"/>
          <w:color w:val="auto"/>
        </w:rPr>
        <w:t>The Navigator trial is designed to evaluate the activity, safety and tolerability of avapritinib</w:t>
      </w:r>
      <w:r>
        <w:rPr>
          <w:rFonts w:ascii="Arial" w:cs="Arial" w:eastAsia="Arial" w:hAnsi="Arial"/>
          <w:sz w:val="17"/>
          <w:szCs w:val="17"/>
          <w:i w:val="1"/>
          <w:iCs w:val="1"/>
          <w:color w:val="auto"/>
        </w:rPr>
        <w:t xml:space="preserve"> </w:t>
      </w:r>
      <w:r>
        <w:rPr>
          <w:rFonts w:ascii="Arial" w:cs="Arial" w:eastAsia="Arial" w:hAnsi="Arial"/>
          <w:sz w:val="17"/>
          <w:szCs w:val="17"/>
          <w:color w:val="auto"/>
        </w:rPr>
        <w:t>in adults with advanced GIST. The trial consists of two parts: a dose escalation portion and a dose expansion portion. We have completed the dose escalation portion, and patient enrollment in the dose expansion portion of the Navigator trial is currently ongoing at the RP2D of 300 mg QD. The expansion portion of this trial is designed to enroll patients in the following cohorts: (1) patients with a PDFGRα D842V mutation, regardless of line of therapy, (2) patients who have received imatinib and at least one other TKI and (3) patients who have received imatinib and no other TKI. Primary objectives for the dose expansion portion of the Navigator trial include determining ORR by RECIST and the safety and tolerability of avapritinib across the three expansion cohorts. Secondary objectives include characterizing the PK of avapritinib, assessing anti-tumor activity by Choi criteria and allelic burden using circulating tumor DNA and comparing progression-free survival, or PFS, for avapritinib with PFS for each patient’s last prior anti-cancer therapy. All response assessments use blinded, central radiology review. The Navigator trial is designed to enroll approximately 250 patients, including approximately 50 patients during dose escalation and approximately 200 patients across all three expansion cohorts, at multiple sites in the United States, European Union and Asia.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 Plans</w:t>
      </w:r>
    </w:p>
    <w:p>
      <w:pPr>
        <w:spacing w:after="0" w:line="185" w:lineRule="exact"/>
        <w:rPr>
          <w:sz w:val="20"/>
          <w:szCs w:val="20"/>
          <w:color w:val="auto"/>
        </w:rPr>
      </w:pPr>
    </w:p>
    <w:p>
      <w:pPr>
        <w:ind w:right="60" w:firstLine="648"/>
        <w:spacing w:after="0" w:line="212" w:lineRule="auto"/>
        <w:rPr>
          <w:sz w:val="20"/>
          <w:szCs w:val="20"/>
          <w:color w:val="auto"/>
        </w:rPr>
      </w:pPr>
      <w:r>
        <w:rPr>
          <w:rFonts w:ascii="Arial" w:cs="Arial" w:eastAsia="Arial" w:hAnsi="Arial"/>
          <w:sz w:val="18"/>
          <w:szCs w:val="18"/>
          <w:color w:val="auto"/>
        </w:rPr>
        <w:t>In June 2017, the FDA granted breakthrough therapy designation to avapritinib for the treatment of patients with unresectable or metastatic GIST harboring the PDGFRα D842V mutation. In addition, in January 2016 the FDA granted orphan drug designation to avapritinib for the treatment of GIST, and in October 2016, the FDA granted fast track designation to avapritinib for the treatment of patients with unresectable or metastatic GIST that progressed following treatment with imatinib and a second TKI inhibitor and for the treatment of patients with unresectable or metastatic GIST with the PDGFRα D842V mutation regardless of prior therapy. In July 2017, the European Commission granted orphan drug designation to avapritinib for the treatment of GIST.</w:t>
      </w:r>
    </w:p>
    <w:p>
      <w:pPr>
        <w:spacing w:after="0" w:line="165"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Based on feedback from the FDA at an end</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Phase 1 meeting, additional data from the expansion portion of the</w:t>
      </w:r>
    </w:p>
    <w:p>
      <w:pPr>
        <w:spacing w:after="0" w:line="212" w:lineRule="auto"/>
        <w:rPr>
          <w:sz w:val="20"/>
          <w:szCs w:val="20"/>
          <w:color w:val="auto"/>
        </w:rPr>
      </w:pPr>
      <w:r>
        <w:rPr>
          <w:rFonts w:ascii="Arial" w:cs="Arial" w:eastAsia="Arial" w:hAnsi="Arial"/>
          <w:sz w:val="18"/>
          <w:szCs w:val="18"/>
          <w:color w:val="auto"/>
        </w:rPr>
        <w:t>Navigator trial may be sufficient to support a new drug application for avapritinib for the treatment of PDGFRα</w:t>
      </w:r>
    </w:p>
    <w:p>
      <w:pPr>
        <w:spacing w:after="0" w:line="176" w:lineRule="exact"/>
        <w:rPr>
          <w:sz w:val="20"/>
          <w:szCs w:val="20"/>
          <w:color w:val="auto"/>
        </w:rPr>
      </w:pPr>
      <w:r>
        <w:rPr>
          <w:rFonts w:ascii="Arial" w:cs="Arial" w:eastAsia="Arial" w:hAnsi="Arial"/>
          <w:sz w:val="16"/>
          <w:szCs w:val="16"/>
          <w:color w:val="auto"/>
        </w:rPr>
        <w:t>D842V</w:t>
      </w:r>
      <w:r>
        <w:rPr>
          <w:rFonts w:ascii="MS PGothic" w:cs="MS PGothic" w:eastAsia="MS PGothic" w:hAnsi="MS PGothic"/>
          <w:sz w:val="16"/>
          <w:szCs w:val="16"/>
          <w:color w:val="auto"/>
        </w:rPr>
        <w:t>‑</w:t>
      </w:r>
      <w:r>
        <w:rPr>
          <w:rFonts w:ascii="Arial" w:cs="Arial" w:eastAsia="Arial" w:hAnsi="Arial"/>
          <w:sz w:val="16"/>
          <w:szCs w:val="16"/>
          <w:color w:val="auto"/>
        </w:rPr>
        <w:t>driven GIST. We currently expect to complete enrollment of the PDGFRα D842V expansion cohort for the Navigator</w:t>
      </w:r>
    </w:p>
    <w:p>
      <w:pPr>
        <w:spacing w:after="0" w:line="215" w:lineRule="auto"/>
        <w:rPr>
          <w:sz w:val="20"/>
          <w:szCs w:val="20"/>
          <w:color w:val="auto"/>
        </w:rPr>
      </w:pPr>
      <w:r>
        <w:rPr>
          <w:rFonts w:ascii="Arial" w:cs="Arial" w:eastAsia="Arial" w:hAnsi="Arial"/>
          <w:sz w:val="17"/>
          <w:szCs w:val="17"/>
          <w:color w:val="auto"/>
        </w:rPr>
        <w:t>trial by the middle of 2018, and we have completed enrollment of the third line or later expansion cohort of the Navigator</w:t>
      </w:r>
    </w:p>
    <w:p>
      <w:pPr>
        <w:spacing w:after="0" w:line="216" w:lineRule="auto"/>
        <w:rPr>
          <w:sz w:val="20"/>
          <w:szCs w:val="20"/>
          <w:color w:val="auto"/>
        </w:rPr>
      </w:pPr>
      <w:r>
        <w:rPr>
          <w:rFonts w:ascii="Arial" w:cs="Arial" w:eastAsia="Arial" w:hAnsi="Arial"/>
          <w:sz w:val="17"/>
          <w:szCs w:val="17"/>
          <w:color w:val="auto"/>
        </w:rPr>
        <w:t>trial. We plan to report updated data from the Navigator trial in the following patient populations in 2018: PDGFRα-driven</w:t>
      </w:r>
    </w:p>
    <w:p>
      <w:pPr>
        <w:spacing w:after="0" w:line="204" w:lineRule="auto"/>
        <w:rPr>
          <w:sz w:val="20"/>
          <w:szCs w:val="20"/>
          <w:color w:val="auto"/>
        </w:rPr>
      </w:pPr>
      <w:r>
        <w:rPr>
          <w:rFonts w:ascii="Arial" w:cs="Arial" w:eastAsia="Arial" w:hAnsi="Arial"/>
          <w:sz w:val="18"/>
          <w:szCs w:val="18"/>
          <w:color w:val="auto"/>
        </w:rPr>
        <w:t>GIST, second line KIT-driven GIST and third line or later KIT-driven GIST. In addition, we plan to initiate a global,</w:t>
      </w:r>
    </w:p>
    <w:p>
      <w:pPr>
        <w:spacing w:after="0" w:line="176" w:lineRule="exact"/>
        <w:rPr>
          <w:sz w:val="20"/>
          <w:szCs w:val="20"/>
          <w:color w:val="auto"/>
        </w:rPr>
      </w:pPr>
      <w:r>
        <w:rPr>
          <w:rFonts w:ascii="Arial" w:cs="Arial" w:eastAsia="Arial" w:hAnsi="Arial"/>
          <w:sz w:val="17"/>
          <w:szCs w:val="17"/>
          <w:color w:val="auto"/>
        </w:rPr>
        <w:t>randomized Phase 3 clinical trial for avapritinib compared to regorafenib in third</w:t>
      </w:r>
      <w:r>
        <w:rPr>
          <w:rFonts w:ascii="MS PGothic" w:cs="MS PGothic" w:eastAsia="MS PGothic" w:hAnsi="MS PGothic"/>
          <w:sz w:val="17"/>
          <w:szCs w:val="17"/>
          <w:color w:val="auto"/>
        </w:rPr>
        <w:t>‑</w:t>
      </w:r>
      <w:r>
        <w:rPr>
          <w:rFonts w:ascii="Arial" w:cs="Arial" w:eastAsia="Arial" w:hAnsi="Arial"/>
          <w:sz w:val="17"/>
          <w:szCs w:val="17"/>
          <w:color w:val="auto"/>
        </w:rPr>
        <w:t>line GIST in the first half of 2018, which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we refer to as the Voyager trial.</w:t>
      </w:r>
    </w:p>
    <w:p>
      <w:pPr>
        <w:spacing w:after="0" w:line="169" w:lineRule="exact"/>
        <w:rPr>
          <w:sz w:val="20"/>
          <w:szCs w:val="20"/>
          <w:color w:val="auto"/>
        </w:rPr>
      </w:pPr>
    </w:p>
    <w:p>
      <w:pPr>
        <w:jc w:val="both"/>
        <w:ind w:right="60" w:firstLine="648"/>
        <w:spacing w:after="0" w:line="224" w:lineRule="auto"/>
        <w:rPr>
          <w:sz w:val="20"/>
          <w:szCs w:val="20"/>
          <w:color w:val="auto"/>
        </w:rPr>
      </w:pPr>
      <w:r>
        <w:rPr>
          <w:rFonts w:ascii="Arial" w:cs="Arial" w:eastAsia="Arial" w:hAnsi="Arial"/>
          <w:sz w:val="18"/>
          <w:szCs w:val="18"/>
          <w:color w:val="auto"/>
        </w:rPr>
        <w:t>In addition, in August 2016, we entered into an agreement with a third party to develop and commercialize an assay as a companion diagnostic test to identify GIST patients with the PDGFRα D842V mutation for use with avapritinib. We are also working with patient advocacy groups relevant to GIST in order to:</w:t>
      </w:r>
    </w:p>
    <w:p>
      <w:pPr>
        <w:spacing w:after="0" w:line="163" w:lineRule="exact"/>
        <w:rPr>
          <w:sz w:val="20"/>
          <w:szCs w:val="20"/>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raise awareness of our ongoing Navigator trial;</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 and use existing patient registries to identify patients for rapid enrollment;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 the GIST patient perspective into our ongoing activities.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Systemic Mastocytosis (SM)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 Disease Background</w:t>
      </w:r>
    </w:p>
    <w:p>
      <w:pPr>
        <w:spacing w:after="0" w:line="185" w:lineRule="exact"/>
        <w:rPr>
          <w:sz w:val="20"/>
          <w:szCs w:val="20"/>
          <w:color w:val="auto"/>
        </w:rPr>
      </w:pPr>
    </w:p>
    <w:p>
      <w:pPr>
        <w:ind w:right="19" w:firstLine="648"/>
        <w:spacing w:after="0" w:line="241" w:lineRule="auto"/>
        <w:rPr>
          <w:sz w:val="20"/>
          <w:szCs w:val="20"/>
          <w:color w:val="auto"/>
        </w:rPr>
      </w:pPr>
      <w:r>
        <w:rPr>
          <w:rFonts w:ascii="Arial" w:cs="Arial" w:eastAsia="Arial" w:hAnsi="Arial"/>
          <w:sz w:val="16"/>
          <w:szCs w:val="16"/>
          <w:color w:val="auto"/>
        </w:rPr>
        <w:t>SM is a disorder of the mast cells, the key effector cells of allergic inflammation, which have several physiologic roles including wound healing, regulation of vascular and epithelial permeability and immune cell recruitment. The signature of SM is the overproduction of mast cells and the accumulation of mast cells in the bone marrow and other organs. In advanced forms of SM, abnormal mast cells may also accumulate in the liver, spleen, gastrointestinal tract and bones. Mast cell activation and histamine release can lead to severe allergic symptoms ranging from a skin rash to hives, fever and anaphylaxis, while mast cell accumulation in advanced cases of SM can eventually lead to organ dysfunction and failure.</w:t>
      </w:r>
    </w:p>
    <w:p>
      <w:pPr>
        <w:spacing w:after="0" w:line="161" w:lineRule="exact"/>
        <w:rPr>
          <w:sz w:val="20"/>
          <w:szCs w:val="20"/>
          <w:color w:val="auto"/>
        </w:rPr>
      </w:pPr>
    </w:p>
    <w:p>
      <w:pPr>
        <w:ind w:right="39" w:firstLine="648"/>
        <w:spacing w:after="0" w:line="221" w:lineRule="auto"/>
        <w:rPr>
          <w:sz w:val="20"/>
          <w:szCs w:val="20"/>
          <w:color w:val="auto"/>
        </w:rPr>
      </w:pPr>
      <w:r>
        <w:rPr>
          <w:rFonts w:ascii="Arial" w:cs="Arial" w:eastAsia="Arial" w:hAnsi="Arial"/>
          <w:sz w:val="17"/>
          <w:szCs w:val="17"/>
          <w:color w:val="auto"/>
        </w:rPr>
        <w:t>SM comprises a spectrum of disease, with approximately 90-95% of patients having a KIT D816V mutation, the underlying driver of disease for most SM patients. The diagnosis, which is usually made in adulthood, involves a complex diagnostic algorithm that begins with confirmation of SM and subsequently categorizes patients into indolent or advanced subtypes of disease, a classification that has prognostic significance as shown below. Patients with ISM have a normal life expectancy. The primary burden of disease for ISM patients is the range of often unpredictable and debilitating allergic symptoms due to mast cell activation. Advanced SM includes three subsets with increasingly severe impact on life expectancy: aggressive SM, or ASM, advanced SM with an associated hematologic neoplasm, SM-AHN, and mast cell leukemia, or MCL. These advanced forms of SM have a median overall survival of three to five years and are characterized by prominent organopathy and dysfunction, as well as symptoms of mast cell activation. SSM is increasingly considered as a variant of advanced SM. While SSM is not known to affect life expectancy, it has a greater degree of bone marrow infiltration, myeloproliferation and/or presents with an enlarged liver and bears a greater risk of progression to ASM, SM-AHN or MCL.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1485265</wp:posOffset>
            </wp:positionH>
            <wp:positionV relativeFrom="paragraph">
              <wp:posOffset>121285</wp:posOffset>
            </wp:positionV>
            <wp:extent cx="2787015" cy="19894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87015"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60" w:right="19"/>
        <w:spacing w:after="0" w:line="151" w:lineRule="exact"/>
        <w:rPr>
          <w:sz w:val="20"/>
          <w:szCs w:val="20"/>
          <w:color w:val="auto"/>
        </w:rPr>
      </w:pPr>
      <w:r>
        <w:rPr>
          <w:rFonts w:ascii="Arial" w:cs="Arial" w:eastAsia="Arial" w:hAnsi="Arial"/>
          <w:sz w:val="14"/>
          <w:szCs w:val="14"/>
          <w:color w:val="auto"/>
        </w:rPr>
        <w:t xml:space="preserve">Overall survival of SM patients. Republished with permission of the American Society of Hematology, from “How I treat patients with indolent and smoldering mastocytosis,” A. Pardanani, </w:t>
      </w:r>
      <w:r>
        <w:rPr>
          <w:rFonts w:ascii="Arial" w:cs="Arial" w:eastAsia="Arial" w:hAnsi="Arial"/>
          <w:sz w:val="14"/>
          <w:szCs w:val="14"/>
          <w:i w:val="1"/>
          <w:iCs w:val="1"/>
          <w:color w:val="auto"/>
        </w:rPr>
        <w:t>Blood</w:t>
      </w:r>
      <w:r>
        <w:rPr>
          <w:rFonts w:ascii="Arial" w:cs="Arial" w:eastAsia="Arial" w:hAnsi="Arial"/>
          <w:sz w:val="14"/>
          <w:szCs w:val="14"/>
          <w:color w:val="auto"/>
        </w:rPr>
        <w:t xml:space="preserve">, 121(16):3085 </w:t>
      </w:r>
      <w:r>
        <w:rPr>
          <w:rFonts w:ascii="MS PGothic" w:cs="MS PGothic" w:eastAsia="MS PGothic" w:hAnsi="MS PGothic"/>
          <w:sz w:val="14"/>
          <w:szCs w:val="14"/>
          <w:color w:val="auto"/>
        </w:rPr>
        <w:t>‑</w:t>
      </w:r>
      <w:r>
        <w:rPr>
          <w:rFonts w:ascii="Arial" w:cs="Arial" w:eastAsia="Arial" w:hAnsi="Arial"/>
          <w:sz w:val="14"/>
          <w:szCs w:val="14"/>
          <w:color w:val="auto"/>
        </w:rPr>
        <w:t xml:space="preserve"> 3094 (2013); permission conveyed through Copyright Clearance Center, Inc. In the figure above, AHD refers to SM-AHN.</w:t>
      </w:r>
    </w:p>
    <w:p>
      <w:pPr>
        <w:spacing w:after="0" w:line="175" w:lineRule="exact"/>
        <w:rPr>
          <w:sz w:val="20"/>
          <w:szCs w:val="20"/>
          <w:color w:val="auto"/>
        </w:rPr>
      </w:pPr>
    </w:p>
    <w:p>
      <w:pPr>
        <w:ind w:right="199" w:firstLine="648"/>
        <w:spacing w:after="0" w:line="189" w:lineRule="exact"/>
        <w:rPr>
          <w:sz w:val="20"/>
          <w:szCs w:val="20"/>
          <w:color w:val="auto"/>
        </w:rPr>
      </w:pPr>
      <w:r>
        <w:rPr>
          <w:rFonts w:ascii="Arial" w:cs="Arial" w:eastAsia="Arial" w:hAnsi="Arial"/>
          <w:sz w:val="17"/>
          <w:szCs w:val="17"/>
          <w:color w:val="auto"/>
        </w:rPr>
        <w:t>Population studies, including a population</w:t>
      </w:r>
      <w:r>
        <w:rPr>
          <w:rFonts w:ascii="MS PGothic" w:cs="MS PGothic" w:eastAsia="MS PGothic" w:hAnsi="MS PGothic"/>
          <w:sz w:val="17"/>
          <w:szCs w:val="17"/>
          <w:color w:val="auto"/>
        </w:rPr>
        <w:t>‑</w:t>
      </w:r>
      <w:r>
        <w:rPr>
          <w:rFonts w:ascii="Arial" w:cs="Arial" w:eastAsia="Arial" w:hAnsi="Arial"/>
          <w:sz w:val="17"/>
          <w:szCs w:val="17"/>
          <w:color w:val="auto"/>
        </w:rPr>
        <w:t>based epidemiology study that we sponsored, based on the Danish National Health Registry, estimate the incidence of all subtypes of SM from 0.5 to 1/100,000 new patients per year. This represents approximately 3,200 new patients diagnosed per year in the United States. Of all SM patients, ISM accounts for 50</w:t>
      </w:r>
      <w:r>
        <w:rPr>
          <w:rFonts w:ascii="MS PGothic" w:cs="MS PGothic" w:eastAsia="MS PGothic" w:hAnsi="MS PGothic"/>
          <w:sz w:val="17"/>
          <w:szCs w:val="17"/>
          <w:color w:val="auto"/>
        </w:rPr>
        <w:t>‑</w:t>
      </w:r>
      <w:r>
        <w:rPr>
          <w:rFonts w:ascii="Arial" w:cs="Arial" w:eastAsia="Arial" w:hAnsi="Arial"/>
          <w:sz w:val="17"/>
          <w:szCs w:val="17"/>
          <w:color w:val="auto"/>
        </w:rPr>
        <w:t>80% of patients, and advanced SM accounts for the remaining 20</w:t>
      </w:r>
      <w:r>
        <w:rPr>
          <w:rFonts w:ascii="MS PGothic" w:cs="MS PGothic" w:eastAsia="MS PGothic" w:hAnsi="MS PGothic"/>
          <w:sz w:val="17"/>
          <w:szCs w:val="17"/>
          <w:color w:val="auto"/>
        </w:rPr>
        <w:t>‑</w:t>
      </w:r>
      <w:r>
        <w:rPr>
          <w:rFonts w:ascii="Arial" w:cs="Arial" w:eastAsia="Arial" w:hAnsi="Arial"/>
          <w:sz w:val="17"/>
          <w:szCs w:val="17"/>
          <w:color w:val="auto"/>
        </w:rPr>
        <w:t>50% of patients.</w:t>
      </w:r>
    </w:p>
    <w:p>
      <w:pPr>
        <w:spacing w:after="0" w:line="163" w:lineRule="exact"/>
        <w:rPr>
          <w:sz w:val="20"/>
          <w:szCs w:val="20"/>
          <w:color w:val="auto"/>
        </w:rPr>
      </w:pPr>
    </w:p>
    <w:p>
      <w:pPr>
        <w:ind w:right="39" w:firstLine="648"/>
        <w:spacing w:after="0" w:line="184" w:lineRule="exact"/>
        <w:rPr>
          <w:sz w:val="20"/>
          <w:szCs w:val="20"/>
          <w:color w:val="auto"/>
        </w:rPr>
      </w:pPr>
      <w:r>
        <w:rPr>
          <w:rFonts w:ascii="Arial" w:cs="Arial" w:eastAsia="Arial" w:hAnsi="Arial"/>
          <w:sz w:val="17"/>
          <w:szCs w:val="17"/>
          <w:color w:val="auto"/>
        </w:rPr>
        <w:t>The current treatment paradigm for SM varies by disease subtype. Currently, there are no approved targeted therapies that address SM patients with the KIT D816V mutation. Midostaurin, which was approved in April 2017 by the FDA for the treatment of advanced SM, is a multi-kinase inhibitor with KIT D816V inhibitory activity and imatinib does not address patients with the KIT D816V mutation. For patients with advanced and smoldering forms of SM, treatments include interferon</w:t>
      </w:r>
      <w:r>
        <w:rPr>
          <w:rFonts w:ascii="MS PGothic" w:cs="MS PGothic" w:eastAsia="MS PGothic" w:hAnsi="MS PGothic"/>
          <w:sz w:val="17"/>
          <w:szCs w:val="17"/>
          <w:color w:val="auto"/>
        </w:rPr>
        <w:t>‑</w:t>
      </w:r>
      <w:r>
        <w:rPr>
          <w:rFonts w:ascii="Arial" w:cs="Arial" w:eastAsia="Arial" w:hAnsi="Arial"/>
          <w:sz w:val="17"/>
          <w:szCs w:val="17"/>
          <w:color w:val="auto"/>
        </w:rPr>
        <w:t>alpha or cytoreductive agents to reduce mast cell burden or treatments aimed at addressing the associated blood disorder. Patients with advanced SM typically have a three to five</w:t>
      </w:r>
      <w:r>
        <w:rPr>
          <w:rFonts w:ascii="MS PGothic" w:cs="MS PGothic" w:eastAsia="MS PGothic" w:hAnsi="MS PGothic"/>
          <w:sz w:val="17"/>
          <w:szCs w:val="17"/>
          <w:color w:val="auto"/>
        </w:rPr>
        <w:t>‑</w:t>
      </w:r>
      <w:r>
        <w:rPr>
          <w:rFonts w:ascii="Arial" w:cs="Arial" w:eastAsia="Arial" w:hAnsi="Arial"/>
          <w:sz w:val="17"/>
          <w:szCs w:val="17"/>
          <w:color w:val="auto"/>
        </w:rPr>
        <w:t>year overall survival prognosis. In the Major Markets, we estimate there are approximately 2,600 patients with advanced SM.</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firstLine="648"/>
        <w:spacing w:after="0" w:line="182" w:lineRule="exact"/>
        <w:rPr>
          <w:sz w:val="20"/>
          <w:szCs w:val="20"/>
          <w:color w:val="auto"/>
        </w:rPr>
      </w:pPr>
      <w:r>
        <w:rPr>
          <w:rFonts w:ascii="Arial" w:cs="Arial" w:eastAsia="Arial" w:hAnsi="Arial"/>
          <w:sz w:val="16"/>
          <w:szCs w:val="16"/>
          <w:color w:val="auto"/>
        </w:rPr>
        <w:t>For ISM, management is symptom</w:t>
      </w:r>
      <w:r>
        <w:rPr>
          <w:rFonts w:ascii="MS PGothic" w:cs="MS PGothic" w:eastAsia="MS PGothic" w:hAnsi="MS PGothic"/>
          <w:sz w:val="16"/>
          <w:szCs w:val="16"/>
          <w:color w:val="auto"/>
        </w:rPr>
        <w:t>‑</w:t>
      </w:r>
      <w:r>
        <w:rPr>
          <w:rFonts w:ascii="Arial" w:cs="Arial" w:eastAsia="Arial" w:hAnsi="Arial"/>
          <w:sz w:val="16"/>
          <w:szCs w:val="16"/>
          <w:color w:val="auto"/>
        </w:rPr>
        <w:t>directed and includes avoidance of triggers of mast cell activation (such as insect stings). Treatments for ISM include histamine blockers, cromolyn, epinephrine, and, in cases of refractory patients, cytoreductive agents. Within ISM, key opinion leaders see the greatest degree of unmet need for the fraction of patients who have a heavy symptom burden that current therapies fail to address. Based on the preliminary safety and clinical activity data from our Phase 1 clinical trial of avapritinib in patients with advanced SM to date, including evidence of clinical activity starting at the lowest dose level, we anticipate initiating a Phase 2 dose escalation and proof</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concept clinical trial to evaluate avapritinib in patients with ISM and SSM in the second half of 2018. In the Major Markets, we estimate that there are approximately 16,300 patients with ISM and approximately 1,800 patients with SSM.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KIT Driver Mutations in SM</w:t>
      </w:r>
    </w:p>
    <w:p>
      <w:pPr>
        <w:spacing w:after="0" w:line="185" w:lineRule="exact"/>
        <w:rPr>
          <w:sz w:val="20"/>
          <w:szCs w:val="20"/>
          <w:color w:val="auto"/>
        </w:rPr>
      </w:pPr>
    </w:p>
    <w:p>
      <w:pPr>
        <w:ind w:right="420" w:firstLine="648"/>
        <w:spacing w:after="0" w:line="258" w:lineRule="auto"/>
        <w:rPr>
          <w:sz w:val="20"/>
          <w:szCs w:val="20"/>
          <w:color w:val="auto"/>
        </w:rPr>
      </w:pPr>
      <w:r>
        <w:rPr>
          <w:rFonts w:ascii="Arial" w:cs="Arial" w:eastAsia="Arial" w:hAnsi="Arial"/>
          <w:sz w:val="17"/>
          <w:szCs w:val="17"/>
          <w:color w:val="auto"/>
        </w:rPr>
        <w:t>In all subtypes of SM, the mast cells of approximately 90-95% of patients display an activating mutation at the D816V position in KIT. KIT D816V status is routinely assessed as part of the workup in SM diagnosis.</w:t>
      </w:r>
    </w:p>
    <w:p>
      <w:pPr>
        <w:spacing w:after="0" w:line="147"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KIT signaling is needed for normal blood cell production, including the differentiation and survival of mast cells. In patients with SM, abnormal mast cells bearing the KIT D816V mutation undergo constitutive kinase activation, leading to continuous survival and proliferative signals. Rare cases of SM have been found where alternative mutations in KIT occur that are responsive to imatinib. In these cases, treatment with imatinib can reduce mast cell burden in the bone marrow and other organs and improve symptoms, thereby clinically validating KIT as a therapeutic target for SM.</w:t>
      </w:r>
    </w:p>
    <w:p>
      <w:pPr>
        <w:spacing w:after="0" w:line="161"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Pre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clinical Development of avapritinib in SM</w:t>
      </w:r>
    </w:p>
    <w:p>
      <w:pPr>
        <w:spacing w:after="0" w:line="185" w:lineRule="exact"/>
        <w:rPr>
          <w:sz w:val="20"/>
          <w:szCs w:val="20"/>
          <w:color w:val="auto"/>
        </w:rPr>
      </w:pPr>
    </w:p>
    <w:p>
      <w:pPr>
        <w:ind w:right="240" w:firstLine="648"/>
        <w:spacing w:after="0" w:line="209" w:lineRule="auto"/>
        <w:rPr>
          <w:sz w:val="20"/>
          <w:szCs w:val="20"/>
          <w:color w:val="auto"/>
        </w:rPr>
      </w:pPr>
      <w:r>
        <w:rPr>
          <w:rFonts w:ascii="Arial" w:cs="Arial" w:eastAsia="Arial" w:hAnsi="Arial"/>
          <w:sz w:val="16"/>
          <w:szCs w:val="16"/>
          <w:color w:val="auto"/>
        </w:rPr>
        <w:t xml:space="preserve">We conducted comprehensive biochemical and cellular experiments to characterize the potency and selectivity of avapritinib. Avapritinib potently inhibits KIT D816V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(IC</w:t>
      </w:r>
      <w:r>
        <w:rPr>
          <w:rFonts w:ascii="Arial" w:cs="Arial" w:eastAsia="Arial" w:hAnsi="Arial"/>
          <w:sz w:val="26"/>
          <w:szCs w:val="26"/>
          <w:color w:val="auto"/>
          <w:vertAlign w:val="subscript"/>
        </w:rPr>
        <w:t>50</w:t>
      </w:r>
      <w:r>
        <w:rPr>
          <w:rFonts w:ascii="Arial" w:cs="Arial" w:eastAsia="Arial" w:hAnsi="Arial"/>
          <w:sz w:val="16"/>
          <w:szCs w:val="16"/>
          <w:color w:val="auto"/>
        </w:rPr>
        <w:t>, or the compound concentration at which 50% of the</w:t>
      </w:r>
    </w:p>
    <w:p>
      <w:pPr>
        <w:spacing w:after="0" w:line="1" w:lineRule="exact"/>
        <w:rPr>
          <w:sz w:val="20"/>
          <w:szCs w:val="20"/>
          <w:color w:val="auto"/>
        </w:rPr>
      </w:pPr>
    </w:p>
    <w:p>
      <w:pPr>
        <w:ind w:right="100"/>
        <w:spacing w:after="0" w:line="203" w:lineRule="exact"/>
        <w:rPr>
          <w:sz w:val="20"/>
          <w:szCs w:val="20"/>
          <w:color w:val="auto"/>
        </w:rPr>
      </w:pPr>
      <w:r>
        <w:rPr>
          <w:rFonts w:ascii="Arial" w:cs="Arial" w:eastAsia="Arial" w:hAnsi="Arial"/>
          <w:sz w:val="16"/>
          <w:szCs w:val="16"/>
          <w:color w:val="auto"/>
        </w:rPr>
        <w:t>activity is inhibited relative to control lacking compound, = 0.27 nM). In contrast, imatinib inhibits KIT D816V at least 10,000</w:t>
      </w:r>
      <w:r>
        <w:rPr>
          <w:rFonts w:ascii="MS PGothic" w:cs="MS PGothic" w:eastAsia="MS PGothic" w:hAnsi="MS PGothic"/>
          <w:sz w:val="16"/>
          <w:szCs w:val="16"/>
          <w:color w:val="auto"/>
        </w:rPr>
        <w:t>‑</w:t>
      </w:r>
      <w:r>
        <w:rPr>
          <w:rFonts w:ascii="Arial" w:cs="Arial" w:eastAsia="Arial" w:hAnsi="Arial"/>
          <w:sz w:val="16"/>
          <w:szCs w:val="16"/>
          <w:color w:val="auto"/>
        </w:rPr>
        <w:t>fold less potently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&gt; 8,000 nM). In several cellular models driven by activated KIT mutant proteins, avapritinib</w:t>
      </w:r>
    </w:p>
    <w:p>
      <w:pPr>
        <w:spacing w:after="0" w:line="229" w:lineRule="auto"/>
        <w:rPr>
          <w:sz w:val="20"/>
          <w:szCs w:val="20"/>
          <w:color w:val="auto"/>
        </w:rPr>
      </w:pPr>
      <w:r>
        <w:rPr>
          <w:rFonts w:ascii="Arial" w:cs="Arial" w:eastAsia="Arial" w:hAnsi="Arial"/>
          <w:sz w:val="16"/>
          <w:szCs w:val="16"/>
          <w:color w:val="auto"/>
        </w:rPr>
        <w:t>potently inhibits signaling of the oncogenic KIT mutant protein, as measured by inhibition of KIT autophosphorylation and</w:t>
      </w:r>
    </w:p>
    <w:p>
      <w:pPr>
        <w:spacing w:after="0" w:line="229" w:lineRule="auto"/>
        <w:rPr>
          <w:sz w:val="20"/>
          <w:szCs w:val="20"/>
          <w:color w:val="auto"/>
        </w:rPr>
      </w:pPr>
      <w:r>
        <w:rPr>
          <w:rFonts w:ascii="Arial" w:cs="Arial" w:eastAsia="Arial" w:hAnsi="Arial"/>
          <w:sz w:val="16"/>
          <w:szCs w:val="16"/>
          <w:color w:val="auto"/>
        </w:rPr>
        <w:t>inhibition of cellular proliferation. In HMC 1.2 cells, a human mast cell leukemia model driven by the KIT D816V mutation,</w:t>
      </w:r>
    </w:p>
    <w:p>
      <w:pPr>
        <w:spacing w:after="0" w:line="216" w:lineRule="auto"/>
        <w:rPr>
          <w:sz w:val="20"/>
          <w:szCs w:val="20"/>
          <w:color w:val="auto"/>
        </w:rPr>
      </w:pPr>
      <w:r>
        <w:rPr>
          <w:rFonts w:ascii="Arial" w:cs="Arial" w:eastAsia="Arial" w:hAnsi="Arial"/>
          <w:sz w:val="17"/>
          <w:szCs w:val="17"/>
          <w:color w:val="auto"/>
        </w:rPr>
        <w:t>avapritinib potently inhibits signaling of the mutant KIT protein as measured by inhibition of KIT autophosphorylation</w:t>
      </w:r>
    </w:p>
    <w:p>
      <w:pPr>
        <w:spacing w:after="0" w:line="230" w:lineRule="exact"/>
        <w:rPr>
          <w:sz w:val="20"/>
          <w:szCs w:val="20"/>
          <w:color w:val="auto"/>
        </w:rPr>
      </w:pPr>
      <w:r>
        <w:rPr>
          <w:rFonts w:ascii="Arial" w:cs="Arial" w:eastAsia="Arial" w:hAnsi="Arial"/>
          <w:sz w:val="16"/>
          <w:szCs w:val="16"/>
          <w:color w:val="auto"/>
        </w:rPr>
        <w:t>(IC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 4 nM). In contrast, imatinib inhibits KIT autophosphorylation at least 2,000</w:t>
      </w:r>
      <w:r>
        <w:rPr>
          <w:rFonts w:ascii="MS PGothic" w:cs="MS PGothic" w:eastAsia="MS PGothic" w:hAnsi="MS PGothic"/>
          <w:sz w:val="16"/>
          <w:szCs w:val="16"/>
          <w:color w:val="auto"/>
        </w:rPr>
        <w:t>‑</w:t>
      </w:r>
      <w:r>
        <w:rPr>
          <w:rFonts w:ascii="Arial" w:cs="Arial" w:eastAsia="Arial" w:hAnsi="Arial"/>
          <w:sz w:val="16"/>
          <w:szCs w:val="16"/>
          <w:color w:val="auto"/>
        </w:rPr>
        <w:t>fold less potently. In P815 cells, a mouse</w:t>
      </w:r>
    </w:p>
    <w:p>
      <w:pPr>
        <w:spacing w:after="0" w:line="1" w:lineRule="exact"/>
        <w:rPr>
          <w:sz w:val="20"/>
          <w:szCs w:val="20"/>
          <w:color w:val="auto"/>
        </w:rPr>
      </w:pPr>
    </w:p>
    <w:p>
      <w:pPr>
        <w:ind w:right="320"/>
        <w:spacing w:after="0" w:line="201" w:lineRule="auto"/>
        <w:rPr>
          <w:sz w:val="20"/>
          <w:szCs w:val="20"/>
          <w:color w:val="auto"/>
        </w:rPr>
      </w:pPr>
      <w:r>
        <w:rPr>
          <w:rFonts w:ascii="Arial" w:cs="Arial" w:eastAsia="Arial" w:hAnsi="Arial"/>
          <w:sz w:val="16"/>
          <w:szCs w:val="16"/>
          <w:color w:val="auto"/>
        </w:rPr>
        <w:t>mastocytoma model driven by an Exon 17 mutation, avapritinib potently inhibits signaling of the mutant KIT protein as measured by inhibition of KIT autophosphorylation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 22 nM) as well as cellular proliferation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 202 nM). By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comparison, imatinib shows considerably lower cellular potency in the P815 model.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60" w:type="dxa"/>
            <w:vAlign w:val="bottom"/>
            <w:tcBorders>
              <w:top w:val="single" w:sz="8" w:color="auto"/>
              <w:bottom w:val="single" w:sz="8" w:color="auto"/>
            </w:tcBorders>
          </w:tcPr>
          <w:p>
            <w:pPr>
              <w:spacing w:after="0"/>
              <w:rPr>
                <w:sz w:val="16"/>
                <w:szCs w:val="16"/>
                <w:color w:val="auto"/>
              </w:rPr>
            </w:pPr>
          </w:p>
        </w:tc>
        <w:tc>
          <w:tcPr>
            <w:tcW w:w="2280" w:type="dxa"/>
            <w:vAlign w:val="bottom"/>
            <w:tcBorders>
              <w:top w:val="single" w:sz="8" w:color="auto"/>
              <w:bottom w:val="single" w:sz="8" w:color="auto"/>
            </w:tcBorders>
            <w:gridSpan w:val="3"/>
          </w:tcPr>
          <w:p>
            <w:pPr>
              <w:ind w:left="520"/>
              <w:spacing w:after="0" w:line="189" w:lineRule="exact"/>
              <w:rPr>
                <w:sz w:val="20"/>
                <w:szCs w:val="20"/>
                <w:color w:val="auto"/>
              </w:rPr>
            </w:pPr>
            <w:r>
              <w:rPr>
                <w:rFonts w:ascii="Arial" w:cs="Arial" w:eastAsia="Arial" w:hAnsi="Arial"/>
                <w:sz w:val="18"/>
                <w:szCs w:val="18"/>
                <w:b w:val="1"/>
                <w:bCs w:val="1"/>
                <w:color w:val="auto"/>
                <w:w w:val="99"/>
              </w:rPr>
              <w:t>KIT D816V Inhibition</w:t>
            </w:r>
          </w:p>
        </w:tc>
        <w:tc>
          <w:tcPr>
            <w:tcW w:w="8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60" w:type="dxa"/>
            <w:vAlign w:val="bottom"/>
            <w:tcBorders>
              <w:bottom w:val="single" w:sz="8" w:color="BFBFBF"/>
            </w:tcBorders>
            <w:shd w:val="clear" w:color="auto" w:fill="BFBFBF"/>
          </w:tcPr>
          <w:p>
            <w:pPr>
              <w:spacing w:after="0"/>
              <w:rPr>
                <w:sz w:val="14"/>
                <w:szCs w:val="14"/>
                <w:color w:val="auto"/>
              </w:rPr>
            </w:pPr>
          </w:p>
        </w:tc>
        <w:tc>
          <w:tcPr>
            <w:tcW w:w="1180" w:type="dxa"/>
            <w:vAlign w:val="bottom"/>
            <w:tcBorders>
              <w:bottom w:val="single" w:sz="8" w:color="auto"/>
            </w:tcBorders>
            <w:shd w:val="clear" w:color="auto" w:fill="BFBFBF"/>
          </w:tcPr>
          <w:p>
            <w:pPr>
              <w:ind w:left="120"/>
              <w:spacing w:after="0" w:line="170" w:lineRule="exact"/>
              <w:rPr>
                <w:sz w:val="20"/>
                <w:szCs w:val="20"/>
                <w:color w:val="auto"/>
              </w:rPr>
            </w:pPr>
            <w:r>
              <w:rPr>
                <w:rFonts w:ascii="Arial" w:cs="Arial" w:eastAsia="Arial" w:hAnsi="Arial"/>
                <w:sz w:val="18"/>
                <w:szCs w:val="18"/>
                <w:b w:val="1"/>
                <w:bCs w:val="1"/>
                <w:color w:val="auto"/>
                <w:w w:val="98"/>
              </w:rPr>
              <w:t>Biochemical</w:t>
            </w:r>
          </w:p>
        </w:tc>
        <w:tc>
          <w:tcPr>
            <w:tcW w:w="280" w:type="dxa"/>
            <w:vAlign w:val="bottom"/>
            <w:tcBorders>
              <w:bottom w:val="single" w:sz="8" w:color="BFBFBF"/>
            </w:tcBorders>
            <w:shd w:val="clear" w:color="auto" w:fill="BFBFBF"/>
          </w:tcPr>
          <w:p>
            <w:pPr>
              <w:spacing w:after="0"/>
              <w:rPr>
                <w:sz w:val="14"/>
                <w:szCs w:val="14"/>
                <w:color w:val="auto"/>
              </w:rPr>
            </w:pPr>
          </w:p>
        </w:tc>
        <w:tc>
          <w:tcPr>
            <w:tcW w:w="820" w:type="dxa"/>
            <w:vAlign w:val="bottom"/>
            <w:tcBorders>
              <w:bottom w:val="single" w:sz="8" w:color="auto"/>
            </w:tcBorders>
            <w:shd w:val="clear" w:color="auto" w:fill="BFBFBF"/>
          </w:tcPr>
          <w:p>
            <w:pPr>
              <w:spacing w:after="0"/>
              <w:rPr>
                <w:sz w:val="14"/>
                <w:szCs w:val="14"/>
                <w:color w:val="auto"/>
              </w:rPr>
            </w:pPr>
          </w:p>
        </w:tc>
        <w:tc>
          <w:tcPr>
            <w:tcW w:w="820" w:type="dxa"/>
            <w:vAlign w:val="bottom"/>
            <w:tcBorders>
              <w:bottom w:val="single" w:sz="8" w:color="auto"/>
            </w:tcBorders>
            <w:shd w:val="clear" w:color="auto" w:fill="BFBFBF"/>
          </w:tcPr>
          <w:p>
            <w:pPr>
              <w:ind w:left="40"/>
              <w:spacing w:after="0" w:line="170" w:lineRule="exact"/>
              <w:rPr>
                <w:sz w:val="20"/>
                <w:szCs w:val="20"/>
                <w:color w:val="auto"/>
              </w:rPr>
            </w:pPr>
            <w:r>
              <w:rPr>
                <w:rFonts w:ascii="Arial" w:cs="Arial" w:eastAsia="Arial" w:hAnsi="Arial"/>
                <w:sz w:val="18"/>
                <w:szCs w:val="18"/>
                <w:b w:val="1"/>
                <w:bCs w:val="1"/>
                <w:color w:val="auto"/>
              </w:rPr>
              <w:t>Cellular</w:t>
            </w:r>
          </w:p>
        </w:tc>
        <w:tc>
          <w:tcPr>
            <w:tcW w:w="720" w:type="dxa"/>
            <w:vAlign w:val="bottom"/>
            <w:tcBorders>
              <w:bottom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60" w:type="dxa"/>
            <w:vAlign w:val="bottom"/>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rPr>
              <w:t>IC50 (nM)</w:t>
            </w:r>
          </w:p>
        </w:tc>
        <w:tc>
          <w:tcPr>
            <w:tcW w:w="1460" w:type="dxa"/>
            <w:vAlign w:val="bottom"/>
            <w:gridSpan w:val="2"/>
            <w:vMerge w:val="restart"/>
            <w:shd w:val="clear" w:color="auto" w:fill="BFBFBF"/>
          </w:tcPr>
          <w:p>
            <w:pPr>
              <w:ind w:left="140"/>
              <w:spacing w:after="0"/>
              <w:rPr>
                <w:sz w:val="20"/>
                <w:szCs w:val="20"/>
                <w:color w:val="auto"/>
              </w:rPr>
            </w:pPr>
            <w:r>
              <w:rPr>
                <w:rFonts w:ascii="Arial" w:cs="Arial" w:eastAsia="Arial" w:hAnsi="Arial"/>
                <w:sz w:val="18"/>
                <w:szCs w:val="18"/>
                <w:b w:val="1"/>
                <w:bCs w:val="1"/>
                <w:color w:val="auto"/>
              </w:rPr>
              <w:t>KIT D816V</w:t>
            </w:r>
          </w:p>
        </w:tc>
        <w:tc>
          <w:tcPr>
            <w:tcW w:w="820" w:type="dxa"/>
            <w:vAlign w:val="bottom"/>
            <w:shd w:val="clear" w:color="auto" w:fill="BFBFBF"/>
          </w:tcPr>
          <w:p>
            <w:pPr>
              <w:jc w:val="center"/>
              <w:spacing w:after="0" w:line="142" w:lineRule="exact"/>
              <w:rPr>
                <w:sz w:val="20"/>
                <w:szCs w:val="20"/>
                <w:color w:val="auto"/>
              </w:rPr>
            </w:pPr>
            <w:r>
              <w:rPr>
                <w:rFonts w:ascii="Arial" w:cs="Arial" w:eastAsia="Arial" w:hAnsi="Arial"/>
                <w:sz w:val="16"/>
                <w:szCs w:val="16"/>
                <w:b w:val="1"/>
                <w:bCs w:val="1"/>
                <w:color w:val="auto"/>
              </w:rPr>
              <w:t>HMC1.2</w:t>
            </w:r>
          </w:p>
        </w:tc>
        <w:tc>
          <w:tcPr>
            <w:tcW w:w="820" w:type="dxa"/>
            <w:vAlign w:val="bottom"/>
            <w:shd w:val="clear" w:color="auto" w:fill="BFBFBF"/>
          </w:tcPr>
          <w:p>
            <w:pPr>
              <w:jc w:val="center"/>
              <w:spacing w:after="0" w:line="142" w:lineRule="exact"/>
              <w:rPr>
                <w:sz w:val="20"/>
                <w:szCs w:val="20"/>
                <w:color w:val="auto"/>
              </w:rPr>
            </w:pPr>
            <w:r>
              <w:rPr>
                <w:rFonts w:ascii="Arial" w:cs="Arial" w:eastAsia="Arial" w:hAnsi="Arial"/>
                <w:sz w:val="16"/>
                <w:szCs w:val="16"/>
                <w:b w:val="1"/>
                <w:bCs w:val="1"/>
                <w:color w:val="auto"/>
              </w:rPr>
              <w:t>P815</w:t>
            </w:r>
          </w:p>
        </w:tc>
        <w:tc>
          <w:tcPr>
            <w:tcW w:w="720" w:type="dxa"/>
            <w:vAlign w:val="bottom"/>
            <w:shd w:val="clear" w:color="auto" w:fill="BFBFBF"/>
          </w:tcPr>
          <w:p>
            <w:pPr>
              <w:jc w:val="center"/>
              <w:spacing w:after="0" w:line="142" w:lineRule="exact"/>
              <w:rPr>
                <w:sz w:val="20"/>
                <w:szCs w:val="20"/>
                <w:color w:val="auto"/>
              </w:rPr>
            </w:pPr>
            <w:r>
              <w:rPr>
                <w:rFonts w:ascii="Arial" w:cs="Arial" w:eastAsia="Arial" w:hAnsi="Arial"/>
                <w:sz w:val="16"/>
                <w:szCs w:val="16"/>
                <w:b w:val="1"/>
                <w:bCs w:val="1"/>
                <w:color w:val="auto"/>
              </w:rPr>
              <w:t>P815</w:t>
            </w:r>
          </w:p>
        </w:tc>
        <w:tc>
          <w:tcPr>
            <w:tcW w:w="0" w:type="dxa"/>
            <w:vAlign w:val="bottom"/>
          </w:tcPr>
          <w:p>
            <w:pPr>
              <w:spacing w:after="0"/>
              <w:rPr>
                <w:sz w:val="1"/>
                <w:szCs w:val="1"/>
                <w:color w:val="auto"/>
              </w:rPr>
            </w:pPr>
          </w:p>
        </w:tc>
      </w:tr>
      <w:tr>
        <w:trPr>
          <w:trHeight w:val="203"/>
        </w:trPr>
        <w:tc>
          <w:tcPr>
            <w:tcW w:w="1060" w:type="dxa"/>
            <w:vAlign w:val="bottom"/>
            <w:tcBorders>
              <w:bottom w:val="single" w:sz="8" w:color="auto"/>
            </w:tcBorders>
            <w:vMerge w:val="continue"/>
            <w:shd w:val="clear" w:color="auto" w:fill="BFBFBF"/>
          </w:tcPr>
          <w:p>
            <w:pPr>
              <w:spacing w:after="0"/>
              <w:rPr>
                <w:sz w:val="17"/>
                <w:szCs w:val="17"/>
                <w:color w:val="auto"/>
              </w:rPr>
            </w:pPr>
          </w:p>
        </w:tc>
        <w:tc>
          <w:tcPr>
            <w:tcW w:w="1460" w:type="dxa"/>
            <w:vAlign w:val="bottom"/>
            <w:tcBorders>
              <w:bottom w:val="single" w:sz="8" w:color="auto"/>
            </w:tcBorders>
            <w:gridSpan w:val="2"/>
            <w:vMerge w:val="continue"/>
            <w:shd w:val="clear" w:color="auto" w:fill="BFBFBF"/>
          </w:tcPr>
          <w:p>
            <w:pPr>
              <w:spacing w:after="0"/>
              <w:rPr>
                <w:sz w:val="17"/>
                <w:szCs w:val="17"/>
                <w:color w:val="auto"/>
              </w:rPr>
            </w:pPr>
          </w:p>
        </w:tc>
        <w:tc>
          <w:tcPr>
            <w:tcW w:w="820" w:type="dxa"/>
            <w:vAlign w:val="bottom"/>
            <w:tcBorders>
              <w:bottom w:val="single" w:sz="8" w:color="auto"/>
            </w:tcBorders>
            <w:shd w:val="clear" w:color="auto" w:fill="BFBFBF"/>
          </w:tcPr>
          <w:p>
            <w:pPr>
              <w:ind w:left="200"/>
              <w:spacing w:after="0" w:line="202" w:lineRule="exact"/>
              <w:rPr>
                <w:sz w:val="20"/>
                <w:szCs w:val="20"/>
                <w:color w:val="auto"/>
              </w:rPr>
            </w:pPr>
            <w:r>
              <w:rPr>
                <w:rFonts w:ascii="Arial" w:cs="Arial" w:eastAsia="Arial" w:hAnsi="Arial"/>
                <w:sz w:val="18"/>
                <w:szCs w:val="18"/>
                <w:b w:val="1"/>
                <w:bCs w:val="1"/>
                <w:color w:val="auto"/>
              </w:rPr>
              <w:t>P-KIT</w:t>
            </w:r>
          </w:p>
        </w:tc>
        <w:tc>
          <w:tcPr>
            <w:tcW w:w="820" w:type="dxa"/>
            <w:vAlign w:val="bottom"/>
            <w:tcBorders>
              <w:bottom w:val="single" w:sz="8" w:color="auto"/>
            </w:tcBorders>
            <w:shd w:val="clear" w:color="auto" w:fill="BFBFBF"/>
          </w:tcPr>
          <w:p>
            <w:pPr>
              <w:ind w:left="200"/>
              <w:spacing w:after="0" w:line="202" w:lineRule="exact"/>
              <w:rPr>
                <w:sz w:val="20"/>
                <w:szCs w:val="20"/>
                <w:color w:val="auto"/>
              </w:rPr>
            </w:pPr>
            <w:r>
              <w:rPr>
                <w:rFonts w:ascii="Arial" w:cs="Arial" w:eastAsia="Arial" w:hAnsi="Arial"/>
                <w:sz w:val="18"/>
                <w:szCs w:val="18"/>
                <w:b w:val="1"/>
                <w:bCs w:val="1"/>
                <w:color w:val="auto"/>
              </w:rPr>
              <w:t>P-KIT</w:t>
            </w:r>
          </w:p>
        </w:tc>
        <w:tc>
          <w:tcPr>
            <w:tcW w:w="720" w:type="dxa"/>
            <w:vAlign w:val="bottom"/>
            <w:tcBorders>
              <w:bottom w:val="single" w:sz="8" w:color="auto"/>
            </w:tcBorders>
            <w:shd w:val="clear" w:color="auto" w:fill="BFBFBF"/>
          </w:tcPr>
          <w:p>
            <w:pPr>
              <w:ind w:left="120"/>
              <w:spacing w:after="0" w:line="202" w:lineRule="exact"/>
              <w:rPr>
                <w:sz w:val="20"/>
                <w:szCs w:val="20"/>
                <w:color w:val="auto"/>
              </w:rPr>
            </w:pPr>
            <w:r>
              <w:rPr>
                <w:rFonts w:ascii="Arial" w:cs="Arial" w:eastAsia="Arial" w:hAnsi="Arial"/>
                <w:sz w:val="18"/>
                <w:szCs w:val="18"/>
                <w:b w:val="1"/>
                <w:bCs w:val="1"/>
                <w:color w:val="auto"/>
              </w:rPr>
              <w:t>Prolif.</w:t>
            </w:r>
          </w:p>
        </w:tc>
        <w:tc>
          <w:tcPr>
            <w:tcW w:w="0" w:type="dxa"/>
            <w:vAlign w:val="bottom"/>
          </w:tcPr>
          <w:p>
            <w:pPr>
              <w:spacing w:after="0"/>
              <w:rPr>
                <w:sz w:val="1"/>
                <w:szCs w:val="1"/>
                <w:color w:val="auto"/>
              </w:rPr>
            </w:pPr>
          </w:p>
        </w:tc>
      </w:tr>
      <w:tr>
        <w:trPr>
          <w:trHeight w:val="142"/>
        </w:trPr>
        <w:tc>
          <w:tcPr>
            <w:tcW w:w="1060" w:type="dxa"/>
            <w:vAlign w:val="bottom"/>
          </w:tcPr>
          <w:p>
            <w:pPr>
              <w:jc w:val="center"/>
              <w:spacing w:after="0" w:line="142" w:lineRule="exact"/>
              <w:rPr>
                <w:sz w:val="20"/>
                <w:szCs w:val="20"/>
                <w:color w:val="auto"/>
              </w:rPr>
            </w:pPr>
            <w:r>
              <w:rPr>
                <w:rFonts w:ascii="Arial" w:cs="Arial" w:eastAsia="Arial" w:hAnsi="Arial"/>
                <w:sz w:val="16"/>
                <w:szCs w:val="16"/>
                <w:color w:val="auto"/>
              </w:rPr>
              <w:t>avapritinib</w:t>
            </w:r>
          </w:p>
        </w:tc>
        <w:tc>
          <w:tcPr>
            <w:tcW w:w="1180" w:type="dxa"/>
            <w:vAlign w:val="bottom"/>
          </w:tcPr>
          <w:p>
            <w:pPr>
              <w:jc w:val="right"/>
              <w:ind w:right="352"/>
              <w:spacing w:after="0" w:line="142" w:lineRule="exact"/>
              <w:rPr>
                <w:sz w:val="20"/>
                <w:szCs w:val="20"/>
                <w:color w:val="auto"/>
              </w:rPr>
            </w:pPr>
            <w:r>
              <w:rPr>
                <w:rFonts w:ascii="Arial" w:cs="Arial" w:eastAsia="Arial" w:hAnsi="Arial"/>
                <w:sz w:val="16"/>
                <w:szCs w:val="16"/>
                <w:color w:val="auto"/>
              </w:rPr>
              <w:t>0.27</w:t>
            </w:r>
          </w:p>
        </w:tc>
        <w:tc>
          <w:tcPr>
            <w:tcW w:w="280" w:type="dxa"/>
            <w:vAlign w:val="bottom"/>
          </w:tcPr>
          <w:p>
            <w:pPr>
              <w:spacing w:after="0"/>
              <w:rPr>
                <w:sz w:val="12"/>
                <w:szCs w:val="12"/>
                <w:color w:val="auto"/>
              </w:rPr>
            </w:pPr>
          </w:p>
        </w:tc>
        <w:tc>
          <w:tcPr>
            <w:tcW w:w="820" w:type="dxa"/>
            <w:vAlign w:val="bottom"/>
          </w:tcPr>
          <w:p>
            <w:pPr>
              <w:jc w:val="center"/>
              <w:spacing w:after="0" w:line="142" w:lineRule="exact"/>
              <w:rPr>
                <w:sz w:val="20"/>
                <w:szCs w:val="20"/>
                <w:color w:val="auto"/>
              </w:rPr>
            </w:pPr>
            <w:r>
              <w:rPr>
                <w:rFonts w:ascii="Arial" w:cs="Arial" w:eastAsia="Arial" w:hAnsi="Arial"/>
                <w:sz w:val="16"/>
                <w:szCs w:val="16"/>
                <w:color w:val="auto"/>
              </w:rPr>
              <w:t>4</w:t>
            </w:r>
          </w:p>
        </w:tc>
        <w:tc>
          <w:tcPr>
            <w:tcW w:w="820" w:type="dxa"/>
            <w:vAlign w:val="bottom"/>
          </w:tcPr>
          <w:p>
            <w:pPr>
              <w:jc w:val="center"/>
              <w:spacing w:after="0" w:line="142" w:lineRule="exact"/>
              <w:rPr>
                <w:sz w:val="20"/>
                <w:szCs w:val="20"/>
                <w:color w:val="auto"/>
              </w:rPr>
            </w:pPr>
            <w:r>
              <w:rPr>
                <w:rFonts w:ascii="Arial" w:cs="Arial" w:eastAsia="Arial" w:hAnsi="Arial"/>
                <w:sz w:val="16"/>
                <w:szCs w:val="16"/>
                <w:color w:val="auto"/>
              </w:rPr>
              <w:t>22</w:t>
            </w:r>
          </w:p>
        </w:tc>
        <w:tc>
          <w:tcPr>
            <w:tcW w:w="720" w:type="dxa"/>
            <w:vAlign w:val="bottom"/>
          </w:tcPr>
          <w:p>
            <w:pPr>
              <w:jc w:val="center"/>
              <w:spacing w:after="0" w:line="142" w:lineRule="exact"/>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03"/>
        </w:trPr>
        <w:tc>
          <w:tcPr>
            <w:tcW w:w="10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Imatinib</w:t>
            </w:r>
          </w:p>
        </w:tc>
        <w:tc>
          <w:tcPr>
            <w:tcW w:w="1180" w:type="dxa"/>
            <w:vAlign w:val="bottom"/>
            <w:tcBorders>
              <w:bottom w:val="single" w:sz="8" w:color="auto"/>
            </w:tcBorders>
          </w:tcPr>
          <w:p>
            <w:pPr>
              <w:jc w:val="right"/>
              <w:ind w:right="312"/>
              <w:spacing w:after="0" w:line="202" w:lineRule="exact"/>
              <w:rPr>
                <w:sz w:val="20"/>
                <w:szCs w:val="20"/>
                <w:color w:val="auto"/>
              </w:rPr>
            </w:pPr>
            <w:r>
              <w:rPr>
                <w:rFonts w:ascii="Arial" w:cs="Arial" w:eastAsia="Arial" w:hAnsi="Arial"/>
                <w:sz w:val="18"/>
                <w:szCs w:val="18"/>
                <w:color w:val="auto"/>
              </w:rPr>
              <w:t>8,150</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8"/>
              </w:rPr>
              <w:t>9,229</w:t>
            </w:r>
          </w:p>
        </w:tc>
        <w:tc>
          <w:tcPr>
            <w:tcW w:w="8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3"/>
              </w:rPr>
              <w:t>1,235</w:t>
            </w:r>
          </w:p>
        </w:tc>
        <w:tc>
          <w:tcPr>
            <w:tcW w:w="7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8"/>
              </w:rPr>
              <w:t>2,811</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660" w:right="20"/>
        <w:spacing w:after="0" w:line="147" w:lineRule="exact"/>
        <w:rPr>
          <w:sz w:val="20"/>
          <w:szCs w:val="20"/>
          <w:color w:val="auto"/>
        </w:rPr>
      </w:pPr>
      <w:r>
        <w:rPr>
          <w:rFonts w:ascii="Arial" w:cs="Arial" w:eastAsia="Arial" w:hAnsi="Arial"/>
          <w:sz w:val="13"/>
          <w:szCs w:val="13"/>
          <w:color w:val="auto"/>
        </w:rPr>
        <w:t xml:space="preserve">Potency of avapritinib against KIT D816 and other Exon 17 mutations compared to imatinib. The inhibitory potencies of avapritinib and imatinib against the KIT D816V mutant protein were evaluated in an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enzyme activity assay. The inhibitory potencies of avapritinib and imatinib were also evaluated in two cell lines harboring KIT Exon 17 mutations, HMC 1.2 cells and P815 cells. Inhibition of KIT cellular signaling was measured by inhibition of KIT autophosphorylation (P</w:t>
      </w:r>
      <w:r>
        <w:rPr>
          <w:rFonts w:ascii="MS PGothic" w:cs="MS PGothic" w:eastAsia="MS PGothic" w:hAnsi="MS PGothic"/>
          <w:sz w:val="13"/>
          <w:szCs w:val="13"/>
          <w:color w:val="auto"/>
        </w:rPr>
        <w:t>‑</w:t>
      </w:r>
      <w:r>
        <w:rPr>
          <w:rFonts w:ascii="Arial" w:cs="Arial" w:eastAsia="Arial" w:hAnsi="Arial"/>
          <w:sz w:val="13"/>
          <w:szCs w:val="13"/>
          <w:color w:val="auto"/>
        </w:rPr>
        <w:t>KIT). Inhibition of cellular proliferation was also measured in P815 cells.</w:t>
      </w:r>
    </w:p>
    <w:p>
      <w:pPr>
        <w:spacing w:after="0" w:line="175" w:lineRule="exact"/>
        <w:rPr>
          <w:sz w:val="20"/>
          <w:szCs w:val="20"/>
          <w:color w:val="auto"/>
        </w:rPr>
      </w:pPr>
    </w:p>
    <w:p>
      <w:pPr>
        <w:ind w:right="120" w:firstLine="648"/>
        <w:spacing w:after="0" w:line="182" w:lineRule="exact"/>
        <w:rPr>
          <w:sz w:val="20"/>
          <w:szCs w:val="20"/>
          <w:color w:val="auto"/>
        </w:rPr>
      </w:pPr>
      <w:r>
        <w:rPr>
          <w:rFonts w:ascii="Arial" w:cs="Arial" w:eastAsia="Arial" w:hAnsi="Arial"/>
          <w:sz w:val="16"/>
          <w:szCs w:val="16"/>
          <w:color w:val="auto"/>
        </w:rPr>
        <w:t>The selectivity of avapritinib was further evaluated by profiling avapritinib at a concentration of 3 µM across a panel of over 450 kinases and disease</w:t>
      </w:r>
      <w:r>
        <w:rPr>
          <w:rFonts w:ascii="MS PGothic" w:cs="MS PGothic" w:eastAsia="MS PGothic" w:hAnsi="MS PGothic"/>
          <w:sz w:val="16"/>
          <w:szCs w:val="16"/>
          <w:color w:val="auto"/>
        </w:rPr>
        <w:t>‑</w:t>
      </w:r>
      <w:r>
        <w:rPr>
          <w:rFonts w:ascii="Arial" w:cs="Arial" w:eastAsia="Arial" w:hAnsi="Arial"/>
          <w:sz w:val="16"/>
          <w:szCs w:val="16"/>
          <w:color w:val="auto"/>
        </w:rPr>
        <w:t>relevant kinase mutants using KINOME</w:t>
      </w:r>
      <w:r>
        <w:rPr>
          <w:rFonts w:ascii="Arial" w:cs="Arial" w:eastAsia="Arial" w:hAnsi="Arial"/>
          <w:sz w:val="16"/>
          <w:szCs w:val="16"/>
          <w:i w:val="1"/>
          <w:iCs w:val="1"/>
          <w:color w:val="auto"/>
        </w:rPr>
        <w:t>scan</w:t>
      </w:r>
      <w:r>
        <w:rPr>
          <w:rFonts w:ascii="Arial" w:cs="Arial" w:eastAsia="Arial" w:hAnsi="Arial"/>
          <w:sz w:val="16"/>
          <w:szCs w:val="16"/>
          <w:color w:val="auto"/>
        </w:rPr>
        <w:t xml:space="preserve"> methodology. Avapritinib demonstrated exquisite selectivity for KIT Exon 17 mutant proteins and PDGFRα D842V in this assay, binding significantly (greater than 90% inhibition relative to control) to only 12 other kinases. We also profiled midostaurin, a multi</w:t>
      </w:r>
      <w:r>
        <w:rPr>
          <w:rFonts w:ascii="MS PGothic" w:cs="MS PGothic" w:eastAsia="MS PGothic" w:hAnsi="MS PGothic"/>
          <w:sz w:val="16"/>
          <w:szCs w:val="16"/>
          <w:color w:val="auto"/>
        </w:rPr>
        <w:t>‑</w:t>
      </w:r>
      <w:r>
        <w:rPr>
          <w:rFonts w:ascii="Arial" w:cs="Arial" w:eastAsia="Arial" w:hAnsi="Arial"/>
          <w:sz w:val="16"/>
          <w:szCs w:val="16"/>
          <w:color w:val="auto"/>
        </w:rPr>
        <w:t>kinase inhibitor with KIT D816V inhibitory activity (an inhibitory activity not present in imatinib). Midostaurin demonstrated significant binding (greater than 90% inhibition relative to control at 3 µ M) to 118 kinases, as indicated by the number of dots on the kinome tree shown below. We believe multi</w:t>
      </w:r>
      <w:r>
        <w:rPr>
          <w:rFonts w:ascii="MS PGothic" w:cs="MS PGothic" w:eastAsia="MS PGothic" w:hAnsi="MS PGothic"/>
          <w:sz w:val="16"/>
          <w:szCs w:val="16"/>
          <w:color w:val="auto"/>
        </w:rPr>
        <w:t>‑</w:t>
      </w:r>
      <w:r>
        <w:rPr>
          <w:rFonts w:ascii="Arial" w:cs="Arial" w:eastAsia="Arial" w:hAnsi="Arial"/>
          <w:sz w:val="16"/>
          <w:szCs w:val="16"/>
          <w:color w:val="auto"/>
        </w:rPr>
        <w:t>kinase inhibitors like midostaurin may not achieve full inhibition of KIT D816V due to poor selectivity and the resulting dose limitations imposed by off</w:t>
      </w:r>
      <w:r>
        <w:rPr>
          <w:rFonts w:ascii="MS PGothic" w:cs="MS PGothic" w:eastAsia="MS PGothic" w:hAnsi="MS PGothic"/>
          <w:sz w:val="16"/>
          <w:szCs w:val="16"/>
          <w:color w:val="auto"/>
        </w:rPr>
        <w:t>‑</w:t>
      </w:r>
      <w:r>
        <w:rPr>
          <w:rFonts w:ascii="Arial" w:cs="Arial" w:eastAsia="Arial" w:hAnsi="Arial"/>
          <w:sz w:val="16"/>
          <w:szCs w:val="16"/>
          <w:color w:val="auto"/>
        </w:rPr>
        <w:t>target toxicities.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1459865</wp:posOffset>
            </wp:positionH>
            <wp:positionV relativeFrom="paragraph">
              <wp:posOffset>135255</wp:posOffset>
            </wp:positionV>
            <wp:extent cx="2838450" cy="16122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38450" cy="1612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60" w:right="119"/>
        <w:spacing w:after="0" w:line="147" w:lineRule="exact"/>
        <w:rPr>
          <w:sz w:val="20"/>
          <w:szCs w:val="20"/>
          <w:color w:val="auto"/>
        </w:rPr>
      </w:pPr>
      <w:r>
        <w:rPr>
          <w:rFonts w:ascii="Arial" w:cs="Arial" w:eastAsia="Arial" w:hAnsi="Arial"/>
          <w:sz w:val="13"/>
          <w:szCs w:val="13"/>
          <w:color w:val="auto"/>
        </w:rPr>
        <w:t>Kinome selectivity of avapritinib and midostaurin. Compounds were screened at 3 µM against a panel of over 450 kinases and disease</w:t>
      </w:r>
      <w:r>
        <w:rPr>
          <w:rFonts w:ascii="MS PGothic" w:cs="MS PGothic" w:eastAsia="MS PGothic" w:hAnsi="MS PGothic"/>
          <w:sz w:val="13"/>
          <w:szCs w:val="13"/>
          <w:color w:val="auto"/>
        </w:rPr>
        <w:t>‑</w:t>
      </w:r>
      <w:r>
        <w:rPr>
          <w:rFonts w:ascii="Arial" w:cs="Arial" w:eastAsia="Arial" w:hAnsi="Arial"/>
          <w:sz w:val="13"/>
          <w:szCs w:val="13"/>
          <w:color w:val="auto"/>
        </w:rPr>
        <w:t xml:space="preserve">relevant mutants. Each branch of the dendogram represents an individual human kinase. Kinases bound by the compound are indicated by red circles on the kinome tree. The degree of binding corresponds to the size of the circle. </w:t>
      </w:r>
      <w:r>
        <w:rPr>
          <w:rFonts w:ascii="Arial" w:cs="Arial" w:eastAsia="Arial" w:hAnsi="Arial"/>
          <w:sz w:val="13"/>
          <w:szCs w:val="13"/>
          <w:i w:val="1"/>
          <w:iCs w:val="1"/>
          <w:color w:val="auto"/>
        </w:rPr>
        <w:t>Kinome illustration reproduced courtesy of CSTI</w:t>
      </w:r>
      <w:r>
        <w:rPr>
          <w:rFonts w:ascii="Arial" w:cs="Arial" w:eastAsia="Arial" w:hAnsi="Arial"/>
          <w:sz w:val="13"/>
          <w:szCs w:val="13"/>
          <w:color w:val="auto"/>
        </w:rPr>
        <w:t xml:space="preserve"> </w:t>
      </w:r>
      <w:r>
        <w:rPr>
          <w:rFonts w:ascii="Arial" w:cs="Arial" w:eastAsia="Arial" w:hAnsi="Arial"/>
          <w:sz w:val="13"/>
          <w:szCs w:val="13"/>
          <w:i w:val="1"/>
          <w:iCs w:val="1"/>
          <w:color w:val="auto"/>
        </w:rPr>
        <w:t>(www.cellsignal.com). The foregoing website is maintained by CSTI, and Blueprint Medicines is not responsible for its content.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Explorer Trial (avapritinib) – Phase 1 Clinical Trial for Patients with Advanced SM</w:t>
      </w:r>
    </w:p>
    <w:p>
      <w:pPr>
        <w:spacing w:after="0" w:line="185" w:lineRule="exact"/>
        <w:rPr>
          <w:sz w:val="20"/>
          <w:szCs w:val="20"/>
          <w:color w:val="auto"/>
        </w:rPr>
      </w:pPr>
    </w:p>
    <w:p>
      <w:pPr>
        <w:ind w:right="259" w:firstLine="648"/>
        <w:spacing w:after="0" w:line="259" w:lineRule="auto"/>
        <w:rPr>
          <w:sz w:val="20"/>
          <w:szCs w:val="20"/>
          <w:color w:val="auto"/>
        </w:rPr>
      </w:pPr>
      <w:r>
        <w:rPr>
          <w:rFonts w:ascii="Arial" w:cs="Arial" w:eastAsia="Arial" w:hAnsi="Arial"/>
          <w:sz w:val="16"/>
          <w:szCs w:val="16"/>
          <w:color w:val="auto"/>
        </w:rPr>
        <w:t>Avapritinib is currently being evaluated in the dose expansion portion of a Phase 1 clinical trial in patients with advanced SM, which we refer to as the Explorer trial, and enrollment is ongoing. In December 2017, we reported updated data from the dose escalation portion of the Explorer trial at the American Society of Hematology Annual Meeting.</w:t>
      </w:r>
    </w:p>
    <w:p>
      <w:pPr>
        <w:spacing w:after="0" w:line="147" w:lineRule="exact"/>
        <w:rPr>
          <w:sz w:val="20"/>
          <w:szCs w:val="20"/>
          <w:color w:val="auto"/>
        </w:rPr>
      </w:pPr>
    </w:p>
    <w:p>
      <w:pPr>
        <w:ind w:right="279" w:firstLine="648"/>
        <w:spacing w:after="0" w:line="185" w:lineRule="exact"/>
        <w:rPr>
          <w:sz w:val="20"/>
          <w:szCs w:val="20"/>
          <w:color w:val="auto"/>
        </w:rPr>
      </w:pPr>
      <w:r>
        <w:rPr>
          <w:rFonts w:ascii="Arial" w:cs="Arial" w:eastAsia="Arial" w:hAnsi="Arial"/>
          <w:sz w:val="18"/>
          <w:szCs w:val="18"/>
          <w:color w:val="auto"/>
        </w:rPr>
        <w:t>As of the data cutoff date of October 4, 2017, 32 patients had been treated with avapritinib in the dose escalation portion of the Explorer trial at seven dose levels (ranging from 30 mg once daily, or QD, to 400 mg QD), including 17 patients with aggressive SM, or ASM, nine patients with advanced SM with an associated hematologic neoplasm, or SM</w:t>
      </w:r>
      <w:r>
        <w:rPr>
          <w:rFonts w:ascii="MS PGothic" w:cs="MS PGothic" w:eastAsia="MS PGothic" w:hAnsi="MS PGothic"/>
          <w:sz w:val="18"/>
          <w:szCs w:val="18"/>
          <w:color w:val="auto"/>
        </w:rPr>
        <w:t>‑</w:t>
      </w:r>
      <w:r>
        <w:rPr>
          <w:rFonts w:ascii="Arial" w:cs="Arial" w:eastAsia="Arial" w:hAnsi="Arial"/>
          <w:sz w:val="18"/>
          <w:szCs w:val="18"/>
          <w:color w:val="auto"/>
        </w:rPr>
        <w:t>AHN, three patients with mast cell leukemia, or MCL, and two patients with SSM. The KIT D816V mutation was confirmed in 28 patients. Overall, 22 patients (69%) previously received anti</w:t>
      </w:r>
      <w:r>
        <w:rPr>
          <w:rFonts w:ascii="MS PGothic" w:cs="MS PGothic" w:eastAsia="MS PGothic" w:hAnsi="MS PGothic"/>
          <w:sz w:val="18"/>
          <w:szCs w:val="18"/>
          <w:color w:val="auto"/>
        </w:rPr>
        <w:t>‑</w:t>
      </w:r>
      <w:r>
        <w:rPr>
          <w:rFonts w:ascii="Arial" w:cs="Arial" w:eastAsia="Arial" w:hAnsi="Arial"/>
          <w:sz w:val="18"/>
          <w:szCs w:val="18"/>
          <w:color w:val="auto"/>
        </w:rPr>
        <w:t>neoplastic therapy, including four patients (13%) who previously received midostaurin.</w:t>
      </w:r>
    </w:p>
    <w:p>
      <w:pPr>
        <w:spacing w:after="0" w:line="162" w:lineRule="exact"/>
        <w:rPr>
          <w:sz w:val="20"/>
          <w:szCs w:val="20"/>
          <w:color w:val="auto"/>
        </w:rPr>
      </w:pPr>
    </w:p>
    <w:p>
      <w:pPr>
        <w:ind w:right="699" w:firstLine="648"/>
        <w:spacing w:after="0" w:line="203" w:lineRule="exact"/>
        <w:rPr>
          <w:sz w:val="20"/>
          <w:szCs w:val="20"/>
          <w:color w:val="auto"/>
        </w:rPr>
      </w:pPr>
      <w:r>
        <w:rPr>
          <w:rFonts w:ascii="Arial" w:cs="Arial" w:eastAsia="Arial" w:hAnsi="Arial"/>
          <w:sz w:val="18"/>
          <w:szCs w:val="18"/>
          <w:color w:val="auto"/>
        </w:rPr>
        <w:t>Based on pharmacokinetic, or PK, data, avapritinib demonstrated a mean half</w:t>
      </w:r>
      <w:r>
        <w:rPr>
          <w:rFonts w:ascii="MS PGothic" w:cs="MS PGothic" w:eastAsia="MS PGothic" w:hAnsi="MS PGothic"/>
          <w:sz w:val="18"/>
          <w:szCs w:val="18"/>
          <w:color w:val="auto"/>
        </w:rPr>
        <w:t>‑</w:t>
      </w:r>
      <w:r>
        <w:rPr>
          <w:rFonts w:ascii="Arial" w:cs="Arial" w:eastAsia="Arial" w:hAnsi="Arial"/>
          <w:sz w:val="18"/>
          <w:szCs w:val="18"/>
          <w:color w:val="auto"/>
        </w:rPr>
        <w:t>life of greater than 20 hours, supporting a QD dosing regimen.</w:t>
      </w:r>
    </w:p>
    <w:p>
      <w:pPr>
        <w:spacing w:after="0" w:line="162" w:lineRule="exact"/>
        <w:rPr>
          <w:sz w:val="20"/>
          <w:szCs w:val="20"/>
          <w:color w:val="auto"/>
        </w:rPr>
      </w:pPr>
    </w:p>
    <w:p>
      <w:pPr>
        <w:ind w:right="159" w:firstLine="648"/>
        <w:spacing w:after="0" w:line="224" w:lineRule="auto"/>
        <w:rPr>
          <w:sz w:val="20"/>
          <w:szCs w:val="20"/>
          <w:color w:val="auto"/>
        </w:rPr>
      </w:pPr>
      <w:r>
        <w:rPr>
          <w:rFonts w:ascii="Arial" w:cs="Arial" w:eastAsia="Arial" w:hAnsi="Arial"/>
          <w:sz w:val="18"/>
          <w:szCs w:val="18"/>
          <w:color w:val="auto"/>
        </w:rPr>
        <w:t>We have selected 300 mg QD as the recommended part two dose, or RP2D, for the expansion portion of the Explorer trial, which was initiated in the second quarter of 2017. A maximum tolerated dose of avapritinib in advanced SM was not determined.</w:t>
      </w:r>
    </w:p>
    <w:p>
      <w:pPr>
        <w:spacing w:after="0" w:line="163" w:lineRule="exact"/>
        <w:rPr>
          <w:sz w:val="20"/>
          <w:szCs w:val="20"/>
          <w:color w:val="auto"/>
        </w:rPr>
      </w:pPr>
    </w:p>
    <w:p>
      <w:pPr>
        <w:ind w:right="19" w:firstLine="648"/>
        <w:spacing w:after="0" w:line="185" w:lineRule="exact"/>
        <w:rPr>
          <w:sz w:val="20"/>
          <w:szCs w:val="20"/>
          <w:color w:val="auto"/>
        </w:rPr>
      </w:pPr>
      <w:r>
        <w:rPr>
          <w:rFonts w:ascii="Arial" w:cs="Arial" w:eastAsia="Arial" w:hAnsi="Arial"/>
          <w:sz w:val="17"/>
          <w:szCs w:val="17"/>
          <w:i w:val="1"/>
          <w:iCs w:val="1"/>
          <w:color w:val="auto"/>
        </w:rPr>
        <w:t xml:space="preserve">Safety Data. </w:t>
      </w:r>
      <w:r>
        <w:rPr>
          <w:rFonts w:ascii="Arial" w:cs="Arial" w:eastAsia="Arial" w:hAnsi="Arial"/>
          <w:sz w:val="17"/>
          <w:szCs w:val="17"/>
          <w:color w:val="auto"/>
        </w:rPr>
        <w:t>As of the data cutoff date, avapritinib was generally well</w:t>
      </w:r>
      <w:r>
        <w:rPr>
          <w:rFonts w:ascii="MS PGothic" w:cs="MS PGothic" w:eastAsia="MS PGothic" w:hAnsi="MS PGothic"/>
          <w:sz w:val="17"/>
          <w:szCs w:val="17"/>
          <w:color w:val="auto"/>
        </w:rPr>
        <w:t>‑</w:t>
      </w:r>
      <w:r>
        <w:rPr>
          <w:rFonts w:ascii="Arial" w:cs="Arial" w:eastAsia="Arial" w:hAnsi="Arial"/>
          <w:sz w:val="17"/>
          <w:szCs w:val="17"/>
          <w:color w:val="auto"/>
        </w:rPr>
        <w:t>tolerated. Most adverse events, or AEs,</w:t>
      </w:r>
      <w:r>
        <w:rPr>
          <w:rFonts w:ascii="Arial" w:cs="Arial" w:eastAsia="Arial" w:hAnsi="Arial"/>
          <w:sz w:val="17"/>
          <w:szCs w:val="17"/>
          <w:i w:val="1"/>
          <w:iCs w:val="1"/>
          <w:color w:val="auto"/>
        </w:rPr>
        <w:t xml:space="preserve"> </w:t>
      </w:r>
      <w:r>
        <w:rPr>
          <w:rFonts w:ascii="Arial" w:cs="Arial" w:eastAsia="Arial" w:hAnsi="Arial"/>
          <w:sz w:val="17"/>
          <w:szCs w:val="17"/>
          <w:color w:val="auto"/>
        </w:rPr>
        <w:t>reported by investigators were Grade 1 or 2. As of the data cutoff date, the most common treatment</w:t>
      </w:r>
      <w:r>
        <w:rPr>
          <w:rFonts w:ascii="MS PGothic" w:cs="MS PGothic" w:eastAsia="MS PGothic" w:hAnsi="MS PGothic"/>
          <w:sz w:val="17"/>
          <w:szCs w:val="17"/>
          <w:color w:val="auto"/>
        </w:rPr>
        <w:t>‑</w:t>
      </w:r>
      <w:r>
        <w:rPr>
          <w:rFonts w:ascii="Arial" w:cs="Arial" w:eastAsia="Arial" w:hAnsi="Arial"/>
          <w:sz w:val="17"/>
          <w:szCs w:val="17"/>
          <w:color w:val="auto"/>
        </w:rPr>
        <w:t>emergent AEs reported by investigators (≥20%) across all grades included periorbital edema (59%), fatigue (41%), peripheral edema (34%), nausea (28%), anemia (28%), thrombocytopenia (28%), abdominal pain, diarrhea, respiratory tract infection, dizziness and headache (22% each). Investigators reported treatment</w:t>
      </w:r>
      <w:r>
        <w:rPr>
          <w:rFonts w:ascii="MS PGothic" w:cs="MS PGothic" w:eastAsia="MS PGothic" w:hAnsi="MS PGothic"/>
          <w:sz w:val="17"/>
          <w:szCs w:val="17"/>
          <w:color w:val="auto"/>
        </w:rPr>
        <w:t>‑</w:t>
      </w:r>
      <w:r>
        <w:rPr>
          <w:rFonts w:ascii="Arial" w:cs="Arial" w:eastAsia="Arial" w:hAnsi="Arial"/>
          <w:sz w:val="17"/>
          <w:szCs w:val="17"/>
          <w:color w:val="auto"/>
        </w:rPr>
        <w:t>related Grade ≥3 AEs in 16 patients (50%), with only one treatment</w:t>
      </w:r>
      <w:r>
        <w:rPr>
          <w:rFonts w:ascii="MS PGothic" w:cs="MS PGothic" w:eastAsia="MS PGothic" w:hAnsi="MS PGothic"/>
          <w:sz w:val="17"/>
          <w:szCs w:val="17"/>
          <w:color w:val="auto"/>
        </w:rPr>
        <w:t>‑</w:t>
      </w:r>
      <w:r>
        <w:rPr>
          <w:rFonts w:ascii="Arial" w:cs="Arial" w:eastAsia="Arial" w:hAnsi="Arial"/>
          <w:sz w:val="17"/>
          <w:szCs w:val="17"/>
          <w:color w:val="auto"/>
        </w:rPr>
        <w:t>related Grade ≥3 AE occurring in more than 10% of patients (neutropenia, 13%).</w:t>
      </w:r>
    </w:p>
    <w:p>
      <w:pPr>
        <w:spacing w:after="0" w:line="165" w:lineRule="exact"/>
        <w:rPr>
          <w:sz w:val="20"/>
          <w:szCs w:val="20"/>
          <w:color w:val="auto"/>
        </w:rPr>
      </w:pPr>
    </w:p>
    <w:p>
      <w:pPr>
        <w:ind w:right="19" w:firstLine="648"/>
        <w:spacing w:after="0" w:line="187" w:lineRule="exact"/>
        <w:rPr>
          <w:sz w:val="20"/>
          <w:szCs w:val="20"/>
          <w:color w:val="auto"/>
        </w:rPr>
      </w:pPr>
      <w:r>
        <w:rPr>
          <w:rFonts w:ascii="Arial" w:cs="Arial" w:eastAsia="Arial" w:hAnsi="Arial"/>
          <w:sz w:val="18"/>
          <w:szCs w:val="18"/>
          <w:color w:val="auto"/>
        </w:rPr>
        <w:t>No patients discontinued treatment due to a treatment</w:t>
      </w:r>
      <w:r>
        <w:rPr>
          <w:rFonts w:ascii="MS PGothic" w:cs="MS PGothic" w:eastAsia="MS PGothic" w:hAnsi="MS PGothic"/>
          <w:sz w:val="18"/>
          <w:szCs w:val="18"/>
          <w:color w:val="auto"/>
        </w:rPr>
        <w:t>‑</w:t>
      </w:r>
      <w:r>
        <w:rPr>
          <w:rFonts w:ascii="Arial" w:cs="Arial" w:eastAsia="Arial" w:hAnsi="Arial"/>
          <w:sz w:val="18"/>
          <w:szCs w:val="18"/>
          <w:color w:val="auto"/>
        </w:rPr>
        <w:t>related AE. Two patients discontinued treatment with avapritinib, including one patient with ASM who had progressive disease with transformation to acute myeloid leukemia and one patient with SM</w:t>
      </w:r>
      <w:r>
        <w:rPr>
          <w:rFonts w:ascii="MS PGothic" w:cs="MS PGothic" w:eastAsia="MS PGothic" w:hAnsi="MS PGothic"/>
          <w:sz w:val="18"/>
          <w:szCs w:val="18"/>
          <w:color w:val="auto"/>
        </w:rPr>
        <w:t>‑</w:t>
      </w:r>
      <w:r>
        <w:rPr>
          <w:rFonts w:ascii="Arial" w:cs="Arial" w:eastAsia="Arial" w:hAnsi="Arial"/>
          <w:sz w:val="18"/>
          <w:szCs w:val="18"/>
          <w:color w:val="auto"/>
        </w:rPr>
        <w:t>AHN and no identified KIT mutation (i.e., wild</w:t>
      </w:r>
      <w:r>
        <w:rPr>
          <w:rFonts w:ascii="MS PGothic" w:cs="MS PGothic" w:eastAsia="MS PGothic" w:hAnsi="MS PGothic"/>
          <w:sz w:val="18"/>
          <w:szCs w:val="18"/>
          <w:color w:val="auto"/>
        </w:rPr>
        <w:t>‑</w:t>
      </w:r>
      <w:r>
        <w:rPr>
          <w:rFonts w:ascii="Arial" w:cs="Arial" w:eastAsia="Arial" w:hAnsi="Arial"/>
          <w:sz w:val="18"/>
          <w:szCs w:val="18"/>
          <w:color w:val="auto"/>
        </w:rPr>
        <w:t>type KIT). Overall, 30 of 32 patients enrolled in the dose escalation portion of the Explorer trial remained on treatment as of the data cutoff date, with a median duration of 9 months (range 4 to 19 months).</w:t>
      </w:r>
    </w:p>
    <w:p>
      <w:pPr>
        <w:spacing w:after="0" w:line="162" w:lineRule="exact"/>
        <w:rPr>
          <w:sz w:val="20"/>
          <w:szCs w:val="20"/>
          <w:color w:val="auto"/>
        </w:rPr>
      </w:pPr>
    </w:p>
    <w:p>
      <w:pPr>
        <w:ind w:right="99" w:firstLine="648"/>
        <w:spacing w:after="0" w:line="189" w:lineRule="exact"/>
        <w:rPr>
          <w:sz w:val="20"/>
          <w:szCs w:val="20"/>
          <w:color w:val="auto"/>
        </w:rPr>
      </w:pPr>
      <w:r>
        <w:rPr>
          <w:rFonts w:ascii="Arial" w:cs="Arial" w:eastAsia="Arial" w:hAnsi="Arial"/>
          <w:sz w:val="16"/>
          <w:szCs w:val="16"/>
          <w:i w:val="1"/>
          <w:iCs w:val="1"/>
          <w:color w:val="auto"/>
        </w:rPr>
        <w:t>Clinical Activity Data</w:t>
      </w:r>
      <w:r>
        <w:rPr>
          <w:rFonts w:ascii="Arial" w:cs="Arial" w:eastAsia="Arial" w:hAnsi="Arial"/>
          <w:sz w:val="16"/>
          <w:szCs w:val="16"/>
          <w:color w:val="auto"/>
        </w:rPr>
        <w:t>. The International Working Group</w:t>
      </w:r>
      <w:r>
        <w:rPr>
          <w:rFonts w:ascii="MS PGothic" w:cs="MS PGothic" w:eastAsia="MS PGothic" w:hAnsi="MS PGothic"/>
          <w:sz w:val="16"/>
          <w:szCs w:val="16"/>
          <w:color w:val="auto"/>
        </w:rPr>
        <w:t>‑</w:t>
      </w:r>
      <w:r>
        <w:rPr>
          <w:rFonts w:ascii="Arial" w:cs="Arial" w:eastAsia="Arial" w:hAnsi="Arial"/>
          <w:sz w:val="16"/>
          <w:szCs w:val="16"/>
          <w:color w:val="auto"/>
        </w:rPr>
        <w:t>Myeloproliferative Neoplasms Research and Treatment</w:t>
      </w:r>
      <w:r>
        <w:rPr>
          <w:rFonts w:ascii="Arial" w:cs="Arial" w:eastAsia="Arial" w:hAnsi="Arial"/>
          <w:sz w:val="16"/>
          <w:szCs w:val="16"/>
          <w:i w:val="1"/>
          <w:iCs w:val="1"/>
          <w:color w:val="auto"/>
        </w:rPr>
        <w:t xml:space="preserve"> </w:t>
      </w:r>
      <w:r>
        <w:rPr>
          <w:rFonts w:ascii="Arial" w:cs="Arial" w:eastAsia="Arial" w:hAnsi="Arial"/>
          <w:sz w:val="16"/>
          <w:szCs w:val="16"/>
          <w:color w:val="auto"/>
        </w:rPr>
        <w:t>and European Competence Network on Mastocytosis, or IWG</w:t>
      </w:r>
      <w:r>
        <w:rPr>
          <w:rFonts w:ascii="MS PGothic" w:cs="MS PGothic" w:eastAsia="MS PGothic" w:hAnsi="MS PGothic"/>
          <w:sz w:val="16"/>
          <w:szCs w:val="16"/>
          <w:color w:val="auto"/>
        </w:rPr>
        <w:t>‑</w:t>
      </w:r>
      <w:r>
        <w:rPr>
          <w:rFonts w:ascii="Arial" w:cs="Arial" w:eastAsia="Arial" w:hAnsi="Arial"/>
          <w:sz w:val="16"/>
          <w:szCs w:val="16"/>
          <w:color w:val="auto"/>
        </w:rPr>
        <w:t>MRT</w:t>
      </w:r>
      <w:r>
        <w:rPr>
          <w:rFonts w:ascii="MS PGothic" w:cs="MS PGothic" w:eastAsia="MS PGothic" w:hAnsi="MS PGothic"/>
          <w:sz w:val="16"/>
          <w:szCs w:val="16"/>
          <w:color w:val="auto"/>
        </w:rPr>
        <w:t>‑</w:t>
      </w:r>
      <w:r>
        <w:rPr>
          <w:rFonts w:ascii="Arial" w:cs="Arial" w:eastAsia="Arial" w:hAnsi="Arial"/>
          <w:sz w:val="16"/>
          <w:szCs w:val="16"/>
          <w:color w:val="auto"/>
        </w:rPr>
        <w:t>ECNM, criteria comprise a rigorous assessment of clinical response in patients with advanced SM. These criteria include objective measures of bone marrow mast cell burden, serum tryptase and improvement in organ damage as measured by a clinical improvement, or CI, finding.</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As of the data cutoff date, 18 patients had advanced SM and were evaluable for response by the IWG</w:t>
      </w:r>
      <w:r>
        <w:rPr>
          <w:rFonts w:ascii="MS PGothic" w:cs="MS PGothic" w:eastAsia="MS PGothic" w:hAnsi="MS PGothic"/>
          <w:sz w:val="16"/>
          <w:szCs w:val="16"/>
          <w:color w:val="auto"/>
        </w:rPr>
        <w:t>‑</w:t>
      </w:r>
      <w:r>
        <w:rPr>
          <w:rFonts w:ascii="Arial" w:cs="Arial" w:eastAsia="Arial" w:hAnsi="Arial"/>
          <w:sz w:val="16"/>
          <w:szCs w:val="16"/>
          <w:color w:val="auto"/>
        </w:rPr>
        <w:t>MRT</w:t>
      </w:r>
      <w:r>
        <w:rPr>
          <w:rFonts w:ascii="MS PGothic" w:cs="MS PGothic" w:eastAsia="MS PGothic" w:hAnsi="MS PGothic"/>
          <w:sz w:val="16"/>
          <w:szCs w:val="16"/>
          <w:color w:val="auto"/>
        </w:rPr>
        <w:t>‑</w:t>
      </w:r>
      <w:r>
        <w:rPr>
          <w:rFonts w:ascii="Arial" w:cs="Arial" w:eastAsia="Arial" w:hAnsi="Arial"/>
          <w:sz w:val="16"/>
          <w:szCs w:val="16"/>
          <w:color w:val="auto"/>
        </w:rPr>
        <w:t>ECNM</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criteria.</w:t>
      </w:r>
    </w:p>
    <w:p>
      <w:pPr>
        <w:spacing w:after="0" w:line="169"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color w:val="auto"/>
        </w:rPr>
        <w:t>Across all 18 evaluable patients with advanced SM, the data showed an objective response rate, or ORR, of 72% and a complete response (CR) + partial response (PR) rate of 56%. A detailed summary of response data is provided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00" w:type="dxa"/>
            <w:vAlign w:val="bottom"/>
            <w:tcBorders>
              <w:bottom w:val="single" w:sz="8" w:color="auto"/>
            </w:tcBorders>
            <w:gridSpan w:val="8"/>
          </w:tcPr>
          <w:p>
            <w:pPr>
              <w:ind w:left="1460"/>
              <w:spacing w:after="0" w:line="161" w:lineRule="exact"/>
              <w:rPr>
                <w:sz w:val="20"/>
                <w:szCs w:val="20"/>
                <w:color w:val="auto"/>
              </w:rPr>
            </w:pPr>
            <w:r>
              <w:rPr>
                <w:rFonts w:ascii="Arial" w:cs="Arial" w:eastAsia="Arial" w:hAnsi="Arial"/>
                <w:sz w:val="14"/>
                <w:szCs w:val="14"/>
                <w:b w:val="1"/>
                <w:bCs w:val="1"/>
                <w:color w:val="auto"/>
              </w:rPr>
              <w:t>Avapritinib in Patients with Advanced SM; Assessment of Response per IWG</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MRT</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ECNM Criteria</w:t>
            </w: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5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Best Response, Number of Patients (%)*</w:t>
            </w:r>
          </w:p>
        </w:tc>
        <w:tc>
          <w:tcPr>
            <w:tcW w:w="76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rPr>
              <w:t>ASM</w:t>
            </w:r>
          </w:p>
        </w:tc>
        <w:tc>
          <w:tcPr>
            <w:tcW w:w="780" w:type="dxa"/>
            <w:vAlign w:val="bottom"/>
            <w:gridSpan w:val="2"/>
          </w:tcPr>
          <w:p>
            <w:pPr>
              <w:jc w:val="center"/>
              <w:ind w:right="180"/>
              <w:spacing w:after="0" w:line="102" w:lineRule="exact"/>
              <w:rPr>
                <w:sz w:val="20"/>
                <w:szCs w:val="20"/>
                <w:color w:val="auto"/>
              </w:rPr>
            </w:pPr>
            <w:r>
              <w:rPr>
                <w:rFonts w:ascii="Arial" w:cs="Arial" w:eastAsia="Arial" w:hAnsi="Arial"/>
                <w:sz w:val="11"/>
                <w:szCs w:val="11"/>
                <w:b w:val="1"/>
                <w:bCs w:val="1"/>
                <w:color w:val="auto"/>
              </w:rPr>
              <w:t>SM</w:t>
            </w:r>
            <w:r>
              <w:rPr>
                <w:rFonts w:ascii="MS PGothic" w:cs="MS PGothic" w:eastAsia="MS PGothic" w:hAnsi="MS PGothic"/>
                <w:sz w:val="11"/>
                <w:szCs w:val="11"/>
                <w:b w:val="1"/>
                <w:bCs w:val="1"/>
                <w:color w:val="auto"/>
              </w:rPr>
              <w:t>‑</w:t>
            </w:r>
            <w:r>
              <w:rPr>
                <w:rFonts w:ascii="Arial" w:cs="Arial" w:eastAsia="Arial" w:hAnsi="Arial"/>
                <w:sz w:val="11"/>
                <w:szCs w:val="11"/>
                <w:b w:val="1"/>
                <w:bCs w:val="1"/>
                <w:color w:val="auto"/>
              </w:rPr>
              <w:t>AHN</w:t>
            </w:r>
          </w:p>
        </w:tc>
        <w:tc>
          <w:tcPr>
            <w:tcW w:w="78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rPr>
              <w:t>MCL</w:t>
            </w:r>
          </w:p>
        </w:tc>
        <w:tc>
          <w:tcPr>
            <w:tcW w:w="760" w:type="dxa"/>
            <w:vAlign w:val="bottom"/>
            <w:gridSpan w:val="2"/>
          </w:tcPr>
          <w:p>
            <w:pPr>
              <w:jc w:val="center"/>
              <w:ind w:right="60"/>
              <w:spacing w:after="0" w:line="102" w:lineRule="exact"/>
              <w:rPr>
                <w:sz w:val="20"/>
                <w:szCs w:val="20"/>
                <w:color w:val="auto"/>
              </w:rPr>
            </w:pPr>
            <w:r>
              <w:rPr>
                <w:rFonts w:ascii="Arial" w:cs="Arial" w:eastAsia="Arial" w:hAnsi="Arial"/>
                <w:sz w:val="11"/>
                <w:szCs w:val="11"/>
                <w:b w:val="1"/>
                <w:bCs w:val="1"/>
                <w:color w:val="auto"/>
              </w:rPr>
              <w:t>Overall</w:t>
            </w:r>
          </w:p>
        </w:tc>
        <w:tc>
          <w:tcPr>
            <w:tcW w:w="0" w:type="dxa"/>
            <w:vAlign w:val="bottom"/>
          </w:tcPr>
          <w:p>
            <w:pPr>
              <w:spacing w:after="0"/>
              <w:rPr>
                <w:sz w:val="1"/>
                <w:szCs w:val="1"/>
                <w:color w:val="auto"/>
              </w:rPr>
            </w:pPr>
          </w:p>
        </w:tc>
      </w:tr>
      <w:tr>
        <w:trPr>
          <w:trHeight w:val="162"/>
        </w:trPr>
        <w:tc>
          <w:tcPr>
            <w:tcW w:w="5980" w:type="dxa"/>
            <w:vAlign w:val="bottom"/>
            <w:gridSpan w:val="2"/>
            <w:vMerge w:val="continue"/>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(n=7)</w:t>
            </w: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(n=8)</w:t>
            </w: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(n=3)</w:t>
            </w: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(n=18)</w:t>
            </w:r>
          </w:p>
        </w:tc>
        <w:tc>
          <w:tcPr>
            <w:tcW w:w="0" w:type="dxa"/>
            <w:vAlign w:val="bottom"/>
          </w:tcPr>
          <w:p>
            <w:pPr>
              <w:spacing w:after="0"/>
              <w:rPr>
                <w:sz w:val="1"/>
                <w:szCs w:val="1"/>
                <w:color w:val="auto"/>
              </w:rPr>
            </w:pPr>
          </w:p>
        </w:tc>
      </w:tr>
      <w:tr>
        <w:trPr>
          <w:trHeight w:val="169"/>
        </w:trPr>
        <w:tc>
          <w:tcPr>
            <w:tcW w:w="598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CR</w:t>
            </w:r>
          </w:p>
        </w:tc>
        <w:tc>
          <w:tcPr>
            <w:tcW w:w="58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1"/>
              </w:rPr>
              <w:t>2 (29%)</w:t>
            </w:r>
          </w:p>
        </w:tc>
        <w:tc>
          <w:tcPr>
            <w:tcW w:w="1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79"/>
              </w:rPr>
              <w:t>0</w:t>
            </w:r>
          </w:p>
        </w:tc>
        <w:tc>
          <w:tcPr>
            <w:tcW w:w="1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9"/>
              </w:rPr>
              <w:t>0</w:t>
            </w:r>
          </w:p>
        </w:tc>
        <w:tc>
          <w:tcPr>
            <w:tcW w:w="1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1"/>
              </w:rPr>
              <w:t>2 (11%)</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980" w:type="dxa"/>
            <w:vAlign w:val="bottom"/>
            <w:gridSpan w:val="2"/>
          </w:tcPr>
          <w:p>
            <w:pPr>
              <w:spacing w:after="0" w:line="176" w:lineRule="exact"/>
              <w:rPr>
                <w:sz w:val="20"/>
                <w:szCs w:val="20"/>
                <w:color w:val="auto"/>
              </w:rPr>
            </w:pPr>
            <w:r>
              <w:rPr>
                <w:rFonts w:ascii="Arial" w:cs="Arial" w:eastAsia="Arial" w:hAnsi="Arial"/>
                <w:sz w:val="18"/>
                <w:szCs w:val="18"/>
                <w:color w:val="auto"/>
              </w:rPr>
              <w:t>PR</w:t>
            </w:r>
          </w:p>
        </w:tc>
        <w:tc>
          <w:tcPr>
            <w:tcW w:w="580" w:type="dxa"/>
            <w:vAlign w:val="bottom"/>
          </w:tcPr>
          <w:p>
            <w:pPr>
              <w:jc w:val="center"/>
              <w:spacing w:after="0" w:line="176" w:lineRule="exact"/>
              <w:rPr>
                <w:sz w:val="20"/>
                <w:szCs w:val="20"/>
                <w:color w:val="auto"/>
              </w:rPr>
            </w:pPr>
            <w:r>
              <w:rPr>
                <w:rFonts w:ascii="Arial" w:cs="Arial" w:eastAsia="Arial" w:hAnsi="Arial"/>
                <w:sz w:val="18"/>
                <w:szCs w:val="18"/>
                <w:color w:val="auto"/>
                <w:w w:val="91"/>
              </w:rPr>
              <w:t>3 (43%)</w:t>
            </w:r>
          </w:p>
        </w:tc>
        <w:tc>
          <w:tcPr>
            <w:tcW w:w="180" w:type="dxa"/>
            <w:vAlign w:val="bottom"/>
          </w:tcPr>
          <w:p>
            <w:pPr>
              <w:spacing w:after="0"/>
              <w:rPr>
                <w:sz w:val="15"/>
                <w:szCs w:val="15"/>
                <w:color w:val="auto"/>
              </w:rPr>
            </w:pPr>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95"/>
              </w:rPr>
              <w:t>4 (50%)</w:t>
            </w:r>
          </w:p>
        </w:tc>
        <w:tc>
          <w:tcPr>
            <w:tcW w:w="180" w:type="dxa"/>
            <w:vAlign w:val="bottom"/>
          </w:tcPr>
          <w:p>
            <w:pPr>
              <w:spacing w:after="0"/>
              <w:rPr>
                <w:sz w:val="15"/>
                <w:szCs w:val="15"/>
                <w:color w:val="auto"/>
              </w:rPr>
            </w:pPr>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91"/>
              </w:rPr>
              <w:t>1 (33%)</w:t>
            </w:r>
          </w:p>
        </w:tc>
        <w:tc>
          <w:tcPr>
            <w:tcW w:w="180" w:type="dxa"/>
            <w:vAlign w:val="bottom"/>
          </w:tcPr>
          <w:p>
            <w:pPr>
              <w:spacing w:after="0"/>
              <w:rPr>
                <w:sz w:val="15"/>
                <w:szCs w:val="15"/>
                <w:color w:val="auto"/>
              </w:rPr>
            </w:pPr>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91"/>
              </w:rPr>
              <w:t>8 (44%)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CI</w:t>
            </w:r>
          </w:p>
        </w:tc>
        <w:tc>
          <w:tcPr>
            <w:tcW w:w="5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 (14%)</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1 (13%)</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 (33%)</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 (17%)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80" w:type="dxa"/>
            <w:vAlign w:val="bottom"/>
            <w:gridSpan w:val="2"/>
          </w:tcPr>
          <w:p>
            <w:pPr>
              <w:spacing w:after="0" w:line="176" w:lineRule="exact"/>
              <w:rPr>
                <w:sz w:val="20"/>
                <w:szCs w:val="20"/>
                <w:color w:val="auto"/>
              </w:rPr>
            </w:pPr>
            <w:r>
              <w:rPr>
                <w:rFonts w:ascii="Arial" w:cs="Arial" w:eastAsia="Arial" w:hAnsi="Arial"/>
                <w:sz w:val="18"/>
                <w:szCs w:val="18"/>
                <w:color w:val="auto"/>
              </w:rPr>
              <w:t>Stable disease (SD)</w:t>
            </w:r>
          </w:p>
        </w:tc>
        <w:tc>
          <w:tcPr>
            <w:tcW w:w="580" w:type="dxa"/>
            <w:vAlign w:val="bottom"/>
          </w:tcPr>
          <w:p>
            <w:pPr>
              <w:jc w:val="center"/>
              <w:spacing w:after="0" w:line="176" w:lineRule="exact"/>
              <w:rPr>
                <w:sz w:val="20"/>
                <w:szCs w:val="20"/>
                <w:color w:val="auto"/>
              </w:rPr>
            </w:pPr>
            <w:r>
              <w:rPr>
                <w:rFonts w:ascii="Arial" w:cs="Arial" w:eastAsia="Arial" w:hAnsi="Arial"/>
                <w:sz w:val="18"/>
                <w:szCs w:val="18"/>
                <w:color w:val="auto"/>
                <w:w w:val="91"/>
              </w:rPr>
              <w:t>1 (14%)</w:t>
            </w:r>
          </w:p>
        </w:tc>
        <w:tc>
          <w:tcPr>
            <w:tcW w:w="180" w:type="dxa"/>
            <w:vAlign w:val="bottom"/>
          </w:tcPr>
          <w:p>
            <w:pPr>
              <w:spacing w:after="0"/>
              <w:rPr>
                <w:sz w:val="15"/>
                <w:szCs w:val="15"/>
                <w:color w:val="auto"/>
              </w:rPr>
            </w:pPr>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95"/>
              </w:rPr>
              <w:t>3 (38%)</w:t>
            </w:r>
          </w:p>
        </w:tc>
        <w:tc>
          <w:tcPr>
            <w:tcW w:w="180" w:type="dxa"/>
            <w:vAlign w:val="bottom"/>
          </w:tcPr>
          <w:p>
            <w:pPr>
              <w:spacing w:after="0"/>
              <w:rPr>
                <w:sz w:val="15"/>
                <w:szCs w:val="15"/>
                <w:color w:val="auto"/>
              </w:rPr>
            </w:pPr>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91"/>
              </w:rPr>
              <w:t>1 (33%)</w:t>
            </w:r>
          </w:p>
        </w:tc>
        <w:tc>
          <w:tcPr>
            <w:tcW w:w="180" w:type="dxa"/>
            <w:vAlign w:val="bottom"/>
          </w:tcPr>
          <w:p>
            <w:pPr>
              <w:spacing w:after="0"/>
              <w:rPr>
                <w:sz w:val="15"/>
                <w:szCs w:val="15"/>
                <w:color w:val="auto"/>
              </w:rPr>
            </w:pPr>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91"/>
              </w:rPr>
              <w:t>5 (28%)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Progressive disease</w:t>
            </w:r>
          </w:p>
        </w:tc>
        <w:tc>
          <w:tcPr>
            <w:tcW w:w="580" w:type="dxa"/>
            <w:vAlign w:val="bottom"/>
            <w:shd w:val="clear" w:color="auto" w:fill="CCEEFF"/>
          </w:tcPr>
          <w:p>
            <w:pPr>
              <w:jc w:val="right"/>
              <w:ind w:right="176"/>
              <w:spacing w:after="0" w:line="176" w:lineRule="exact"/>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0</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0</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56"/>
              <w:spacing w:after="0" w:line="176" w:lineRule="exact"/>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80" w:type="dxa"/>
            <w:vAlign w:val="bottom"/>
            <w:gridSpan w:val="2"/>
          </w:tcPr>
          <w:p>
            <w:pPr>
              <w:spacing w:after="0" w:line="176" w:lineRule="exact"/>
              <w:rPr>
                <w:sz w:val="20"/>
                <w:szCs w:val="20"/>
                <w:color w:val="auto"/>
              </w:rPr>
            </w:pPr>
            <w:r>
              <w:rPr>
                <w:rFonts w:ascii="Arial" w:cs="Arial" w:eastAsia="Arial" w:hAnsi="Arial"/>
                <w:sz w:val="18"/>
                <w:szCs w:val="18"/>
                <w:color w:val="auto"/>
              </w:rPr>
              <w:t>ORR (CR + PR + CI)</w:t>
            </w:r>
          </w:p>
        </w:tc>
        <w:tc>
          <w:tcPr>
            <w:tcW w:w="580" w:type="dxa"/>
            <w:vAlign w:val="bottom"/>
          </w:tcPr>
          <w:p>
            <w:pPr>
              <w:jc w:val="center"/>
              <w:spacing w:after="0" w:line="176" w:lineRule="exact"/>
              <w:rPr>
                <w:sz w:val="20"/>
                <w:szCs w:val="20"/>
                <w:color w:val="auto"/>
              </w:rPr>
            </w:pPr>
            <w:r>
              <w:rPr>
                <w:rFonts w:ascii="Arial" w:cs="Arial" w:eastAsia="Arial" w:hAnsi="Arial"/>
                <w:sz w:val="18"/>
                <w:szCs w:val="18"/>
                <w:color w:val="auto"/>
                <w:w w:val="91"/>
              </w:rPr>
              <w:t>6 (86%)</w:t>
            </w:r>
          </w:p>
        </w:tc>
        <w:tc>
          <w:tcPr>
            <w:tcW w:w="180" w:type="dxa"/>
            <w:vAlign w:val="bottom"/>
          </w:tcPr>
          <w:p>
            <w:pPr>
              <w:spacing w:after="0"/>
              <w:rPr>
                <w:sz w:val="15"/>
                <w:szCs w:val="15"/>
                <w:color w:val="auto"/>
              </w:rPr>
            </w:pPr>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95"/>
              </w:rPr>
              <w:t>5 (63%)</w:t>
            </w:r>
          </w:p>
        </w:tc>
        <w:tc>
          <w:tcPr>
            <w:tcW w:w="180" w:type="dxa"/>
            <w:vAlign w:val="bottom"/>
          </w:tcPr>
          <w:p>
            <w:pPr>
              <w:spacing w:after="0"/>
              <w:rPr>
                <w:sz w:val="15"/>
                <w:szCs w:val="15"/>
                <w:color w:val="auto"/>
              </w:rPr>
            </w:pPr>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91"/>
              </w:rPr>
              <w:t>2 (67%)</w:t>
            </w:r>
          </w:p>
        </w:tc>
        <w:tc>
          <w:tcPr>
            <w:tcW w:w="180" w:type="dxa"/>
            <w:vAlign w:val="bottom"/>
          </w:tcPr>
          <w:p>
            <w:pPr>
              <w:spacing w:after="0"/>
              <w:rPr>
                <w:sz w:val="15"/>
                <w:szCs w:val="15"/>
                <w:color w:val="auto"/>
              </w:rPr>
            </w:pPr>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93"/>
              </w:rPr>
              <w:t>13 (72%)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8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CR + PR</w:t>
            </w:r>
          </w:p>
        </w:tc>
        <w:tc>
          <w:tcPr>
            <w:tcW w:w="5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5 (71%)</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4 (50%)</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 (33%)</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10 (56%)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3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40" w:hanging="637"/>
        <w:spacing w:after="0" w:line="207" w:lineRule="exact"/>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Responses pending confirmation: ASM: 2 CR; SM</w:t>
      </w:r>
      <w:r>
        <w:rPr>
          <w:rFonts w:ascii="MS PGothic" w:cs="MS PGothic" w:eastAsia="MS PGothic" w:hAnsi="MS PGothic"/>
          <w:sz w:val="18"/>
          <w:szCs w:val="18"/>
          <w:color w:val="auto"/>
        </w:rPr>
        <w:t>‑</w:t>
      </w:r>
      <w:r>
        <w:rPr>
          <w:rFonts w:ascii="Arial" w:cs="Arial" w:eastAsia="Arial" w:hAnsi="Arial"/>
          <w:sz w:val="18"/>
          <w:szCs w:val="18"/>
          <w:color w:val="auto"/>
        </w:rPr>
        <w:t>AHN: 3 PR</w:t>
      </w:r>
    </w:p>
    <w:p>
      <w:pPr>
        <w:spacing w:after="0" w:line="185" w:lineRule="exact"/>
        <w:rPr>
          <w:sz w:val="20"/>
          <w:szCs w:val="20"/>
          <w:color w:val="auto"/>
        </w:rPr>
      </w:pPr>
    </w:p>
    <w:p>
      <w:pPr>
        <w:ind w:right="120" w:firstLine="648"/>
        <w:spacing w:after="0" w:line="194" w:lineRule="exact"/>
        <w:rPr>
          <w:sz w:val="20"/>
          <w:szCs w:val="20"/>
          <w:color w:val="auto"/>
        </w:rPr>
      </w:pPr>
      <w:r>
        <w:rPr>
          <w:rFonts w:ascii="Arial" w:cs="Arial" w:eastAsia="Arial" w:hAnsi="Arial"/>
          <w:sz w:val="18"/>
          <w:szCs w:val="18"/>
          <w:color w:val="auto"/>
        </w:rPr>
        <w:t>Results from individual components of the IWG</w:t>
      </w:r>
      <w:r>
        <w:rPr>
          <w:rFonts w:ascii="MS PGothic" w:cs="MS PGothic" w:eastAsia="MS PGothic" w:hAnsi="MS PGothic"/>
          <w:sz w:val="18"/>
          <w:szCs w:val="18"/>
          <w:color w:val="auto"/>
        </w:rPr>
        <w:t>‑</w:t>
      </w:r>
      <w:r>
        <w:rPr>
          <w:rFonts w:ascii="Arial" w:cs="Arial" w:eastAsia="Arial" w:hAnsi="Arial"/>
          <w:sz w:val="18"/>
          <w:szCs w:val="18"/>
          <w:color w:val="auto"/>
        </w:rPr>
        <w:t>MRT</w:t>
      </w:r>
      <w:r>
        <w:rPr>
          <w:rFonts w:ascii="MS PGothic" w:cs="MS PGothic" w:eastAsia="MS PGothic" w:hAnsi="MS PGothic"/>
          <w:sz w:val="18"/>
          <w:szCs w:val="18"/>
          <w:color w:val="auto"/>
        </w:rPr>
        <w:t>‑</w:t>
      </w:r>
      <w:r>
        <w:rPr>
          <w:rFonts w:ascii="Arial" w:cs="Arial" w:eastAsia="Arial" w:hAnsi="Arial"/>
          <w:sz w:val="18"/>
          <w:szCs w:val="18"/>
          <w:color w:val="auto"/>
        </w:rPr>
        <w:t>ECNM were reported as of the data cutoff date. Clinically meaningful improvements were observed in all evaluable patients, across all subtypes of advanced SM and at all avapritinib dose levels evaluated.</w:t>
      </w:r>
    </w:p>
    <w:p>
      <w:pPr>
        <w:spacing w:after="0" w:line="163" w:lineRule="exact"/>
        <w:rPr>
          <w:sz w:val="20"/>
          <w:szCs w:val="20"/>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32 enrolled patients had decreases in serum tryptase greater than 50%.</w:t>
      </w:r>
    </w:p>
    <w:p>
      <w:pPr>
        <w:spacing w:after="0" w:line="184" w:lineRule="exact"/>
        <w:rPr>
          <w:rFonts w:ascii="Arial" w:cs="Arial" w:eastAsia="Arial" w:hAnsi="Arial"/>
          <w:sz w:val="18"/>
          <w:szCs w:val="18"/>
          <w:color w:val="auto"/>
        </w:rPr>
      </w:pPr>
    </w:p>
    <w:p>
      <w:pPr>
        <w:ind w:left="1300" w:hanging="325"/>
        <w:spacing w:after="0" w:line="238"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All 25 patients who had bone marrow mast cell infiltrate of at least 5% at baseline (measured by bone marrow biopsy) showed decreases in bone marrow mast cell burden. In this group, 21 patients had at least a 50% decrease, and 15 patients achieved a CR for bone marrow mast cell burden.</w:t>
      </w:r>
    </w:p>
    <w:p>
      <w:pPr>
        <w:spacing w:after="0" w:line="161" w:lineRule="exact"/>
        <w:rPr>
          <w:rFonts w:ascii="Arial" w:cs="Arial" w:eastAsia="Arial" w:hAnsi="Arial"/>
          <w:sz w:val="17"/>
          <w:szCs w:val="17"/>
          <w:color w:val="auto"/>
        </w:rPr>
      </w:pPr>
    </w:p>
    <w:p>
      <w:pPr>
        <w:ind w:left="1300" w:right="420" w:hanging="325"/>
        <w:spacing w:after="0" w:line="235"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25 patients with centrally reviewed radiographic scans showed decreases in spleen volume. In this group, 14 patients had at least a 35% reduction in spleen volume.</w:t>
      </w:r>
    </w:p>
    <w:p>
      <w:pPr>
        <w:spacing w:after="0" w:line="162" w:lineRule="exact"/>
        <w:rPr>
          <w:sz w:val="20"/>
          <w:szCs w:val="20"/>
          <w:color w:val="auto"/>
        </w:rPr>
      </w:pPr>
    </w:p>
    <w:p>
      <w:pPr>
        <w:ind w:right="760" w:firstLine="648"/>
        <w:spacing w:after="0" w:line="203" w:lineRule="exact"/>
        <w:rPr>
          <w:sz w:val="20"/>
          <w:szCs w:val="20"/>
          <w:color w:val="auto"/>
        </w:rPr>
      </w:pPr>
      <w:r>
        <w:rPr>
          <w:rFonts w:ascii="Arial" w:cs="Arial" w:eastAsia="Arial" w:hAnsi="Arial"/>
          <w:sz w:val="18"/>
          <w:szCs w:val="18"/>
          <w:color w:val="auto"/>
        </w:rPr>
        <w:t>In addition, rash improved in 13 of 15 patients with urticaria pigmentosa at baseline, based on investigator assessments. Urticaria pigmentosa is an allergy</w:t>
      </w:r>
      <w:r>
        <w:rPr>
          <w:rFonts w:ascii="MS PGothic" w:cs="MS PGothic" w:eastAsia="MS PGothic" w:hAnsi="MS PGothic"/>
          <w:sz w:val="18"/>
          <w:szCs w:val="18"/>
          <w:color w:val="auto"/>
        </w:rPr>
        <w:t>‑</w:t>
      </w:r>
      <w:r>
        <w:rPr>
          <w:rFonts w:ascii="Arial" w:cs="Arial" w:eastAsia="Arial" w:hAnsi="Arial"/>
          <w:sz w:val="18"/>
          <w:szCs w:val="18"/>
          <w:color w:val="auto"/>
        </w:rPr>
        <w:t>mediated rash common in SM patients.</w:t>
      </w:r>
    </w:p>
    <w:p>
      <w:pPr>
        <w:spacing w:after="0" w:line="162" w:lineRule="exact"/>
        <w:rPr>
          <w:sz w:val="20"/>
          <w:szCs w:val="20"/>
          <w:color w:val="auto"/>
        </w:rPr>
      </w:pPr>
    </w:p>
    <w:p>
      <w:pPr>
        <w:ind w:right="60" w:firstLine="648"/>
        <w:spacing w:after="0" w:line="236" w:lineRule="auto"/>
        <w:rPr>
          <w:sz w:val="20"/>
          <w:szCs w:val="20"/>
          <w:color w:val="auto"/>
        </w:rPr>
      </w:pPr>
      <w:r>
        <w:rPr>
          <w:rFonts w:ascii="Arial" w:cs="Arial" w:eastAsia="Arial" w:hAnsi="Arial"/>
          <w:sz w:val="16"/>
          <w:szCs w:val="16"/>
          <w:i w:val="1"/>
          <w:iCs w:val="1"/>
          <w:color w:val="auto"/>
        </w:rPr>
        <w:t xml:space="preserve">Explorer Trial Design. </w:t>
      </w:r>
      <w:r>
        <w:rPr>
          <w:rFonts w:ascii="Arial" w:cs="Arial" w:eastAsia="Arial" w:hAnsi="Arial"/>
          <w:sz w:val="16"/>
          <w:szCs w:val="16"/>
          <w:color w:val="auto"/>
        </w:rPr>
        <w:t>The Explorer trial is designed to evaluate the activity, safety and tolerability of avapritinib in</w:t>
      </w:r>
      <w:r>
        <w:rPr>
          <w:rFonts w:ascii="Arial" w:cs="Arial" w:eastAsia="Arial" w:hAnsi="Arial"/>
          <w:sz w:val="16"/>
          <w:szCs w:val="16"/>
          <w:i w:val="1"/>
          <w:iCs w:val="1"/>
          <w:color w:val="auto"/>
        </w:rPr>
        <w:t xml:space="preserve"> </w:t>
      </w:r>
      <w:r>
        <w:rPr>
          <w:rFonts w:ascii="Arial" w:cs="Arial" w:eastAsia="Arial" w:hAnsi="Arial"/>
          <w:sz w:val="16"/>
          <w:szCs w:val="16"/>
          <w:color w:val="auto"/>
        </w:rPr>
        <w:t>adults with advanced SM. The trial consists of two parts: a dose escalation portion and an expansion portion. We have completed the dose escalation portion, and patient enrollment in the dose expansion portion of the Explorer trial is currently ongoing at the RP2D of 300 mg QD. The expansion portion of this trial is designed to enroll patients with specific subtypes of advanced SM in the following cohorts: (1) patients with aggressive SM, (2) patients with an associated hematological neoplasm and (3) patients with mast cell leukemia. Primary objectives for the Explorer trial include assessing safety and tolerability. Secondary objectives include assessing response per IWG-MRT-ECNM criteria and additional clinical outcome measures of mast cell burden, organ function and disease symptoms. The Explorer trial is designed to enroll approximately 60 patients, including approximately 25 patients during dose escalation and approximately 35 patients across all three expansion cohorts, at multiple sites in the United States and the European Union.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 Plans</w:t>
      </w:r>
    </w:p>
    <w:p>
      <w:pPr>
        <w:spacing w:after="0" w:line="185" w:lineRule="exact"/>
        <w:rPr>
          <w:sz w:val="20"/>
          <w:szCs w:val="20"/>
          <w:color w:val="auto"/>
        </w:rPr>
      </w:pPr>
    </w:p>
    <w:p>
      <w:pPr>
        <w:ind w:firstLine="648"/>
        <w:spacing w:after="0" w:line="183" w:lineRule="exact"/>
        <w:rPr>
          <w:sz w:val="20"/>
          <w:szCs w:val="20"/>
          <w:color w:val="auto"/>
        </w:rPr>
      </w:pPr>
      <w:r>
        <w:rPr>
          <w:rFonts w:ascii="Arial" w:cs="Arial" w:eastAsia="Arial" w:hAnsi="Arial"/>
          <w:sz w:val="18"/>
          <w:szCs w:val="18"/>
          <w:color w:val="auto"/>
        </w:rPr>
        <w:t>In January 2016, the FDA granted orphan drug designation to avapritinib for the treatment of mastocytosis. Based on the data reported in December 2017, we plan to engage global regulatory authorities in the first half of 2018 to obtain input on registration pathways for avapritinib in patients with advanced SM and patients with ISM and SSM. We anticipate initiating a registration</w:t>
      </w:r>
      <w:r>
        <w:rPr>
          <w:rFonts w:ascii="MS PGothic" w:cs="MS PGothic" w:eastAsia="MS PGothic" w:hAnsi="MS PGothic"/>
          <w:sz w:val="18"/>
          <w:szCs w:val="18"/>
          <w:color w:val="auto"/>
        </w:rPr>
        <w:t>‑</w:t>
      </w:r>
      <w:r>
        <w:rPr>
          <w:rFonts w:ascii="Arial" w:cs="Arial" w:eastAsia="Arial" w:hAnsi="Arial"/>
          <w:sz w:val="18"/>
          <w:szCs w:val="18"/>
          <w:color w:val="auto"/>
        </w:rPr>
        <w:t>enabling Phase 2 clinical trial of avapritinib in patients with advanced SM in the first half of 2018 and a Phase 2 dose escalation and proof</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concept clinical trial of avapritinib in patients with ISM and SSM in the second half of 2018. In addition, we continue to enroll patients in the expansion portion of the ongoing Explorer trial with the goal of generating additional data in 2018.</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As there is currently no validated patient reported outcome, or PRO, tool for SM, we are collaborating with a health research outcomes group to develop a disease-specific PRO tool to measure changes in total symptom burden in patients with advanced SM. We also plan to develop a similar PRO tool for use in clinical trials in patients with indolent and SSM. In addition, we continue to collaborate with patient advocacy groups to recruit patients to join a patient registry, which we launched in December 2015 with the goals of improving understanding of SM and increasing patient participation in SM clinical trials.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FGFR4 Inhibitor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85"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BLU</w:t>
      </w:r>
      <w:r>
        <w:rPr>
          <w:rFonts w:ascii="MS PGothic" w:cs="MS PGothic" w:eastAsia="MS PGothic" w:hAnsi="MS PGothic"/>
          <w:sz w:val="16"/>
          <w:szCs w:val="16"/>
          <w:color w:val="auto"/>
        </w:rPr>
        <w:t>‑</w:t>
      </w:r>
      <w:r>
        <w:rPr>
          <w:rFonts w:ascii="Arial" w:cs="Arial" w:eastAsia="Arial" w:hAnsi="Arial"/>
          <w:sz w:val="16"/>
          <w:szCs w:val="16"/>
          <w:color w:val="auto"/>
        </w:rPr>
        <w:t>554 is an orally available, potent, selective and irreversible inhibitor of the kinase FGFR4. FGFR4 functions as a receptor whose aberrant activation is a driver of HCC. FGFR4 belongs to a family of highly homologous receptors, which include FGFR1</w:t>
      </w:r>
      <w:r>
        <w:rPr>
          <w:rFonts w:ascii="MS PGothic" w:cs="MS PGothic" w:eastAsia="MS PGothic" w:hAnsi="MS PGothic"/>
          <w:sz w:val="16"/>
          <w:szCs w:val="16"/>
          <w:color w:val="auto"/>
        </w:rPr>
        <w:t>‑</w:t>
      </w:r>
      <w:r>
        <w:rPr>
          <w:rFonts w:ascii="Arial" w:cs="Arial" w:eastAsia="Arial" w:hAnsi="Arial"/>
          <w:sz w:val="16"/>
          <w:szCs w:val="16"/>
          <w:color w:val="auto"/>
        </w:rPr>
        <w:t>4. BLU</w:t>
      </w:r>
      <w:r>
        <w:rPr>
          <w:rFonts w:ascii="MS PGothic" w:cs="MS PGothic" w:eastAsia="MS PGothic" w:hAnsi="MS PGothic"/>
          <w:sz w:val="16"/>
          <w:szCs w:val="16"/>
          <w:color w:val="auto"/>
        </w:rPr>
        <w:t>‑</w:t>
      </w:r>
      <w:r>
        <w:rPr>
          <w:rFonts w:ascii="Arial" w:cs="Arial" w:eastAsia="Arial" w:hAnsi="Arial"/>
          <w:sz w:val="16"/>
          <w:szCs w:val="16"/>
          <w:color w:val="auto"/>
        </w:rPr>
        <w:t>554 targets FGFR4, while sparing the other three FGFR paralogs, and demonstrates exquisite kinome selectivity. Pre</w:t>
      </w:r>
      <w:r>
        <w:rPr>
          <w:rFonts w:ascii="MS PGothic" w:cs="MS PGothic" w:eastAsia="MS PGothic" w:hAnsi="MS PGothic"/>
          <w:sz w:val="16"/>
          <w:szCs w:val="16"/>
          <w:color w:val="auto"/>
        </w:rPr>
        <w:t>‑</w:t>
      </w:r>
      <w:r>
        <w:rPr>
          <w:rFonts w:ascii="Arial" w:cs="Arial" w:eastAsia="Arial" w:hAnsi="Arial"/>
          <w:sz w:val="16"/>
          <w:szCs w:val="16"/>
          <w:color w:val="auto"/>
        </w:rPr>
        <w:t xml:space="preserve">clinical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efficacy data provides a strong rationale for the development of BLU</w:t>
      </w:r>
      <w:r>
        <w:rPr>
          <w:rFonts w:ascii="MS PGothic" w:cs="MS PGothic" w:eastAsia="MS PGothic" w:hAnsi="MS PGothic"/>
          <w:sz w:val="16"/>
          <w:szCs w:val="16"/>
          <w:color w:val="auto"/>
        </w:rPr>
        <w:t>‑</w:t>
      </w:r>
      <w:r>
        <w:rPr>
          <w:rFonts w:ascii="Arial" w:cs="Arial" w:eastAsia="Arial" w:hAnsi="Arial"/>
          <w:sz w:val="16"/>
          <w:szCs w:val="16"/>
          <w:color w:val="auto"/>
        </w:rPr>
        <w:t>554 for the subset of HCC patients whose tumors are driven by aberrant FGFR4 signaling. We estimate that approximately 30% of patients with HCC have tumors with aberrantly activated FGFR4 signaling, which we refer to as FGFR4-activated HCC.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HCC Disease Background</w:t>
      </w:r>
    </w:p>
    <w:p>
      <w:pPr>
        <w:spacing w:after="0" w:line="185" w:lineRule="exact"/>
        <w:rPr>
          <w:sz w:val="20"/>
          <w:szCs w:val="20"/>
          <w:color w:val="auto"/>
        </w:rPr>
      </w:pPr>
    </w:p>
    <w:p>
      <w:pPr>
        <w:ind w:right="180" w:firstLine="648"/>
        <w:spacing w:after="0" w:line="189" w:lineRule="exact"/>
        <w:rPr>
          <w:sz w:val="20"/>
          <w:szCs w:val="20"/>
          <w:color w:val="auto"/>
        </w:rPr>
      </w:pPr>
      <w:r>
        <w:rPr>
          <w:rFonts w:ascii="Arial" w:cs="Arial" w:eastAsia="Arial" w:hAnsi="Arial"/>
          <w:sz w:val="16"/>
          <w:szCs w:val="16"/>
          <w:color w:val="auto"/>
        </w:rPr>
        <w:t>Liver cancer is the second leading cause of cancer</w:t>
      </w:r>
      <w:r>
        <w:rPr>
          <w:rFonts w:ascii="MS PGothic" w:cs="MS PGothic" w:eastAsia="MS PGothic" w:hAnsi="MS PGothic"/>
          <w:sz w:val="16"/>
          <w:szCs w:val="16"/>
          <w:color w:val="auto"/>
        </w:rPr>
        <w:t>‑</w:t>
      </w:r>
      <w:r>
        <w:rPr>
          <w:rFonts w:ascii="Arial" w:cs="Arial" w:eastAsia="Arial" w:hAnsi="Arial"/>
          <w:sz w:val="16"/>
          <w:szCs w:val="16"/>
          <w:color w:val="auto"/>
        </w:rPr>
        <w:t>related deaths worldwide, and HCC accounts for most liver cancers. The highest incidence of HCC occurs in regions with endemic hepatitis B virus, or HBV, including Southeast Asia and sub</w:t>
      </w:r>
      <w:r>
        <w:rPr>
          <w:rFonts w:ascii="MS PGothic" w:cs="MS PGothic" w:eastAsia="MS PGothic" w:hAnsi="MS PGothic"/>
          <w:sz w:val="16"/>
          <w:szCs w:val="16"/>
          <w:color w:val="auto"/>
        </w:rPr>
        <w:t>‑</w:t>
      </w:r>
      <w:r>
        <w:rPr>
          <w:rFonts w:ascii="Arial" w:cs="Arial" w:eastAsia="Arial" w:hAnsi="Arial"/>
          <w:sz w:val="16"/>
          <w:szCs w:val="16"/>
          <w:color w:val="auto"/>
        </w:rPr>
        <w:t>Saharan Africa. In the United States, HCC is the fastest rising cause of cancer</w:t>
      </w:r>
      <w:r>
        <w:rPr>
          <w:rFonts w:ascii="MS PGothic" w:cs="MS PGothic" w:eastAsia="MS PGothic" w:hAnsi="MS PGothic"/>
          <w:sz w:val="16"/>
          <w:szCs w:val="16"/>
          <w:color w:val="auto"/>
        </w:rPr>
        <w:t>‑</w:t>
      </w:r>
      <w:r>
        <w:rPr>
          <w:rFonts w:ascii="Arial" w:cs="Arial" w:eastAsia="Arial" w:hAnsi="Arial"/>
          <w:sz w:val="16"/>
          <w:szCs w:val="16"/>
          <w:color w:val="auto"/>
        </w:rPr>
        <w:t>related death. Over the past two decades, the incidence of HCC has tripled while the five</w:t>
      </w:r>
      <w:r>
        <w:rPr>
          <w:rFonts w:ascii="MS PGothic" w:cs="MS PGothic" w:eastAsia="MS PGothic" w:hAnsi="MS PGothic"/>
          <w:sz w:val="16"/>
          <w:szCs w:val="16"/>
          <w:color w:val="auto"/>
        </w:rPr>
        <w:t>‑</w:t>
      </w:r>
      <w:r>
        <w:rPr>
          <w:rFonts w:ascii="Arial" w:cs="Arial" w:eastAsia="Arial" w:hAnsi="Arial"/>
          <w:sz w:val="16"/>
          <w:szCs w:val="16"/>
          <w:color w:val="auto"/>
        </w:rPr>
        <w:t>year survival rate has remained below 12%.</w:t>
      </w:r>
    </w:p>
    <w:p>
      <w:pPr>
        <w:spacing w:after="0" w:line="164"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Cirrhosis is a key risk factor for HCC — the disease etiology varies by geography with the common theme of chronic conditions that lead to cirrhosis. In North America, the main risk factors for cirrhosis are infection with hepatitis C virus, or HCV, followed by HBV infection, alcohol consumption and nonalcoholic steatohepatitis. In the European Union, the main risk factors for cirrhosis are HCV, HBV and alcohol consumption. In Asia and sub</w:t>
      </w:r>
      <w:r>
        <w:rPr>
          <w:rFonts w:ascii="MS PGothic" w:cs="MS PGothic" w:eastAsia="MS PGothic" w:hAnsi="MS PGothic"/>
          <w:sz w:val="18"/>
          <w:szCs w:val="18"/>
          <w:color w:val="auto"/>
        </w:rPr>
        <w:t>‑</w:t>
      </w:r>
      <w:r>
        <w:rPr>
          <w:rFonts w:ascii="Arial" w:cs="Arial" w:eastAsia="Arial" w:hAnsi="Arial"/>
          <w:sz w:val="18"/>
          <w:szCs w:val="18"/>
          <w:color w:val="auto"/>
        </w:rPr>
        <w:t>Saharan Africa, the major risk factor is chronic HBV infection.</w:t>
      </w:r>
    </w:p>
    <w:p>
      <w:pPr>
        <w:spacing w:after="0" w:line="162"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The diagnosis of HCC is typically made in adults, peaking around age 70. Disease management is complicated by concurrent liver disease, which often compromises liver function in these patients. Patients are staged depending on extent of liver disease, performance status and liver function status; these factors guide treatment selection. The stage distribution at diagnosis varies by region. Countries with active national screening programs, such as Taiwan and Japan, tend to diagnose many more patients in the early stages of disease. There are currently no treatments for molecularly defined patient subgroups in HCC.</w:t>
      </w:r>
    </w:p>
    <w:p>
      <w:pPr>
        <w:spacing w:after="0" w:line="162" w:lineRule="exact"/>
        <w:rPr>
          <w:sz w:val="20"/>
          <w:szCs w:val="20"/>
          <w:color w:val="auto"/>
        </w:rPr>
      </w:pPr>
    </w:p>
    <w:p>
      <w:pPr>
        <w:ind w:right="20" w:firstLine="648"/>
        <w:spacing w:after="0" w:line="179" w:lineRule="exact"/>
        <w:rPr>
          <w:sz w:val="20"/>
          <w:szCs w:val="20"/>
          <w:color w:val="auto"/>
        </w:rPr>
      </w:pPr>
      <w:r>
        <w:rPr>
          <w:rFonts w:ascii="Arial" w:cs="Arial" w:eastAsia="Arial" w:hAnsi="Arial"/>
          <w:sz w:val="16"/>
          <w:szCs w:val="16"/>
          <w:color w:val="auto"/>
        </w:rPr>
        <w:t>Despite advances in the treatment of HCC, including recent approval of nivolumab and prior approvals of the multi-kinase inhibitors sorafenib and regorafenib, the prognosis for patients with advanced HCC remains poor and there is a significant unmet need for new treatments for HCC, including FGFR4-driven HCC. Patients diagnosed at an early stage receive potentially curative transplant, resection or ablative therapies. Treatments for intermediate to advanced stage patients include high</w:t>
      </w:r>
      <w:r>
        <w:rPr>
          <w:rFonts w:ascii="MS PGothic" w:cs="MS PGothic" w:eastAsia="MS PGothic" w:hAnsi="MS PGothic"/>
          <w:sz w:val="16"/>
          <w:szCs w:val="16"/>
          <w:color w:val="auto"/>
        </w:rPr>
        <w:t>‑</w:t>
      </w:r>
      <w:r>
        <w:rPr>
          <w:rFonts w:ascii="Arial" w:cs="Arial" w:eastAsia="Arial" w:hAnsi="Arial"/>
          <w:sz w:val="16"/>
          <w:szCs w:val="16"/>
          <w:color w:val="auto"/>
        </w:rPr>
        <w:t>dose chemotherapy delivered directly to the liver (transarterial chemoembolization), sorafenib, nivolumab and regorafenib. Sorafenib, which is approved as a first-line treatment for advanced HCC, is a multi-kinase inhibitor that targets VEGFR and many other kinases and exhibits anti-angiogenic effects. In a pivotal trial conducted primarily at European Union and U.S. sites, sorafenib improved median overall survival by approximately three months, and 2% of patients responded. Nivolumab is an immune checkpoint inhibitor targeting PD-1, which received accelerated approval from the FDA in September 2017 for second-line advanced HCC based in data from a pivotal clinical trial showing a 14% object response rate in patients who progressed on or were intolerant to sorafenib. Regorafenib is approved as a second-line treatment for advanced HCC based on data from a pivotal trial showing improved median overall survival of 2.8 months and an 11% objective response rate in patients with documented progression following sorafenib. In clinical practice, patients often require dose modifications or discontinue therapy with sorafenib and regorafenib due to tolerability issues. There is a clear need for medical therapies with a favorable risk</w:t>
      </w:r>
      <w:r>
        <w:rPr>
          <w:rFonts w:ascii="MS PGothic" w:cs="MS PGothic" w:eastAsia="MS PGothic" w:hAnsi="MS PGothic"/>
          <w:sz w:val="16"/>
          <w:szCs w:val="16"/>
          <w:color w:val="auto"/>
        </w:rPr>
        <w:t>‑</w:t>
      </w:r>
      <w:r>
        <w:rPr>
          <w:rFonts w:ascii="Arial" w:cs="Arial" w:eastAsia="Arial" w:hAnsi="Arial"/>
          <w:sz w:val="16"/>
          <w:szCs w:val="16"/>
          <w:color w:val="auto"/>
        </w:rPr>
        <w:t>benefit profile and the potential be used alone or in combination with other approved or emerging therapies for advanced HCC.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FGFR4 as a Driver in HCC</w:t>
      </w:r>
    </w:p>
    <w:p>
      <w:pPr>
        <w:spacing w:after="0" w:line="185" w:lineRule="exact"/>
        <w:rPr>
          <w:sz w:val="20"/>
          <w:szCs w:val="20"/>
          <w:color w:val="auto"/>
        </w:rPr>
      </w:pPr>
    </w:p>
    <w:p>
      <w:pPr>
        <w:ind w:right="20" w:firstLine="648"/>
        <w:spacing w:after="0" w:line="184" w:lineRule="exact"/>
        <w:rPr>
          <w:sz w:val="20"/>
          <w:szCs w:val="20"/>
          <w:color w:val="auto"/>
        </w:rPr>
      </w:pPr>
      <w:r>
        <w:rPr>
          <w:rFonts w:ascii="Arial" w:cs="Arial" w:eastAsia="Arial" w:hAnsi="Arial"/>
          <w:sz w:val="16"/>
          <w:szCs w:val="16"/>
          <w:color w:val="auto"/>
        </w:rPr>
        <w:t>The link between aberrant FGFR4 signaling and HCC was first established when an amplicon, a region of replicated DNA, that includes FGF19, the ligand that activates FGFR4, was identified in HCC patients. We estimate that more than 5% of tumors of HCC patients have this amplicon. The physiologic role of the receptor, FGFR4, and its ligand, FGF19, is to regulate bile acid metabolism in hepatocytes and liver regeneration following injury. FGF19 is normally produced in the small intestine and signals to hepatocytes through an endocrine mechanism. FGF19 forms an active signaling complex together with FGFR4 and its co</w:t>
      </w:r>
      <w:r>
        <w:rPr>
          <w:rFonts w:ascii="MS PGothic" w:cs="MS PGothic" w:eastAsia="MS PGothic" w:hAnsi="MS PGothic"/>
          <w:sz w:val="16"/>
          <w:szCs w:val="16"/>
          <w:color w:val="auto"/>
        </w:rPr>
        <w:t>‑</w:t>
      </w:r>
      <w:r>
        <w:rPr>
          <w:rFonts w:ascii="Arial" w:cs="Arial" w:eastAsia="Arial" w:hAnsi="Arial"/>
          <w:sz w:val="16"/>
          <w:szCs w:val="16"/>
          <w:color w:val="auto"/>
        </w:rPr>
        <w:t>receptor Klotho</w:t>
      </w:r>
      <w:r>
        <w:rPr>
          <w:rFonts w:ascii="MS PGothic" w:cs="MS PGothic" w:eastAsia="MS PGothic" w:hAnsi="MS PGothic"/>
          <w:sz w:val="16"/>
          <w:szCs w:val="16"/>
          <w:color w:val="auto"/>
        </w:rPr>
        <w:t>‑</w:t>
      </w:r>
      <w:r>
        <w:rPr>
          <w:rFonts w:ascii="Arial" w:cs="Arial" w:eastAsia="Arial" w:hAnsi="Arial"/>
          <w:sz w:val="16"/>
          <w:szCs w:val="16"/>
          <w:color w:val="auto"/>
        </w:rPr>
        <w:t>β. Signaling of the active complex leads to decreased CYP7A1 transcription with a resultant decrease in bile acid synthesis, as well as increased growth, proliferation and survival signals.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FGFR4 Signaling in the 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68580</wp:posOffset>
            </wp:positionV>
            <wp:extent cx="5308600" cy="2212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08600"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60" w:right="280"/>
        <w:spacing w:after="0" w:line="159" w:lineRule="exact"/>
        <w:rPr>
          <w:sz w:val="20"/>
          <w:szCs w:val="20"/>
          <w:color w:val="auto"/>
        </w:rPr>
      </w:pPr>
      <w:r>
        <w:rPr>
          <w:rFonts w:ascii="Arial" w:cs="Arial" w:eastAsia="Arial" w:hAnsi="Arial"/>
          <w:sz w:val="14"/>
          <w:szCs w:val="14"/>
          <w:color w:val="auto"/>
        </w:rPr>
        <w:t>In the figure above, HBV means hepatitis B virus, HCV means hepatitis C virus, NASH means non-alcoholic steatohepatitis and KLB means Klotho</w:t>
      </w:r>
      <w:r>
        <w:rPr>
          <w:rFonts w:ascii="MS PGothic" w:cs="MS PGothic" w:eastAsia="MS PGothic" w:hAnsi="MS PGothic"/>
          <w:sz w:val="14"/>
          <w:szCs w:val="14"/>
          <w:color w:val="auto"/>
        </w:rPr>
        <w:t>‑</w:t>
      </w:r>
      <w:r>
        <w:rPr>
          <w:rFonts w:ascii="Arial" w:cs="Arial" w:eastAsia="Arial" w:hAnsi="Arial"/>
          <w:sz w:val="14"/>
          <w:szCs w:val="14"/>
          <w:color w:val="auto"/>
        </w:rPr>
        <w:t>β.</w:t>
      </w:r>
    </w:p>
    <w:p>
      <w:pPr>
        <w:spacing w:after="0" w:line="174" w:lineRule="exact"/>
        <w:rPr>
          <w:sz w:val="20"/>
          <w:szCs w:val="20"/>
          <w:color w:val="auto"/>
        </w:rPr>
      </w:pPr>
    </w:p>
    <w:p>
      <w:pPr>
        <w:ind w:right="60" w:firstLine="648"/>
        <w:spacing w:after="0" w:line="184" w:lineRule="exact"/>
        <w:rPr>
          <w:sz w:val="20"/>
          <w:szCs w:val="20"/>
          <w:color w:val="auto"/>
        </w:rPr>
      </w:pPr>
      <w:r>
        <w:rPr>
          <w:rFonts w:ascii="Arial" w:cs="Arial" w:eastAsia="Arial" w:hAnsi="Arial"/>
          <w:sz w:val="16"/>
          <w:szCs w:val="16"/>
          <w:color w:val="auto"/>
        </w:rPr>
        <w:t>Subsequent data suggest that FGFR4 signaling is a driver in a subset of HCC patients in whom the pathway is aberrantly activated. In these patients, FGF19 is overexpressed in hepatocytes (which do not normally express FGF19), leading to autocrine signaling and tumor growth. Pre</w:t>
      </w:r>
      <w:r>
        <w:rPr>
          <w:rFonts w:ascii="MS PGothic" w:cs="MS PGothic" w:eastAsia="MS PGothic" w:hAnsi="MS PGothic"/>
          <w:sz w:val="16"/>
          <w:szCs w:val="16"/>
          <w:color w:val="auto"/>
        </w:rPr>
        <w:t>‑</w:t>
      </w:r>
      <w:r>
        <w:rPr>
          <w:rFonts w:ascii="Arial" w:cs="Arial" w:eastAsia="Arial" w:hAnsi="Arial"/>
          <w:sz w:val="16"/>
          <w:szCs w:val="16"/>
          <w:color w:val="auto"/>
        </w:rPr>
        <w:t>clinical experiments in a genetically engineered mouse model demonstrate that exogenous FGF19 expression is sufficient to induce liver tumor growth and that tumorigenesis is dependent on FGFR4. The three elements that constitute an active FGFR4 signaling complex, FGF19, FGFR4 and Klotho</w:t>
      </w:r>
      <w:r>
        <w:rPr>
          <w:rFonts w:ascii="MS PGothic" w:cs="MS PGothic" w:eastAsia="MS PGothic" w:hAnsi="MS PGothic"/>
          <w:sz w:val="16"/>
          <w:szCs w:val="16"/>
          <w:color w:val="auto"/>
        </w:rPr>
        <w:t>‑</w:t>
      </w:r>
      <w:r>
        <w:rPr>
          <w:rFonts w:ascii="Arial" w:cs="Arial" w:eastAsia="Arial" w:hAnsi="Arial"/>
          <w:sz w:val="16"/>
          <w:szCs w:val="16"/>
          <w:color w:val="auto"/>
        </w:rPr>
        <w:t>β, are expressed together uniquely in HCC, although it is possible that they may also occur in rare cases of other solid tumors.</w:t>
      </w:r>
    </w:p>
    <w:p>
      <w:pPr>
        <w:spacing w:after="0" w:line="166"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We have used our novel drug discovery platform to identify a potentially broader target responder population in addition to the FGF19</w:t>
      </w:r>
      <w:r>
        <w:rPr>
          <w:rFonts w:ascii="MS PGothic" w:cs="MS PGothic" w:eastAsia="MS PGothic" w:hAnsi="MS PGothic"/>
          <w:sz w:val="17"/>
          <w:szCs w:val="17"/>
          <w:color w:val="auto"/>
        </w:rPr>
        <w:t>‑</w:t>
      </w:r>
      <w:r>
        <w:rPr>
          <w:rFonts w:ascii="Arial" w:cs="Arial" w:eastAsia="Arial" w:hAnsi="Arial"/>
          <w:sz w:val="17"/>
          <w:szCs w:val="17"/>
          <w:color w:val="auto"/>
        </w:rPr>
        <w:t>amplified patient population. We estimate that approximately 25% of HCC tumors overexpress FGF19 without amplification. We have also demonstrated a significant anti</w:t>
      </w:r>
      <w:r>
        <w:rPr>
          <w:rFonts w:ascii="MS PGothic" w:cs="MS PGothic" w:eastAsia="MS PGothic" w:hAnsi="MS PGothic"/>
          <w:sz w:val="17"/>
          <w:szCs w:val="17"/>
          <w:color w:val="auto"/>
        </w:rPr>
        <w:t>‑</w:t>
      </w:r>
      <w:r>
        <w:rPr>
          <w:rFonts w:ascii="Arial" w:cs="Arial" w:eastAsia="Arial" w:hAnsi="Arial"/>
          <w:sz w:val="17"/>
          <w:szCs w:val="17"/>
          <w:color w:val="auto"/>
        </w:rPr>
        <w:t>tumor response with an FGFR4 inhibitor in an HCC patient</w:t>
      </w:r>
      <w:r>
        <w:rPr>
          <w:rFonts w:ascii="MS PGothic" w:cs="MS PGothic" w:eastAsia="MS PGothic" w:hAnsi="MS PGothic"/>
          <w:sz w:val="17"/>
          <w:szCs w:val="17"/>
          <w:color w:val="auto"/>
        </w:rPr>
        <w:t>‑</w:t>
      </w:r>
      <w:r>
        <w:rPr>
          <w:rFonts w:ascii="Arial" w:cs="Arial" w:eastAsia="Arial" w:hAnsi="Arial"/>
          <w:sz w:val="17"/>
          <w:szCs w:val="17"/>
          <w:color w:val="auto"/>
        </w:rPr>
        <w:t xml:space="preserve">derived xenograft model that overexpresses FGF19 in the absence of amplification. Some of these results were published in </w:t>
      </w:r>
      <w:r>
        <w:rPr>
          <w:rFonts w:ascii="Arial" w:cs="Arial" w:eastAsia="Arial" w:hAnsi="Arial"/>
          <w:sz w:val="17"/>
          <w:szCs w:val="17"/>
          <w:i w:val="1"/>
          <w:iCs w:val="1"/>
          <w:color w:val="auto"/>
        </w:rPr>
        <w:t>Cancer Discovery</w:t>
      </w:r>
      <w:r>
        <w:rPr>
          <w:rFonts w:ascii="Arial" w:cs="Arial" w:eastAsia="Arial" w:hAnsi="Arial"/>
          <w:sz w:val="17"/>
          <w:szCs w:val="17"/>
          <w:color w:val="auto"/>
        </w:rPr>
        <w:t xml:space="preserve"> in 2015. We estimate that approximately 30% of patients have FGFR4-activated HCC, and data suggest patients with HCC patients with FGFR4 pathway activation resulting in activation of the FGFR4 pathway generally have poor outcomes relative to other HCC patients.</w:t>
      </w:r>
    </w:p>
    <w:p>
      <w:pPr>
        <w:spacing w:after="0" w:line="162" w:lineRule="exact"/>
        <w:rPr>
          <w:sz w:val="20"/>
          <w:szCs w:val="20"/>
          <w:color w:val="auto"/>
        </w:rPr>
      </w:pPr>
    </w:p>
    <w:p>
      <w:pPr>
        <w:ind w:right="60" w:firstLine="648"/>
        <w:spacing w:after="0" w:line="224" w:lineRule="auto"/>
        <w:rPr>
          <w:sz w:val="20"/>
          <w:szCs w:val="20"/>
          <w:color w:val="auto"/>
        </w:rPr>
      </w:pPr>
      <w:r>
        <w:rPr>
          <w:rFonts w:ascii="Arial" w:cs="Arial" w:eastAsia="Arial" w:hAnsi="Arial"/>
          <w:sz w:val="18"/>
          <w:szCs w:val="18"/>
          <w:color w:val="auto"/>
        </w:rPr>
        <w:t>The FGFR4 signaling pathway is a promising new driver for the development of molecularly targeted therapy in HCC. In the Major Markets, we estimate there are approximately 28,100 first and second line patients with FGFR4-activated HCC.</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BLU-554 Pre-clinical Development in HCC</w:t>
      </w:r>
    </w:p>
    <w:p>
      <w:pPr>
        <w:spacing w:after="0" w:line="185" w:lineRule="exact"/>
        <w:rPr>
          <w:sz w:val="20"/>
          <w:szCs w:val="20"/>
          <w:color w:val="auto"/>
        </w:rPr>
      </w:pPr>
    </w:p>
    <w:p>
      <w:pPr>
        <w:ind w:right="99" w:firstLine="648"/>
        <w:spacing w:after="0" w:line="186" w:lineRule="exact"/>
        <w:rPr>
          <w:sz w:val="20"/>
          <w:szCs w:val="20"/>
          <w:color w:val="auto"/>
        </w:rPr>
      </w:pPr>
      <w:r>
        <w:rPr>
          <w:rFonts w:ascii="Arial" w:cs="Arial" w:eastAsia="Arial" w:hAnsi="Arial"/>
          <w:sz w:val="16"/>
          <w:szCs w:val="16"/>
          <w:color w:val="auto"/>
        </w:rPr>
        <w:t>Efforts to discover selective, reversible inhibitors of FGFR4 have been challenging given the high sequence similarity among the four FGFR paralogs. A cysteine located near the ATP binding site in FGFR4 is unique among the paralogs. We therefore focused on developing a covalent inhibitor with paralog specificity and kinome selectivity. Our team of experienced medicinal chemists applied structure</w:t>
      </w:r>
      <w:r>
        <w:rPr>
          <w:rFonts w:ascii="MS PGothic" w:cs="MS PGothic" w:eastAsia="MS PGothic" w:hAnsi="MS PGothic"/>
          <w:sz w:val="16"/>
          <w:szCs w:val="16"/>
          <w:color w:val="auto"/>
        </w:rPr>
        <w:t>‑</w:t>
      </w:r>
      <w:r>
        <w:rPr>
          <w:rFonts w:ascii="Arial" w:cs="Arial" w:eastAsia="Arial" w:hAnsi="Arial"/>
          <w:sz w:val="16"/>
          <w:szCs w:val="16"/>
          <w:color w:val="auto"/>
        </w:rPr>
        <w:t>based design principles to develop a potent and selective FGFR4 inhibitor starting from known FGFR inhibitor templates. This effort yielded our development candidate, BLU</w:t>
      </w:r>
      <w:r>
        <w:rPr>
          <w:rFonts w:ascii="MS PGothic" w:cs="MS PGothic" w:eastAsia="MS PGothic" w:hAnsi="MS PGothic"/>
          <w:sz w:val="16"/>
          <w:szCs w:val="16"/>
          <w:color w:val="auto"/>
        </w:rPr>
        <w:t>‑</w:t>
      </w:r>
      <w:r>
        <w:rPr>
          <w:rFonts w:ascii="Arial" w:cs="Arial" w:eastAsia="Arial" w:hAnsi="Arial"/>
          <w:sz w:val="16"/>
          <w:szCs w:val="16"/>
          <w:color w:val="auto"/>
        </w:rPr>
        <w:t xml:space="preserve">554. We have conducted comprehensive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experiments to characterize the potency and selectivity of BLU</w:t>
      </w:r>
      <w:r>
        <w:rPr>
          <w:rFonts w:ascii="MS PGothic" w:cs="MS PGothic" w:eastAsia="MS PGothic" w:hAnsi="MS PGothic"/>
          <w:sz w:val="16"/>
          <w:szCs w:val="16"/>
          <w:color w:val="auto"/>
        </w:rPr>
        <w:t>‑</w:t>
      </w:r>
      <w:r>
        <w:rPr>
          <w:rFonts w:ascii="Arial" w:cs="Arial" w:eastAsia="Arial" w:hAnsi="Arial"/>
          <w:sz w:val="16"/>
          <w:szCs w:val="16"/>
          <w:color w:val="auto"/>
        </w:rPr>
        <w:t>554. BLU</w:t>
      </w:r>
      <w:r>
        <w:rPr>
          <w:rFonts w:ascii="MS PGothic" w:cs="MS PGothic" w:eastAsia="MS PGothic" w:hAnsi="MS PGothic"/>
          <w:sz w:val="16"/>
          <w:szCs w:val="16"/>
          <w:color w:val="auto"/>
        </w:rPr>
        <w:t>‑</w:t>
      </w:r>
      <w:r>
        <w:rPr>
          <w:rFonts w:ascii="Arial" w:cs="Arial" w:eastAsia="Arial" w:hAnsi="Arial"/>
          <w:sz w:val="16"/>
          <w:szCs w:val="16"/>
          <w:color w:val="auto"/>
        </w:rPr>
        <w:t>554 potently inhibits FGFR4 enzyme activity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 5 nM) and inhibits the activity of FGFR1</w:t>
      </w:r>
      <w:r>
        <w:rPr>
          <w:rFonts w:ascii="MS PGothic" w:cs="MS PGothic" w:eastAsia="MS PGothic" w:hAnsi="MS PGothic"/>
          <w:sz w:val="16"/>
          <w:szCs w:val="16"/>
          <w:color w:val="auto"/>
        </w:rPr>
        <w:t>‑</w:t>
      </w:r>
      <w:r>
        <w:rPr>
          <w:rFonts w:ascii="Arial" w:cs="Arial" w:eastAsia="Arial" w:hAnsi="Arial"/>
          <w:sz w:val="16"/>
          <w:szCs w:val="16"/>
          <w:color w:val="auto"/>
        </w:rPr>
        <w:t>3 at least 100</w:t>
      </w:r>
      <w:r>
        <w:rPr>
          <w:rFonts w:ascii="MS PGothic" w:cs="MS PGothic" w:eastAsia="MS PGothic" w:hAnsi="MS PGothic"/>
          <w:sz w:val="16"/>
          <w:szCs w:val="16"/>
          <w:color w:val="auto"/>
        </w:rPr>
        <w:t>‑</w:t>
      </w:r>
      <w:r>
        <w:rPr>
          <w:rFonts w:ascii="Arial" w:cs="Arial" w:eastAsia="Arial" w:hAnsi="Arial"/>
          <w:sz w:val="16"/>
          <w:szCs w:val="16"/>
          <w:color w:val="auto"/>
        </w:rPr>
        <w:t>fold less potently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w:t>
      </w:r>
    </w:p>
    <w:p>
      <w:pPr>
        <w:spacing w:after="0" w:line="1" w:lineRule="exact"/>
        <w:rPr>
          <w:sz w:val="20"/>
          <w:szCs w:val="20"/>
          <w:color w:val="auto"/>
        </w:rPr>
      </w:pPr>
    </w:p>
    <w:p>
      <w:pPr>
        <w:ind w:right="239"/>
        <w:spacing w:after="0" w:line="183" w:lineRule="exact"/>
        <w:rPr>
          <w:sz w:val="20"/>
          <w:szCs w:val="20"/>
          <w:color w:val="auto"/>
        </w:rPr>
      </w:pPr>
      <w:r>
        <w:rPr>
          <w:rFonts w:ascii="Arial" w:cs="Arial" w:eastAsia="Arial" w:hAnsi="Arial"/>
          <w:sz w:val="18"/>
          <w:szCs w:val="18"/>
          <w:color w:val="auto"/>
        </w:rPr>
        <w:t>600 nM). In contrast, pan</w:t>
      </w:r>
      <w:r>
        <w:rPr>
          <w:rFonts w:ascii="MS PGothic" w:cs="MS PGothic" w:eastAsia="MS PGothic" w:hAnsi="MS PGothic"/>
          <w:sz w:val="18"/>
          <w:szCs w:val="18"/>
          <w:color w:val="auto"/>
        </w:rPr>
        <w:t>‑</w:t>
      </w:r>
      <w:r>
        <w:rPr>
          <w:rFonts w:ascii="Arial" w:cs="Arial" w:eastAsia="Arial" w:hAnsi="Arial"/>
          <w:sz w:val="18"/>
          <w:szCs w:val="18"/>
          <w:color w:val="auto"/>
        </w:rPr>
        <w:t>FGFR inhibitors such as BGJ</w:t>
      </w:r>
      <w:r>
        <w:rPr>
          <w:rFonts w:ascii="MS PGothic" w:cs="MS PGothic" w:eastAsia="MS PGothic" w:hAnsi="MS PGothic"/>
          <w:sz w:val="18"/>
          <w:szCs w:val="18"/>
          <w:color w:val="auto"/>
        </w:rPr>
        <w:t>‑</w:t>
      </w:r>
      <w:r>
        <w:rPr>
          <w:rFonts w:ascii="Arial" w:cs="Arial" w:eastAsia="Arial" w:hAnsi="Arial"/>
          <w:sz w:val="18"/>
          <w:szCs w:val="18"/>
          <w:color w:val="auto"/>
        </w:rPr>
        <w:t>398 fail to exhibit paralog specificity. The selectivity of BLU</w:t>
      </w:r>
      <w:r>
        <w:rPr>
          <w:rFonts w:ascii="MS PGothic" w:cs="MS PGothic" w:eastAsia="MS PGothic" w:hAnsi="MS PGothic"/>
          <w:sz w:val="18"/>
          <w:szCs w:val="18"/>
          <w:color w:val="auto"/>
        </w:rPr>
        <w:t>‑</w:t>
      </w:r>
      <w:r>
        <w:rPr>
          <w:rFonts w:ascii="Arial" w:cs="Arial" w:eastAsia="Arial" w:hAnsi="Arial"/>
          <w:sz w:val="18"/>
          <w:szCs w:val="18"/>
          <w:color w:val="auto"/>
        </w:rPr>
        <w:t>554 was further evaluated by profiling BLU</w:t>
      </w:r>
      <w:r>
        <w:rPr>
          <w:rFonts w:ascii="MS PGothic" w:cs="MS PGothic" w:eastAsia="MS PGothic" w:hAnsi="MS PGothic"/>
          <w:sz w:val="18"/>
          <w:szCs w:val="18"/>
          <w:color w:val="auto"/>
        </w:rPr>
        <w:t>‑</w:t>
      </w:r>
      <w:r>
        <w:rPr>
          <w:rFonts w:ascii="Arial" w:cs="Arial" w:eastAsia="Arial" w:hAnsi="Arial"/>
          <w:sz w:val="18"/>
          <w:szCs w:val="18"/>
          <w:color w:val="auto"/>
        </w:rPr>
        <w:t>554 at a concentration of 3 µM across a panel of over 450 kinases and disease relevant kinase mutants using KINOME</w:t>
      </w:r>
      <w:r>
        <w:rPr>
          <w:rFonts w:ascii="Arial" w:cs="Arial" w:eastAsia="Arial" w:hAnsi="Arial"/>
          <w:sz w:val="18"/>
          <w:szCs w:val="18"/>
          <w:i w:val="1"/>
          <w:iCs w:val="1"/>
          <w:color w:val="auto"/>
        </w:rPr>
        <w:t>scan</w:t>
      </w:r>
      <w:r>
        <w:rPr>
          <w:rFonts w:ascii="Arial" w:cs="Arial" w:eastAsia="Arial" w:hAnsi="Arial"/>
          <w:sz w:val="18"/>
          <w:szCs w:val="18"/>
          <w:color w:val="auto"/>
        </w:rPr>
        <w:t xml:space="preserve"> methodology. BLU</w:t>
      </w:r>
      <w:r>
        <w:rPr>
          <w:rFonts w:ascii="MS PGothic" w:cs="MS PGothic" w:eastAsia="MS PGothic" w:hAnsi="MS PGothic"/>
          <w:sz w:val="18"/>
          <w:szCs w:val="18"/>
          <w:color w:val="auto"/>
        </w:rPr>
        <w:t>‑</w:t>
      </w:r>
      <w:r>
        <w:rPr>
          <w:rFonts w:ascii="Arial" w:cs="Arial" w:eastAsia="Arial" w:hAnsi="Arial"/>
          <w:sz w:val="18"/>
          <w:szCs w:val="18"/>
          <w:color w:val="auto"/>
        </w:rPr>
        <w:t>554 displayed significant binding (greater than 90% inhibition relative to control) only to FGFR4 in this assay. In contrast, BGJ</w:t>
      </w:r>
      <w:r>
        <w:rPr>
          <w:rFonts w:ascii="MS PGothic" w:cs="MS PGothic" w:eastAsia="MS PGothic" w:hAnsi="MS PGothic"/>
          <w:sz w:val="18"/>
          <w:szCs w:val="18"/>
          <w:color w:val="auto"/>
        </w:rPr>
        <w:t>‑</w:t>
      </w:r>
      <w:r>
        <w:rPr>
          <w:rFonts w:ascii="Arial" w:cs="Arial" w:eastAsia="Arial" w:hAnsi="Arial"/>
          <w:sz w:val="18"/>
          <w:szCs w:val="18"/>
          <w:color w:val="auto"/>
        </w:rPr>
        <w:t>398 significantly bound to 14 kinases (greater than 90% inhibition relative to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right="39"/>
        <w:spacing w:after="0" w:line="236" w:lineRule="auto"/>
        <w:rPr>
          <w:sz w:val="20"/>
          <w:szCs w:val="20"/>
          <w:color w:val="auto"/>
        </w:rPr>
      </w:pPr>
      <w:r>
        <w:rPr>
          <w:rFonts w:ascii="Arial" w:cs="Arial" w:eastAsia="Arial" w:hAnsi="Arial"/>
          <w:sz w:val="14"/>
          <w:szCs w:val="14"/>
          <w:color w:val="auto"/>
        </w:rPr>
        <w:t xml:space="preserve">Paralog selectivity of BLU-554 compared to the pan-FGFR inhibitor BGJ-398. The inhibitory potency of BLU-554 and BGJ-398 against each of the FGFR paralogs was evaluated in an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enzyme activity assay.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2368550</wp:posOffset>
            </wp:positionH>
            <wp:positionV relativeFrom="paragraph">
              <wp:posOffset>128270</wp:posOffset>
            </wp:positionV>
            <wp:extent cx="1020445" cy="1551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0445" cy="155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60" w:right="19"/>
        <w:spacing w:after="0" w:line="147" w:lineRule="exact"/>
        <w:rPr>
          <w:sz w:val="20"/>
          <w:szCs w:val="20"/>
          <w:color w:val="auto"/>
        </w:rPr>
      </w:pPr>
      <w:r>
        <w:rPr>
          <w:rFonts w:ascii="Arial" w:cs="Arial" w:eastAsia="Arial" w:hAnsi="Arial"/>
          <w:sz w:val="13"/>
          <w:szCs w:val="13"/>
          <w:color w:val="auto"/>
        </w:rPr>
        <w:t>Kinome selectivity of BLU-554 as determined using the KINOME scan assay. BLU-554 was screened at 3 µM against a panel of over 450 kinases and disease</w:t>
      </w:r>
      <w:r>
        <w:rPr>
          <w:rFonts w:ascii="MS PGothic" w:cs="MS PGothic" w:eastAsia="MS PGothic" w:hAnsi="MS PGothic"/>
          <w:sz w:val="13"/>
          <w:szCs w:val="13"/>
          <w:color w:val="auto"/>
        </w:rPr>
        <w:t>‑</w:t>
      </w:r>
      <w:r>
        <w:rPr>
          <w:rFonts w:ascii="Arial" w:cs="Arial" w:eastAsia="Arial" w:hAnsi="Arial"/>
          <w:sz w:val="13"/>
          <w:szCs w:val="13"/>
          <w:color w:val="auto"/>
        </w:rPr>
        <w:t xml:space="preserve">relevant mutants. Each branch of the dendogram represents an individual human kinase. Kinases bound by the compound are indicated by red circles on the kinome tree. The degree of binding corresponds to the size of the circle. </w:t>
      </w:r>
      <w:r>
        <w:rPr>
          <w:rFonts w:ascii="Arial" w:cs="Arial" w:eastAsia="Arial" w:hAnsi="Arial"/>
          <w:sz w:val="13"/>
          <w:szCs w:val="13"/>
          <w:i w:val="1"/>
          <w:iCs w:val="1"/>
          <w:color w:val="auto"/>
        </w:rPr>
        <w:t>Kinome illustration reproduced courtesy</w:t>
      </w:r>
      <w:r>
        <w:rPr>
          <w:rFonts w:ascii="Arial" w:cs="Arial" w:eastAsia="Arial" w:hAnsi="Arial"/>
          <w:sz w:val="13"/>
          <w:szCs w:val="13"/>
          <w:color w:val="auto"/>
        </w:rPr>
        <w:t xml:space="preserve"> </w:t>
      </w:r>
      <w:r>
        <w:rPr>
          <w:rFonts w:ascii="Arial" w:cs="Arial" w:eastAsia="Arial" w:hAnsi="Arial"/>
          <w:sz w:val="13"/>
          <w:szCs w:val="13"/>
          <w:i w:val="1"/>
          <w:iCs w:val="1"/>
          <w:color w:val="auto"/>
        </w:rPr>
        <w:t>of CSTI (www.cellsignal.com). The foregoing website is maintained by CSTI, and Blueprint Medicines is not responsible for its content.</w:t>
      </w:r>
    </w:p>
    <w:p>
      <w:pPr>
        <w:spacing w:after="0" w:line="175" w:lineRule="exact"/>
        <w:rPr>
          <w:sz w:val="20"/>
          <w:szCs w:val="20"/>
          <w:color w:val="auto"/>
        </w:rPr>
      </w:pPr>
    </w:p>
    <w:p>
      <w:pPr>
        <w:ind w:right="99" w:firstLine="648"/>
        <w:spacing w:after="0" w:line="182" w:lineRule="exact"/>
        <w:rPr>
          <w:sz w:val="20"/>
          <w:szCs w:val="20"/>
          <w:color w:val="auto"/>
        </w:rPr>
      </w:pPr>
      <w:r>
        <w:rPr>
          <w:rFonts w:ascii="Arial" w:cs="Arial" w:eastAsia="Arial" w:hAnsi="Arial"/>
          <w:sz w:val="18"/>
          <w:szCs w:val="18"/>
          <w:color w:val="auto"/>
        </w:rPr>
        <w:t>We demonstrated significant anti-tumor efficacy with BLU</w:t>
      </w:r>
      <w:r>
        <w:rPr>
          <w:rFonts w:ascii="MS PGothic" w:cs="MS PGothic" w:eastAsia="MS PGothic" w:hAnsi="MS PGothic"/>
          <w:sz w:val="18"/>
          <w:szCs w:val="18"/>
          <w:color w:val="auto"/>
        </w:rPr>
        <w:t>‑</w:t>
      </w:r>
      <w:r>
        <w:rPr>
          <w:rFonts w:ascii="Arial" w:cs="Arial" w:eastAsia="Arial" w:hAnsi="Arial"/>
          <w:sz w:val="18"/>
          <w:szCs w:val="18"/>
          <w:color w:val="auto"/>
        </w:rPr>
        <w:t xml:space="preserve">554 in two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HCC xenograft models where tumor growth is driven by FGFR4 signaling. BLU</w:t>
      </w:r>
      <w:r>
        <w:rPr>
          <w:rFonts w:ascii="MS PGothic" w:cs="MS PGothic" w:eastAsia="MS PGothic" w:hAnsi="MS PGothic"/>
          <w:sz w:val="18"/>
          <w:szCs w:val="18"/>
          <w:color w:val="auto"/>
        </w:rPr>
        <w:t>‑</w:t>
      </w:r>
      <w:r>
        <w:rPr>
          <w:rFonts w:ascii="Arial" w:cs="Arial" w:eastAsia="Arial" w:hAnsi="Arial"/>
          <w:sz w:val="18"/>
          <w:szCs w:val="18"/>
          <w:color w:val="auto"/>
        </w:rPr>
        <w:t>554 administered orally for 21 days resulted in robust and dose</w:t>
      </w:r>
      <w:r>
        <w:rPr>
          <w:rFonts w:ascii="MS PGothic" w:cs="MS PGothic" w:eastAsia="MS PGothic" w:hAnsi="MS PGothic"/>
          <w:sz w:val="18"/>
          <w:szCs w:val="18"/>
          <w:color w:val="auto"/>
        </w:rPr>
        <w:t>‑</w:t>
      </w:r>
      <w:r>
        <w:rPr>
          <w:rFonts w:ascii="Arial" w:cs="Arial" w:eastAsia="Arial" w:hAnsi="Arial"/>
          <w:sz w:val="18"/>
          <w:szCs w:val="18"/>
          <w:color w:val="auto"/>
        </w:rPr>
        <w:t>dependent growth inhibition of Hep3B tumors, an FGF19</w:t>
      </w:r>
      <w:r>
        <w:rPr>
          <w:rFonts w:ascii="MS PGothic" w:cs="MS PGothic" w:eastAsia="MS PGothic" w:hAnsi="MS PGothic"/>
          <w:sz w:val="18"/>
          <w:szCs w:val="18"/>
          <w:color w:val="auto"/>
        </w:rPr>
        <w:t>‑</w:t>
      </w:r>
      <w:r>
        <w:rPr>
          <w:rFonts w:ascii="Arial" w:cs="Arial" w:eastAsia="Arial" w:hAnsi="Arial"/>
          <w:sz w:val="18"/>
          <w:szCs w:val="18"/>
          <w:color w:val="auto"/>
        </w:rPr>
        <w:t>amplified model. At a dose of 100 mg/kg BID, a well</w:t>
      </w:r>
      <w:r>
        <w:rPr>
          <w:rFonts w:ascii="MS PGothic" w:cs="MS PGothic" w:eastAsia="MS PGothic" w:hAnsi="MS PGothic"/>
          <w:sz w:val="18"/>
          <w:szCs w:val="18"/>
          <w:color w:val="auto"/>
        </w:rPr>
        <w:t>‑</w:t>
      </w:r>
      <w:r>
        <w:rPr>
          <w:rFonts w:ascii="Arial" w:cs="Arial" w:eastAsia="Arial" w:hAnsi="Arial"/>
          <w:sz w:val="18"/>
          <w:szCs w:val="18"/>
          <w:color w:val="auto"/>
        </w:rPr>
        <w:t>tolerated dose, BLU</w:t>
      </w:r>
      <w:r>
        <w:rPr>
          <w:rFonts w:ascii="MS PGothic" w:cs="MS PGothic" w:eastAsia="MS PGothic" w:hAnsi="MS PGothic"/>
          <w:sz w:val="18"/>
          <w:szCs w:val="18"/>
          <w:color w:val="auto"/>
        </w:rPr>
        <w:t>‑</w:t>
      </w:r>
      <w:r>
        <w:rPr>
          <w:rFonts w:ascii="Arial" w:cs="Arial" w:eastAsia="Arial" w:hAnsi="Arial"/>
          <w:sz w:val="18"/>
          <w:szCs w:val="18"/>
          <w:color w:val="auto"/>
        </w:rPr>
        <w:t>554 induced complete remission in a subset of mice for at least 30 days after cessation of treatment. We observed a correlation between the concentration of BLU</w:t>
      </w:r>
      <w:r>
        <w:rPr>
          <w:rFonts w:ascii="MS PGothic" w:cs="MS PGothic" w:eastAsia="MS PGothic" w:hAnsi="MS PGothic"/>
          <w:sz w:val="18"/>
          <w:szCs w:val="18"/>
          <w:color w:val="auto"/>
        </w:rPr>
        <w:t>‑</w:t>
      </w:r>
      <w:r>
        <w:rPr>
          <w:rFonts w:ascii="Arial" w:cs="Arial" w:eastAsia="Arial" w:hAnsi="Arial"/>
          <w:sz w:val="18"/>
          <w:szCs w:val="18"/>
          <w:color w:val="auto"/>
        </w:rPr>
        <w:t>554 in mouse plasma and the level of expression of CYP7A1, a downstream biomarker, in the tumor. At the 100 mg/kg BID dose, significant induction of CYP7A1 expression was seen, which is an expected consequence of inhibiting FGFR4 signaling. This correlation between BLU</w:t>
      </w:r>
      <w:r>
        <w:rPr>
          <w:rFonts w:ascii="MS PGothic" w:cs="MS PGothic" w:eastAsia="MS PGothic" w:hAnsi="MS PGothic"/>
          <w:sz w:val="18"/>
          <w:szCs w:val="18"/>
          <w:color w:val="auto"/>
        </w:rPr>
        <w:t>‑</w:t>
      </w:r>
      <w:r>
        <w:rPr>
          <w:rFonts w:ascii="Arial" w:cs="Arial" w:eastAsia="Arial" w:hAnsi="Arial"/>
          <w:sz w:val="18"/>
          <w:szCs w:val="18"/>
          <w:color w:val="auto"/>
        </w:rPr>
        <w:t>554 plasma concentration, the level of induction of CYP7A1 expression and anti</w:t>
      </w:r>
      <w:r>
        <w:rPr>
          <w:rFonts w:ascii="MS PGothic" w:cs="MS PGothic" w:eastAsia="MS PGothic" w:hAnsi="MS PGothic"/>
          <w:sz w:val="18"/>
          <w:szCs w:val="18"/>
          <w:color w:val="auto"/>
        </w:rPr>
        <w:t>‑</w:t>
      </w:r>
      <w:r>
        <w:rPr>
          <w:rFonts w:ascii="Arial" w:cs="Arial" w:eastAsia="Arial" w:hAnsi="Arial"/>
          <w:sz w:val="18"/>
          <w:szCs w:val="18"/>
          <w:color w:val="auto"/>
        </w:rPr>
        <w:t>tumor efficacy supports that the observed anti</w:t>
      </w:r>
      <w:r>
        <w:rPr>
          <w:rFonts w:ascii="MS PGothic" w:cs="MS PGothic" w:eastAsia="MS PGothic" w:hAnsi="MS PGothic"/>
          <w:sz w:val="18"/>
          <w:szCs w:val="18"/>
          <w:color w:val="auto"/>
        </w:rPr>
        <w:t>‑</w:t>
      </w:r>
      <w:r>
        <w:rPr>
          <w:rFonts w:ascii="Arial" w:cs="Arial" w:eastAsia="Arial" w:hAnsi="Arial"/>
          <w:sz w:val="18"/>
          <w:szCs w:val="18"/>
          <w:color w:val="auto"/>
        </w:rPr>
        <w:t>tumor response is due to inhibition of FGFR4 signaling.</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1631315</wp:posOffset>
            </wp:positionH>
            <wp:positionV relativeFrom="paragraph">
              <wp:posOffset>135255</wp:posOffset>
            </wp:positionV>
            <wp:extent cx="2495550" cy="13633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95550"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right="240"/>
        <w:spacing w:after="0" w:line="159" w:lineRule="exact"/>
        <w:rPr>
          <w:sz w:val="20"/>
          <w:szCs w:val="20"/>
          <w:color w:val="auto"/>
        </w:rPr>
      </w:pPr>
      <w:r>
        <w:rPr>
          <w:rFonts w:ascii="Arial" w:cs="Arial" w:eastAsia="Arial" w:hAnsi="Arial"/>
          <w:sz w:val="14"/>
          <w:szCs w:val="14"/>
          <w:color w:val="auto"/>
        </w:rPr>
        <w:t>BLU</w:t>
      </w:r>
      <w:r>
        <w:rPr>
          <w:rFonts w:ascii="MS PGothic" w:cs="MS PGothic" w:eastAsia="MS PGothic" w:hAnsi="MS PGothic"/>
          <w:sz w:val="14"/>
          <w:szCs w:val="14"/>
          <w:color w:val="auto"/>
        </w:rPr>
        <w:t>‑</w:t>
      </w:r>
      <w:r>
        <w:rPr>
          <w:rFonts w:ascii="Arial" w:cs="Arial" w:eastAsia="Arial" w:hAnsi="Arial"/>
          <w:sz w:val="14"/>
          <w:szCs w:val="14"/>
          <w:color w:val="auto"/>
        </w:rPr>
        <w:t>554 elicits dose</w:t>
      </w:r>
      <w:r>
        <w:rPr>
          <w:rFonts w:ascii="MS PGothic" w:cs="MS PGothic" w:eastAsia="MS PGothic" w:hAnsi="MS PGothic"/>
          <w:sz w:val="14"/>
          <w:szCs w:val="14"/>
          <w:color w:val="auto"/>
        </w:rPr>
        <w:t>‑</w:t>
      </w:r>
      <w:r>
        <w:rPr>
          <w:rFonts w:ascii="Arial" w:cs="Arial" w:eastAsia="Arial" w:hAnsi="Arial"/>
          <w:sz w:val="14"/>
          <w:szCs w:val="14"/>
          <w:color w:val="auto"/>
        </w:rPr>
        <w:t>dependent tumor inhibition in the Hep3B tumor xenograft mouse model, a model of FGF19 amplification. In the figure above, BID means twice a day and PO means orally.</w:t>
      </w:r>
    </w:p>
    <w:p>
      <w:pPr>
        <w:spacing w:after="0" w:line="174" w:lineRule="exact"/>
        <w:rPr>
          <w:sz w:val="20"/>
          <w:szCs w:val="20"/>
          <w:color w:val="auto"/>
        </w:rPr>
      </w:pPr>
    </w:p>
    <w:p>
      <w:pPr>
        <w:ind w:firstLine="648"/>
        <w:spacing w:after="0" w:line="187" w:lineRule="exact"/>
        <w:rPr>
          <w:sz w:val="20"/>
          <w:szCs w:val="20"/>
          <w:color w:val="auto"/>
        </w:rPr>
      </w:pPr>
      <w:r>
        <w:rPr>
          <w:rFonts w:ascii="Arial" w:cs="Arial" w:eastAsia="Arial" w:hAnsi="Arial"/>
          <w:sz w:val="16"/>
          <w:szCs w:val="16"/>
          <w:color w:val="auto"/>
        </w:rPr>
        <w:t>Aberrant FGFR4 signaling can also be driven by FGF19 overexpression in the absence of amplification. Hence, we have also evaluated the anti</w:t>
      </w:r>
      <w:r>
        <w:rPr>
          <w:rFonts w:ascii="MS PGothic" w:cs="MS PGothic" w:eastAsia="MS PGothic" w:hAnsi="MS PGothic"/>
          <w:sz w:val="16"/>
          <w:szCs w:val="16"/>
          <w:color w:val="auto"/>
        </w:rPr>
        <w:t>‑</w:t>
      </w:r>
      <w:r>
        <w:rPr>
          <w:rFonts w:ascii="Arial" w:cs="Arial" w:eastAsia="Arial" w:hAnsi="Arial"/>
          <w:sz w:val="16"/>
          <w:szCs w:val="16"/>
          <w:color w:val="auto"/>
        </w:rPr>
        <w:t>tumor efficacy of BLU</w:t>
      </w:r>
      <w:r>
        <w:rPr>
          <w:rFonts w:ascii="MS PGothic" w:cs="MS PGothic" w:eastAsia="MS PGothic" w:hAnsi="MS PGothic"/>
          <w:sz w:val="16"/>
          <w:szCs w:val="16"/>
          <w:color w:val="auto"/>
        </w:rPr>
        <w:t>‑</w:t>
      </w:r>
      <w:r>
        <w:rPr>
          <w:rFonts w:ascii="Arial" w:cs="Arial" w:eastAsia="Arial" w:hAnsi="Arial"/>
          <w:sz w:val="16"/>
          <w:szCs w:val="16"/>
          <w:color w:val="auto"/>
        </w:rPr>
        <w:t>554 in a patient</w:t>
      </w:r>
      <w:r>
        <w:rPr>
          <w:rFonts w:ascii="MS PGothic" w:cs="MS PGothic" w:eastAsia="MS PGothic" w:hAnsi="MS PGothic"/>
          <w:sz w:val="16"/>
          <w:szCs w:val="16"/>
          <w:color w:val="auto"/>
        </w:rPr>
        <w:t>‑</w:t>
      </w:r>
      <w:r>
        <w:rPr>
          <w:rFonts w:ascii="Arial" w:cs="Arial" w:eastAsia="Arial" w:hAnsi="Arial"/>
          <w:sz w:val="16"/>
          <w:szCs w:val="16"/>
          <w:color w:val="auto"/>
        </w:rPr>
        <w:t>derived xenograft model driven by FGF19 overexpression in the absence of amplification. Treatment with BLU</w:t>
      </w:r>
      <w:r>
        <w:rPr>
          <w:rFonts w:ascii="MS PGothic" w:cs="MS PGothic" w:eastAsia="MS PGothic" w:hAnsi="MS PGothic"/>
          <w:sz w:val="16"/>
          <w:szCs w:val="16"/>
          <w:color w:val="auto"/>
        </w:rPr>
        <w:t>‑</w:t>
      </w:r>
      <w:r>
        <w:rPr>
          <w:rFonts w:ascii="Arial" w:cs="Arial" w:eastAsia="Arial" w:hAnsi="Arial"/>
          <w:sz w:val="16"/>
          <w:szCs w:val="16"/>
          <w:color w:val="auto"/>
        </w:rPr>
        <w:t>554 led to dose</w:t>
      </w:r>
      <w:r>
        <w:rPr>
          <w:rFonts w:ascii="MS PGothic" w:cs="MS PGothic" w:eastAsia="MS PGothic" w:hAnsi="MS PGothic"/>
          <w:sz w:val="16"/>
          <w:szCs w:val="16"/>
          <w:color w:val="auto"/>
        </w:rPr>
        <w:t>‑</w:t>
      </w:r>
      <w:r>
        <w:rPr>
          <w:rFonts w:ascii="Arial" w:cs="Arial" w:eastAsia="Arial" w:hAnsi="Arial"/>
          <w:sz w:val="16"/>
          <w:szCs w:val="16"/>
          <w:color w:val="auto"/>
        </w:rPr>
        <w:t>dependent tumor growth inhibition. The anti</w:t>
      </w:r>
      <w:r>
        <w:rPr>
          <w:rFonts w:ascii="MS PGothic" w:cs="MS PGothic" w:eastAsia="MS PGothic" w:hAnsi="MS PGothic"/>
          <w:sz w:val="16"/>
          <w:szCs w:val="16"/>
          <w:color w:val="auto"/>
        </w:rPr>
        <w:t>‑</w:t>
      </w:r>
      <w:r>
        <w:rPr>
          <w:rFonts w:ascii="Arial" w:cs="Arial" w:eastAsia="Arial" w:hAnsi="Arial"/>
          <w:sz w:val="16"/>
          <w:szCs w:val="16"/>
          <w:color w:val="auto"/>
        </w:rPr>
        <w:t>tumor efficacy of sorafenib, the only approved systemic treatment for HCC, was also evaluated in this study. Sorafenib dosed once daily at 40 mg/kg, a dose that led to body weight loss in the mice, had only a modest effect on tumor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1219835</wp:posOffset>
            </wp:positionH>
            <wp:positionV relativeFrom="paragraph">
              <wp:posOffset>120650</wp:posOffset>
            </wp:positionV>
            <wp:extent cx="3327400" cy="14490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27400"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660" w:right="100"/>
        <w:spacing w:after="0" w:line="159" w:lineRule="exact"/>
        <w:rPr>
          <w:sz w:val="20"/>
          <w:szCs w:val="20"/>
          <w:color w:val="auto"/>
        </w:rPr>
      </w:pPr>
      <w:r>
        <w:rPr>
          <w:rFonts w:ascii="Arial" w:cs="Arial" w:eastAsia="Arial" w:hAnsi="Arial"/>
          <w:sz w:val="12"/>
          <w:szCs w:val="12"/>
          <w:color w:val="auto"/>
        </w:rPr>
        <w:t>BLU</w:t>
      </w:r>
      <w:r>
        <w:rPr>
          <w:rFonts w:ascii="MS PGothic" w:cs="MS PGothic" w:eastAsia="MS PGothic" w:hAnsi="MS PGothic"/>
          <w:sz w:val="12"/>
          <w:szCs w:val="12"/>
          <w:color w:val="auto"/>
        </w:rPr>
        <w:t>‑</w:t>
      </w:r>
      <w:r>
        <w:rPr>
          <w:rFonts w:ascii="Arial" w:cs="Arial" w:eastAsia="Arial" w:hAnsi="Arial"/>
          <w:sz w:val="12"/>
          <w:szCs w:val="12"/>
          <w:color w:val="auto"/>
        </w:rPr>
        <w:t>554 elicits dose</w:t>
      </w:r>
      <w:r>
        <w:rPr>
          <w:rFonts w:ascii="MS PGothic" w:cs="MS PGothic" w:eastAsia="MS PGothic" w:hAnsi="MS PGothic"/>
          <w:sz w:val="12"/>
          <w:szCs w:val="12"/>
          <w:color w:val="auto"/>
        </w:rPr>
        <w:t>‑</w:t>
      </w:r>
      <w:r>
        <w:rPr>
          <w:rFonts w:ascii="Arial" w:cs="Arial" w:eastAsia="Arial" w:hAnsi="Arial"/>
          <w:sz w:val="12"/>
          <w:szCs w:val="12"/>
          <w:color w:val="auto"/>
        </w:rPr>
        <w:t>dependent tumor inhibition in a patient</w:t>
      </w:r>
      <w:r>
        <w:rPr>
          <w:rFonts w:ascii="MS PGothic" w:cs="MS PGothic" w:eastAsia="MS PGothic" w:hAnsi="MS PGothic"/>
          <w:sz w:val="12"/>
          <w:szCs w:val="12"/>
          <w:color w:val="auto"/>
        </w:rPr>
        <w:t>‑</w:t>
      </w:r>
      <w:r>
        <w:rPr>
          <w:rFonts w:ascii="Arial" w:cs="Arial" w:eastAsia="Arial" w:hAnsi="Arial"/>
          <w:sz w:val="12"/>
          <w:szCs w:val="12"/>
          <w:color w:val="auto"/>
        </w:rPr>
        <w:t>derived tumor xenograft mouse model in which tumor growth is driven by FGF19 overexpression in the absence of FGF19 amplification. In the figure above, QD means once a day, BID means twice a day and PO means orally.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Taken together, the data presented above indicate that potent and selective FGFR4 inhibition leads to robust</w:t>
      </w:r>
    </w:p>
    <w:p>
      <w:pPr>
        <w:spacing w:after="0" w:line="176" w:lineRule="exact"/>
        <w:rPr>
          <w:sz w:val="20"/>
          <w:szCs w:val="20"/>
          <w:color w:val="auto"/>
        </w:rPr>
      </w:pPr>
      <w:r>
        <w:rPr>
          <w:rFonts w:ascii="Arial" w:cs="Arial" w:eastAsia="Arial" w:hAnsi="Arial"/>
          <w:sz w:val="16"/>
          <w:szCs w:val="16"/>
          <w:color w:val="auto"/>
        </w:rPr>
        <w:t>anti</w:t>
      </w:r>
      <w:r>
        <w:rPr>
          <w:rFonts w:ascii="MS PGothic" w:cs="MS PGothic" w:eastAsia="MS PGothic" w:hAnsi="MS PGothic"/>
          <w:sz w:val="16"/>
          <w:szCs w:val="16"/>
          <w:color w:val="auto"/>
        </w:rPr>
        <w:t>‑</w:t>
      </w:r>
      <w:r>
        <w:rPr>
          <w:rFonts w:ascii="Arial" w:cs="Arial" w:eastAsia="Arial" w:hAnsi="Arial"/>
          <w:sz w:val="16"/>
          <w:szCs w:val="16"/>
          <w:color w:val="auto"/>
        </w:rPr>
        <w:t xml:space="preserve">tumor effects in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where tumor growth is driven by FGF19 amplification or FGF19 overexpression in the</w:t>
      </w:r>
    </w:p>
    <w:p>
      <w:pPr>
        <w:spacing w:after="0"/>
        <w:rPr>
          <w:sz w:val="20"/>
          <w:szCs w:val="20"/>
          <w:color w:val="auto"/>
        </w:rPr>
      </w:pPr>
      <w:r>
        <w:rPr>
          <w:rFonts w:ascii="Arial" w:cs="Arial" w:eastAsia="Arial" w:hAnsi="Arial"/>
          <w:sz w:val="18"/>
          <w:szCs w:val="18"/>
          <w:color w:val="auto"/>
        </w:rPr>
        <w:t>absence of amplification.</w:t>
      </w:r>
    </w:p>
    <w:p>
      <w:pPr>
        <w:spacing w:after="0" w:line="169" w:lineRule="exact"/>
        <w:rPr>
          <w:sz w:val="20"/>
          <w:szCs w:val="20"/>
          <w:color w:val="auto"/>
        </w:rPr>
      </w:pPr>
    </w:p>
    <w:p>
      <w:pPr>
        <w:ind w:right="80" w:firstLine="648"/>
        <w:spacing w:after="0" w:line="224" w:lineRule="auto"/>
        <w:rPr>
          <w:sz w:val="20"/>
          <w:szCs w:val="20"/>
          <w:color w:val="auto"/>
        </w:rPr>
      </w:pPr>
      <w:r>
        <w:rPr>
          <w:rFonts w:ascii="Arial" w:cs="Arial" w:eastAsia="Arial" w:hAnsi="Arial"/>
          <w:sz w:val="18"/>
          <w:szCs w:val="18"/>
          <w:color w:val="auto"/>
        </w:rPr>
        <w:t>These findings, together with our estimate that approximately 30% of patients with HCC have tumors with aberrantly activated FGFR4 signaling, provide critical information to identify a potential responder population and informed patient selection criteria in our Phase 1 clinical trial.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 Clinical Trial for Patients with Advanced HCC</w:t>
      </w:r>
    </w:p>
    <w:p>
      <w:pPr>
        <w:spacing w:after="0" w:line="185" w:lineRule="exact"/>
        <w:rPr>
          <w:sz w:val="20"/>
          <w:szCs w:val="20"/>
          <w:color w:val="auto"/>
        </w:rPr>
      </w:pPr>
    </w:p>
    <w:p>
      <w:pPr>
        <w:ind w:right="20" w:firstLine="648"/>
        <w:spacing w:after="0" w:line="194" w:lineRule="exact"/>
        <w:rPr>
          <w:sz w:val="20"/>
          <w:szCs w:val="20"/>
          <w:color w:val="auto"/>
        </w:rPr>
      </w:pPr>
      <w:r>
        <w:rPr>
          <w:rFonts w:ascii="Arial" w:cs="Arial" w:eastAsia="Arial" w:hAnsi="Arial"/>
          <w:sz w:val="18"/>
          <w:szCs w:val="18"/>
          <w:color w:val="auto"/>
        </w:rPr>
        <w:t>BLU</w:t>
      </w:r>
      <w:r>
        <w:rPr>
          <w:rFonts w:ascii="MS PGothic" w:cs="MS PGothic" w:eastAsia="MS PGothic" w:hAnsi="MS PGothic"/>
          <w:sz w:val="18"/>
          <w:szCs w:val="18"/>
          <w:color w:val="auto"/>
        </w:rPr>
        <w:t>‑</w:t>
      </w:r>
      <w:r>
        <w:rPr>
          <w:rFonts w:ascii="Arial" w:cs="Arial" w:eastAsia="Arial" w:hAnsi="Arial"/>
          <w:sz w:val="18"/>
          <w:szCs w:val="18"/>
          <w:color w:val="auto"/>
        </w:rPr>
        <w:t>554 is currently being evaluated in the dose expansion portion of a Phase 1 clinical trial in patients with advanced HCC at the MTD of 600 mg QD, and enrollment is ongoing. In October 2017, we presented updated data from this ongoing clinical trial at European Society of Medical Oncology 2017 Congress.</w:t>
      </w:r>
    </w:p>
    <w:p>
      <w:pPr>
        <w:spacing w:after="0" w:line="163" w:lineRule="exact"/>
        <w:rPr>
          <w:sz w:val="20"/>
          <w:szCs w:val="20"/>
          <w:color w:val="auto"/>
        </w:rPr>
      </w:pPr>
    </w:p>
    <w:p>
      <w:pPr>
        <w:ind w:right="20" w:firstLine="648"/>
        <w:spacing w:after="0" w:line="184" w:lineRule="exact"/>
        <w:rPr>
          <w:sz w:val="20"/>
          <w:szCs w:val="20"/>
          <w:color w:val="auto"/>
        </w:rPr>
      </w:pPr>
      <w:r>
        <w:rPr>
          <w:rFonts w:ascii="Arial" w:cs="Arial" w:eastAsia="Arial" w:hAnsi="Arial"/>
          <w:sz w:val="16"/>
          <w:szCs w:val="16"/>
          <w:color w:val="auto"/>
        </w:rPr>
        <w:t>As of the data cutoff of August 18, 2017, 77 patients had been treated with BLU</w:t>
      </w:r>
      <w:r>
        <w:rPr>
          <w:rFonts w:ascii="MS PGothic" w:cs="MS PGothic" w:eastAsia="MS PGothic" w:hAnsi="MS PGothic"/>
          <w:sz w:val="16"/>
          <w:szCs w:val="16"/>
          <w:color w:val="auto"/>
        </w:rPr>
        <w:t>‑</w:t>
      </w:r>
      <w:r>
        <w:rPr>
          <w:rFonts w:ascii="Arial" w:cs="Arial" w:eastAsia="Arial" w:hAnsi="Arial"/>
          <w:sz w:val="16"/>
          <w:szCs w:val="16"/>
          <w:color w:val="auto"/>
        </w:rPr>
        <w:t>554 in the dose escalation and expansion portions of the Phase 1 clinical trial at five dose levels (ranging from 140 mg QD to 900 mg QD), including 44 patients with FGFR4-activated HCC. FGFR4-activated HCC was defined as at least one percent tumor expression of FGF19, the FGFR4 ligand, as measured by an immunohistochemistry, or IHC, assay. In general, the enrolled population was heavily pretreated: 82% received prior TKI treatment, 23% received prior immunotherapy and 91% received prior systemic therapy. PK analysis demonstrated rapid oral absorption across all dose levels, with a mean half</w:t>
      </w:r>
      <w:r>
        <w:rPr>
          <w:rFonts w:ascii="MS PGothic" w:cs="MS PGothic" w:eastAsia="MS PGothic" w:hAnsi="MS PGothic"/>
          <w:sz w:val="16"/>
          <w:szCs w:val="16"/>
          <w:color w:val="auto"/>
        </w:rPr>
        <w:t>‑</w:t>
      </w:r>
      <w:r>
        <w:rPr>
          <w:rFonts w:ascii="Arial" w:cs="Arial" w:eastAsia="Arial" w:hAnsi="Arial"/>
          <w:sz w:val="16"/>
          <w:szCs w:val="16"/>
          <w:color w:val="auto"/>
        </w:rPr>
        <w:t>life of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80"/>
        <w:spacing w:after="0" w:line="203" w:lineRule="exact"/>
        <w:rPr>
          <w:sz w:val="20"/>
          <w:szCs w:val="20"/>
          <w:color w:val="auto"/>
        </w:rPr>
      </w:pPr>
      <w:r>
        <w:rPr>
          <w:rFonts w:ascii="Arial" w:cs="Arial" w:eastAsia="Arial" w:hAnsi="Arial"/>
          <w:sz w:val="18"/>
          <w:szCs w:val="18"/>
          <w:color w:val="auto"/>
        </w:rPr>
        <w:t>approximately 17 hours and exposure in the expected therapeutic range based on HCC xenograft models. Collectively, we believe that these data support a once</w:t>
      </w:r>
      <w:r>
        <w:rPr>
          <w:rFonts w:ascii="MS PGothic" w:cs="MS PGothic" w:eastAsia="MS PGothic" w:hAnsi="MS PGothic"/>
          <w:sz w:val="18"/>
          <w:szCs w:val="18"/>
          <w:color w:val="auto"/>
        </w:rPr>
        <w:t>‑</w:t>
      </w:r>
      <w:r>
        <w:rPr>
          <w:rFonts w:ascii="Arial" w:cs="Arial" w:eastAsia="Arial" w:hAnsi="Arial"/>
          <w:sz w:val="18"/>
          <w:szCs w:val="18"/>
          <w:color w:val="auto"/>
        </w:rPr>
        <w:t>daily dosing regimen.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Safety Data. </w:t>
      </w:r>
      <w:r>
        <w:rPr>
          <w:rFonts w:ascii="Arial" w:cs="Arial" w:eastAsia="Arial" w:hAnsi="Arial"/>
          <w:sz w:val="16"/>
          <w:szCs w:val="16"/>
          <w:color w:val="auto"/>
        </w:rPr>
        <w:t>As of the data cutoff of August 18, 2017, the majority of AEs reported by investigators were Grade 1 or</w:t>
      </w:r>
    </w:p>
    <w:p>
      <w:pPr>
        <w:spacing w:after="0" w:line="8" w:lineRule="exact"/>
        <w:rPr>
          <w:sz w:val="20"/>
          <w:szCs w:val="20"/>
          <w:color w:val="auto"/>
        </w:rPr>
      </w:pPr>
    </w:p>
    <w:p>
      <w:pPr>
        <w:ind w:firstLine="3"/>
        <w:spacing w:after="0" w:line="182" w:lineRule="exact"/>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Across all grades, the most common AEs reported by investigators related to BLU</w:t>
      </w:r>
      <w:r>
        <w:rPr>
          <w:rFonts w:ascii="MS PGothic" w:cs="MS PGothic" w:eastAsia="MS PGothic" w:hAnsi="MS PGothic"/>
          <w:sz w:val="18"/>
          <w:szCs w:val="18"/>
          <w:color w:val="auto"/>
        </w:rPr>
        <w:t>‑</w:t>
      </w:r>
      <w:r>
        <w:rPr>
          <w:rFonts w:ascii="Arial" w:cs="Arial" w:eastAsia="Arial" w:hAnsi="Arial"/>
          <w:sz w:val="18"/>
          <w:szCs w:val="18"/>
          <w:color w:val="auto"/>
        </w:rPr>
        <w:t>554 included diarrhea (71%), nausea (42%), vomiting (36%), transaminase elevation (AST 34% and ALT 32%) and fatigue (29%). Grade 3 or higher AEs related to BLU</w:t>
      </w:r>
      <w:r>
        <w:rPr>
          <w:rFonts w:ascii="MS PGothic" w:cs="MS PGothic" w:eastAsia="MS PGothic" w:hAnsi="MS PGothic"/>
          <w:sz w:val="18"/>
          <w:szCs w:val="18"/>
          <w:color w:val="auto"/>
        </w:rPr>
        <w:t>‑</w:t>
      </w:r>
      <w:r>
        <w:rPr>
          <w:rFonts w:ascii="Arial" w:cs="Arial" w:eastAsia="Arial" w:hAnsi="Arial"/>
          <w:sz w:val="18"/>
          <w:szCs w:val="18"/>
          <w:color w:val="auto"/>
        </w:rPr>
        <w:t>554 occurring in five or more patients included anemia, diarrhea and transaminase elevation (AST and ALT). Among all 77 patients treated with BLU</w:t>
      </w:r>
      <w:r>
        <w:rPr>
          <w:rFonts w:ascii="MS PGothic" w:cs="MS PGothic" w:eastAsia="MS PGothic" w:hAnsi="MS PGothic"/>
          <w:sz w:val="18"/>
          <w:szCs w:val="18"/>
          <w:color w:val="auto"/>
        </w:rPr>
        <w:t>‑</w:t>
      </w:r>
      <w:r>
        <w:rPr>
          <w:rFonts w:ascii="Arial" w:cs="Arial" w:eastAsia="Arial" w:hAnsi="Arial"/>
          <w:sz w:val="18"/>
          <w:szCs w:val="18"/>
          <w:color w:val="auto"/>
        </w:rPr>
        <w:t>554, 58 patients discontinued treatment with BLU</w:t>
      </w:r>
      <w:r>
        <w:rPr>
          <w:rFonts w:ascii="MS PGothic" w:cs="MS PGothic" w:eastAsia="MS PGothic" w:hAnsi="MS PGothic"/>
          <w:sz w:val="18"/>
          <w:szCs w:val="18"/>
          <w:color w:val="auto"/>
        </w:rPr>
        <w:t>‑</w:t>
      </w:r>
      <w:r>
        <w:rPr>
          <w:rFonts w:ascii="Arial" w:cs="Arial" w:eastAsia="Arial" w:hAnsi="Arial"/>
          <w:sz w:val="18"/>
          <w:szCs w:val="18"/>
          <w:color w:val="auto"/>
        </w:rPr>
        <w:t>554, including 42 patients due to disease progression, 11 patients due to treatment</w:t>
      </w:r>
      <w:r>
        <w:rPr>
          <w:rFonts w:ascii="MS PGothic" w:cs="MS PGothic" w:eastAsia="MS PGothic" w:hAnsi="MS PGothic"/>
          <w:sz w:val="18"/>
          <w:szCs w:val="18"/>
          <w:color w:val="auto"/>
        </w:rPr>
        <w:t>‑</w:t>
      </w:r>
      <w:r>
        <w:rPr>
          <w:rFonts w:ascii="Arial" w:cs="Arial" w:eastAsia="Arial" w:hAnsi="Arial"/>
          <w:sz w:val="18"/>
          <w:szCs w:val="18"/>
          <w:color w:val="auto"/>
        </w:rPr>
        <w:t>related AEs, three patients who withdrew consent and two patients due to the investigator’s decision.</w:t>
      </w:r>
    </w:p>
    <w:p>
      <w:pPr>
        <w:spacing w:after="0" w:line="162" w:lineRule="exact"/>
        <w:rPr>
          <w:sz w:val="20"/>
          <w:szCs w:val="20"/>
          <w:color w:val="auto"/>
        </w:rPr>
      </w:pPr>
    </w:p>
    <w:p>
      <w:pPr>
        <w:ind w:firstLine="648"/>
        <w:spacing w:after="0" w:line="194" w:lineRule="exact"/>
        <w:rPr>
          <w:sz w:val="20"/>
          <w:szCs w:val="20"/>
          <w:color w:val="auto"/>
        </w:rPr>
      </w:pPr>
      <w:r>
        <w:rPr>
          <w:rFonts w:ascii="Arial" w:cs="Arial" w:eastAsia="Arial" w:hAnsi="Arial"/>
          <w:sz w:val="16"/>
          <w:szCs w:val="16"/>
          <w:i w:val="1"/>
          <w:iCs w:val="1"/>
          <w:color w:val="auto"/>
        </w:rPr>
        <w:t xml:space="preserve">Clinical Activity Data. </w:t>
      </w:r>
      <w:r>
        <w:rPr>
          <w:rFonts w:ascii="Arial" w:cs="Arial" w:eastAsia="Arial" w:hAnsi="Arial"/>
          <w:sz w:val="16"/>
          <w:szCs w:val="16"/>
          <w:color w:val="auto"/>
        </w:rPr>
        <w:t>As of the data cutoff of August 18, 2017, 67 patients were evaluable for response assessment.</w:t>
      </w:r>
      <w:r>
        <w:rPr>
          <w:rFonts w:ascii="Arial" w:cs="Arial" w:eastAsia="Arial" w:hAnsi="Arial"/>
          <w:sz w:val="16"/>
          <w:szCs w:val="16"/>
          <w:i w:val="1"/>
          <w:iCs w:val="1"/>
          <w:color w:val="auto"/>
        </w:rPr>
        <w:t xml:space="preserve"> </w:t>
      </w:r>
      <w:r>
        <w:rPr>
          <w:rFonts w:ascii="Arial" w:cs="Arial" w:eastAsia="Arial" w:hAnsi="Arial"/>
          <w:sz w:val="16"/>
          <w:szCs w:val="16"/>
          <w:color w:val="auto"/>
        </w:rPr>
        <w:t>An additional 10 patients were treated with BLU</w:t>
      </w:r>
      <w:r>
        <w:rPr>
          <w:rFonts w:ascii="MS PGothic" w:cs="MS PGothic" w:eastAsia="MS PGothic" w:hAnsi="MS PGothic"/>
          <w:sz w:val="16"/>
          <w:szCs w:val="16"/>
          <w:color w:val="auto"/>
        </w:rPr>
        <w:t>‑</w:t>
      </w:r>
      <w:r>
        <w:rPr>
          <w:rFonts w:ascii="Arial" w:cs="Arial" w:eastAsia="Arial" w:hAnsi="Arial"/>
          <w:sz w:val="16"/>
          <w:szCs w:val="16"/>
          <w:color w:val="auto"/>
        </w:rPr>
        <w:t>554 as of the data cutoff date but were not evaluable for response assessment. Response was assessed using the Response Evaluation Criteria In Solid Tumors, or RECIST, version 1.1.</w:t>
      </w:r>
    </w:p>
    <w:p>
      <w:pPr>
        <w:spacing w:after="0" w:line="163" w:lineRule="exact"/>
        <w:rPr>
          <w:sz w:val="20"/>
          <w:szCs w:val="20"/>
          <w:color w:val="auto"/>
        </w:rPr>
      </w:pPr>
    </w:p>
    <w:p>
      <w:pPr>
        <w:ind w:right="100" w:firstLine="648"/>
        <w:spacing w:after="0" w:line="194" w:lineRule="exact"/>
        <w:rPr>
          <w:sz w:val="20"/>
          <w:szCs w:val="20"/>
          <w:color w:val="auto"/>
        </w:rPr>
      </w:pPr>
      <w:r>
        <w:rPr>
          <w:rFonts w:ascii="Arial" w:cs="Arial" w:eastAsia="Arial" w:hAnsi="Arial"/>
          <w:sz w:val="18"/>
          <w:szCs w:val="18"/>
          <w:color w:val="auto"/>
        </w:rPr>
        <w:t>In patients with FGFR4-activated HCC (n=38), the data showed an ORR of 16% (95% confidence interval 6</w:t>
      </w:r>
      <w:r>
        <w:rPr>
          <w:rFonts w:ascii="MS PGothic" w:cs="MS PGothic" w:eastAsia="MS PGothic" w:hAnsi="MS PGothic"/>
          <w:sz w:val="18"/>
          <w:szCs w:val="18"/>
          <w:color w:val="auto"/>
        </w:rPr>
        <w:t>‑</w:t>
      </w:r>
      <w:r>
        <w:rPr>
          <w:rFonts w:ascii="Arial" w:cs="Arial" w:eastAsia="Arial" w:hAnsi="Arial"/>
          <w:sz w:val="18"/>
          <w:szCs w:val="18"/>
          <w:color w:val="auto"/>
        </w:rPr>
        <w:t>31%). In addition, 49% of patients had radiographic tumor reduction, and clinical activity was observed regardless of disease etiology or geography. As of the data cutoff date:</w:t>
      </w:r>
    </w:p>
    <w:p>
      <w:pPr>
        <w:spacing w:after="0" w:line="163" w:lineRule="exact"/>
        <w:rPr>
          <w:sz w:val="20"/>
          <w:szCs w:val="20"/>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One patient had an unconfirmed complete response.</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Five patients had a partial response, with four confirmed and one unconfirmed.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additional 20 patients had stable disease, representing a disease control rate of 68%.</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responses were observed in patients without FGFR4 pathway activation (n=29).</w:t>
      </w:r>
    </w:p>
    <w:p>
      <w:pPr>
        <w:spacing w:after="0" w:line="185" w:lineRule="exact"/>
        <w:rPr>
          <w:sz w:val="20"/>
          <w:szCs w:val="20"/>
          <w:color w:val="auto"/>
        </w:rPr>
      </w:pPr>
    </w:p>
    <w:p>
      <w:pPr>
        <w:ind w:right="440" w:firstLine="648"/>
        <w:spacing w:after="0" w:line="194" w:lineRule="exact"/>
        <w:rPr>
          <w:sz w:val="20"/>
          <w:szCs w:val="20"/>
          <w:color w:val="auto"/>
        </w:rPr>
      </w:pPr>
      <w:r>
        <w:rPr>
          <w:rFonts w:ascii="Arial" w:cs="Arial" w:eastAsia="Arial" w:hAnsi="Arial"/>
          <w:sz w:val="18"/>
          <w:szCs w:val="18"/>
          <w:color w:val="auto"/>
        </w:rPr>
        <w:t>Among all 77 patients treated with BLU</w:t>
      </w:r>
      <w:r>
        <w:rPr>
          <w:rFonts w:ascii="MS PGothic" w:cs="MS PGothic" w:eastAsia="MS PGothic" w:hAnsi="MS PGothic"/>
          <w:sz w:val="18"/>
          <w:szCs w:val="18"/>
          <w:color w:val="auto"/>
        </w:rPr>
        <w:t>‑</w:t>
      </w:r>
      <w:r>
        <w:rPr>
          <w:rFonts w:ascii="Arial" w:cs="Arial" w:eastAsia="Arial" w:hAnsi="Arial"/>
          <w:sz w:val="18"/>
          <w:szCs w:val="18"/>
          <w:color w:val="auto"/>
        </w:rPr>
        <w:t>554, 19 remained on treatment as of the data cutoff date, including 15 patients with FGFR4-activated HCC. Median progression-free survival was 3.7 months among patients with FGFR4-activated HCC.</w:t>
      </w:r>
    </w:p>
    <w:p>
      <w:pPr>
        <w:spacing w:after="0" w:line="163" w:lineRule="exact"/>
        <w:rPr>
          <w:sz w:val="20"/>
          <w:szCs w:val="20"/>
          <w:color w:val="auto"/>
        </w:rPr>
      </w:pPr>
    </w:p>
    <w:p>
      <w:pPr>
        <w:ind w:right="60" w:firstLine="648"/>
        <w:spacing w:after="0" w:line="194" w:lineRule="exact"/>
        <w:rPr>
          <w:sz w:val="20"/>
          <w:szCs w:val="20"/>
          <w:color w:val="auto"/>
        </w:rPr>
      </w:pPr>
      <w:r>
        <w:rPr>
          <w:rFonts w:ascii="Arial" w:cs="Arial" w:eastAsia="Arial" w:hAnsi="Arial"/>
          <w:sz w:val="16"/>
          <w:szCs w:val="16"/>
          <w:color w:val="auto"/>
        </w:rPr>
        <w:t>In addition, five TKI</w:t>
      </w:r>
      <w:r>
        <w:rPr>
          <w:rFonts w:ascii="MS PGothic" w:cs="MS PGothic" w:eastAsia="MS PGothic" w:hAnsi="MS PGothic"/>
          <w:sz w:val="16"/>
          <w:szCs w:val="16"/>
          <w:color w:val="auto"/>
        </w:rPr>
        <w:t>‑</w:t>
      </w:r>
      <w:r>
        <w:rPr>
          <w:rFonts w:ascii="Arial" w:cs="Arial" w:eastAsia="Arial" w:hAnsi="Arial"/>
          <w:sz w:val="16"/>
          <w:szCs w:val="16"/>
          <w:color w:val="auto"/>
        </w:rPr>
        <w:t>naïve patients with FGFR4-activated HCC were evaluable for response assessment as of the data cutoff date. Within this group, preliminary evidence of prolonged disease control was observed. Two TKI</w:t>
      </w:r>
      <w:r>
        <w:rPr>
          <w:rFonts w:ascii="MS PGothic" w:cs="MS PGothic" w:eastAsia="MS PGothic" w:hAnsi="MS PGothic"/>
          <w:sz w:val="16"/>
          <w:szCs w:val="16"/>
          <w:color w:val="auto"/>
        </w:rPr>
        <w:t>‑</w:t>
      </w:r>
      <w:r>
        <w:rPr>
          <w:rFonts w:ascii="Arial" w:cs="Arial" w:eastAsia="Arial" w:hAnsi="Arial"/>
          <w:sz w:val="16"/>
          <w:szCs w:val="16"/>
          <w:color w:val="auto"/>
        </w:rPr>
        <w:t>naïve patients remain on treatment as of the data cutoff date with a duration of treatment of 11.4 months and 12.3 months, respectively.</w:t>
      </w:r>
    </w:p>
    <w:p>
      <w:pPr>
        <w:spacing w:after="0" w:line="163" w:lineRule="exact"/>
        <w:rPr>
          <w:sz w:val="20"/>
          <w:szCs w:val="20"/>
          <w:color w:val="auto"/>
        </w:rPr>
      </w:pPr>
    </w:p>
    <w:p>
      <w:pPr>
        <w:ind w:right="120" w:firstLine="648"/>
        <w:spacing w:after="0" w:line="235" w:lineRule="auto"/>
        <w:rPr>
          <w:sz w:val="20"/>
          <w:szCs w:val="20"/>
          <w:color w:val="auto"/>
        </w:rPr>
      </w:pPr>
      <w:r>
        <w:rPr>
          <w:rFonts w:ascii="Arial" w:cs="Arial" w:eastAsia="Arial" w:hAnsi="Arial"/>
          <w:sz w:val="16"/>
          <w:szCs w:val="16"/>
          <w:i w:val="1"/>
          <w:iCs w:val="1"/>
          <w:color w:val="auto"/>
        </w:rPr>
        <w:t xml:space="preserve">Phase 1 Clinical Trial Design. </w:t>
      </w:r>
      <w:r>
        <w:rPr>
          <w:rFonts w:ascii="Arial" w:cs="Arial" w:eastAsia="Arial" w:hAnsi="Arial"/>
          <w:sz w:val="16"/>
          <w:szCs w:val="16"/>
          <w:color w:val="auto"/>
        </w:rPr>
        <w:t>This Phase 1 clinical trial is designed to evaluate the safety and tolerability of BLU-554 in adults with advanced HCC. The trial consists of two parts: a dose escalation portion and an expansion portion. We have completed the dose escalation portion, and patient enrollment in the dose expansion portion is currently ongoing at the MTD of 600 mg QD. The expansion portion of the trial is designed to enroll patients in the following cohorts: (1) three subsets of patients with HCC, regardless of prior therapy, and (2) patients with FGFR4-activated HCC who have not been previously treated with a TKI, which we refer to as the TKI-naïve cohort. The primary objective of the expansion portion of the Phase 1 clinical trial is to continue to evaluate the safety and tolerability of BLU-554. Secondary objectives include assessing clinical activity by RECIST version 1.1, as well as evaluating the PK of BLU-554 and pharmacodynamic markers of BLU-554 activity. The Phase 1 clinical trial is designed to enroll approximately 150 patients, including approximately 40 patients during dose escalation and approximately 110 patients across both expansion cohorts, at multiple sites in the United States, European Union and Asia.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 Plans</w:t>
      </w:r>
    </w:p>
    <w:p>
      <w:pPr>
        <w:spacing w:after="0" w:line="185" w:lineRule="exact"/>
        <w:rPr>
          <w:sz w:val="20"/>
          <w:szCs w:val="20"/>
          <w:color w:val="auto"/>
        </w:rPr>
      </w:pPr>
    </w:p>
    <w:p>
      <w:pPr>
        <w:ind w:firstLine="648"/>
        <w:spacing w:after="0" w:line="189" w:lineRule="exact"/>
        <w:rPr>
          <w:sz w:val="20"/>
          <w:szCs w:val="20"/>
          <w:color w:val="auto"/>
        </w:rPr>
      </w:pPr>
      <w:r>
        <w:rPr>
          <w:rFonts w:ascii="Arial" w:cs="Arial" w:eastAsia="Arial" w:hAnsi="Arial"/>
          <w:sz w:val="18"/>
          <w:szCs w:val="18"/>
          <w:color w:val="auto"/>
        </w:rPr>
        <w:t>In September 2015, the FDA granted orphan drug designation to BLU</w:t>
      </w:r>
      <w:r>
        <w:rPr>
          <w:rFonts w:ascii="MS PGothic" w:cs="MS PGothic" w:eastAsia="MS PGothic" w:hAnsi="MS PGothic"/>
          <w:sz w:val="18"/>
          <w:szCs w:val="18"/>
          <w:color w:val="auto"/>
        </w:rPr>
        <w:t>‑</w:t>
      </w:r>
      <w:r>
        <w:rPr>
          <w:rFonts w:ascii="Arial" w:cs="Arial" w:eastAsia="Arial" w:hAnsi="Arial"/>
          <w:sz w:val="18"/>
          <w:szCs w:val="18"/>
          <w:color w:val="auto"/>
        </w:rPr>
        <w:t>554 for the treatment of HCC. We plan to report updated data from the expansion portion of our ongoing Phase 1 clinical trial for advanced HCC, including preliminary data from the TKI</w:t>
      </w:r>
      <w:r>
        <w:rPr>
          <w:rFonts w:ascii="MS PGothic" w:cs="MS PGothic" w:eastAsia="MS PGothic" w:hAnsi="MS PGothic"/>
          <w:sz w:val="18"/>
          <w:szCs w:val="18"/>
          <w:color w:val="auto"/>
        </w:rPr>
        <w:t>‑</w:t>
      </w:r>
      <w:r>
        <w:rPr>
          <w:rFonts w:ascii="Arial" w:cs="Arial" w:eastAsia="Arial" w:hAnsi="Arial"/>
          <w:sz w:val="18"/>
          <w:szCs w:val="18"/>
          <w:color w:val="auto"/>
        </w:rPr>
        <w:t>naïve cohort, in the second half of 2018. We also plan to explore opportunities to conduct a clinical trial to evaluate BLU</w:t>
      </w:r>
      <w:r>
        <w:rPr>
          <w:rFonts w:ascii="MS PGothic" w:cs="MS PGothic" w:eastAsia="MS PGothic" w:hAnsi="MS PGothic"/>
          <w:sz w:val="18"/>
          <w:szCs w:val="18"/>
          <w:color w:val="auto"/>
        </w:rPr>
        <w:t>‑</w:t>
      </w:r>
      <w:r>
        <w:rPr>
          <w:rFonts w:ascii="Arial" w:cs="Arial" w:eastAsia="Arial" w:hAnsi="Arial"/>
          <w:sz w:val="18"/>
          <w:szCs w:val="18"/>
          <w:color w:val="auto"/>
        </w:rPr>
        <w:t>554 in combination with an immune checkpoint inhibitor.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85"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BLU-667 is an orally available, potent selective inhibitor of the kinase RET, including activating RET fusions and mutations and predicted RET resistance mutations. RET is a receptor tyrosine kinase that activates multiple downstream pathways involved in cell proliferation and survival. RET can be activated by mutation or when a portion of the RET gene that encodes the kinase domain is joined to part of another gene creating a fusion gene that encodes an aberrantly activated RET fusion protein. RET activating mutations are implicated in MTC (approximately 60% of patients), and RET fusions are implicated in several cancers, including papillary thyroid carcinoma (approximately 10% of patients) and NSCLC (1</w:t>
      </w:r>
      <w:r>
        <w:rPr>
          <w:rFonts w:ascii="MS PGothic" w:cs="MS PGothic" w:eastAsia="MS PGothic" w:hAnsi="MS PGothic"/>
          <w:sz w:val="17"/>
          <w:szCs w:val="17"/>
          <w:color w:val="auto"/>
        </w:rPr>
        <w:t>‑</w:t>
      </w:r>
      <w:r>
        <w:rPr>
          <w:rFonts w:ascii="Arial" w:cs="Arial" w:eastAsia="Arial" w:hAnsi="Arial"/>
          <w:sz w:val="17"/>
          <w:szCs w:val="17"/>
          <w:color w:val="auto"/>
        </w:rPr>
        <w:t xml:space="preserve">2% of patients). Our genomics analyses on the landscape of kinase fusions, published in </w:t>
      </w:r>
      <w:r>
        <w:rPr>
          <w:rFonts w:ascii="Arial" w:cs="Arial" w:eastAsia="Arial" w:hAnsi="Arial"/>
          <w:sz w:val="17"/>
          <w:szCs w:val="17"/>
          <w:i w:val="1"/>
          <w:iCs w:val="1"/>
          <w:color w:val="auto"/>
        </w:rPr>
        <w:t>Nature Communications</w:t>
      </w:r>
      <w:r>
        <w:rPr>
          <w:rFonts w:ascii="Arial" w:cs="Arial" w:eastAsia="Arial" w:hAnsi="Arial"/>
          <w:sz w:val="17"/>
          <w:szCs w:val="17"/>
          <w:color w:val="auto"/>
        </w:rPr>
        <w:t xml:space="preserve"> in 2014, identified RET fusions in breast and colon cancer patient samples (both &lt;1% of patients), providing a therapeutic rationale for the use of RET inhibitors in multiple patient subpopulations.</w:t>
      </w:r>
    </w:p>
    <w:p>
      <w:pPr>
        <w:spacing w:after="0" w:line="162" w:lineRule="exact"/>
        <w:rPr>
          <w:sz w:val="20"/>
          <w:szCs w:val="20"/>
          <w:color w:val="auto"/>
        </w:rPr>
      </w:pPr>
    </w:p>
    <w:p>
      <w:pPr>
        <w:ind w:firstLine="648"/>
        <w:spacing w:after="0" w:line="185" w:lineRule="exact"/>
        <w:rPr>
          <w:sz w:val="20"/>
          <w:szCs w:val="20"/>
          <w:color w:val="auto"/>
        </w:rPr>
      </w:pPr>
      <w:r>
        <w:rPr>
          <w:rFonts w:ascii="Arial" w:cs="Arial" w:eastAsia="Arial" w:hAnsi="Arial"/>
          <w:sz w:val="18"/>
          <w:szCs w:val="18"/>
          <w:color w:val="auto"/>
        </w:rPr>
        <w:t>The identification of RET fusions as drivers in some cancers prompted the use of approved multi</w:t>
      </w:r>
      <w:r>
        <w:rPr>
          <w:rFonts w:ascii="MS PGothic" w:cs="MS PGothic" w:eastAsia="MS PGothic" w:hAnsi="MS PGothic"/>
          <w:sz w:val="18"/>
          <w:szCs w:val="18"/>
          <w:color w:val="auto"/>
        </w:rPr>
        <w:t>‑</w:t>
      </w:r>
      <w:r>
        <w:rPr>
          <w:rFonts w:ascii="Arial" w:cs="Arial" w:eastAsia="Arial" w:hAnsi="Arial"/>
          <w:sz w:val="18"/>
          <w:szCs w:val="18"/>
          <w:color w:val="auto"/>
        </w:rPr>
        <w:t>kinase inhibitors with RET inhibitory activity to treat patients whose tumors express a RET fusion protein. However, we believe these drugs cannot be dosed at levels required to sufficiently inhibit RET due to toxicities that result from inhibition of the primary targets. For example, currently approved therapies such as vandetanib and cabozantinib demonstrate lower objective response rates and duration of response in patients with RET-altered NSCLC compared to selective kinase inhibitors targeting other kinase drivers such as EGFR, ALK and ROS1.</w:t>
      </w:r>
    </w:p>
    <w:p>
      <w:pPr>
        <w:spacing w:after="0" w:line="162" w:lineRule="exact"/>
        <w:rPr>
          <w:sz w:val="20"/>
          <w:szCs w:val="20"/>
          <w:color w:val="auto"/>
        </w:rPr>
      </w:pPr>
    </w:p>
    <w:p>
      <w:pPr>
        <w:ind w:right="160" w:firstLine="648"/>
        <w:spacing w:after="0" w:line="214" w:lineRule="auto"/>
        <w:rPr>
          <w:sz w:val="20"/>
          <w:szCs w:val="20"/>
          <w:color w:val="auto"/>
        </w:rPr>
      </w:pPr>
      <w:r>
        <w:rPr>
          <w:rFonts w:ascii="Arial" w:cs="Arial" w:eastAsia="Arial" w:hAnsi="Arial"/>
          <w:sz w:val="18"/>
          <w:szCs w:val="18"/>
          <w:color w:val="auto"/>
        </w:rPr>
        <w:t>Further, one of the greatest challenges in treating cancer is the ability of tumor cells to become resistant to therapy. Kinase reactivation via mutation to evade small molecule inhibition is a common mechanism of resistance. We have predicted future resistance mutations of drugs with RET inhibitory activity. Thus, there is a clear need for a selective RET inhibitor that targets both oncogenic RET fusions and activating mutations and their predicted RET resistance mutations. In the Major Markets, we estimate there are approximately 10,200 patients with RET-driven NSCLC and approximately 780 patients with RET-driven MTC.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BLU-667 Pre-Clinical Development in RET</w:t>
      </w:r>
    </w:p>
    <w:p>
      <w:pPr>
        <w:spacing w:after="0" w:line="185" w:lineRule="exact"/>
        <w:rPr>
          <w:sz w:val="20"/>
          <w:szCs w:val="20"/>
          <w:color w:val="auto"/>
        </w:rPr>
      </w:pPr>
    </w:p>
    <w:p>
      <w:pPr>
        <w:ind w:right="20" w:firstLine="648"/>
        <w:spacing w:after="0" w:line="239" w:lineRule="auto"/>
        <w:rPr>
          <w:sz w:val="20"/>
          <w:szCs w:val="20"/>
          <w:color w:val="auto"/>
        </w:rPr>
      </w:pPr>
      <w:r>
        <w:rPr>
          <w:rFonts w:ascii="Arial" w:cs="Arial" w:eastAsia="Arial" w:hAnsi="Arial"/>
          <w:sz w:val="16"/>
          <w:szCs w:val="16"/>
          <w:color w:val="auto"/>
        </w:rPr>
        <w:t>BLU-667 was specifically designed to target oncogenic RET fusions and activating mutations and predicted RET resistance mutations, while sparing anti-targets such as VEGFR-2. We have conducted pre-clinical experiments in biochemical and cellular assays to characterize the potency of BLU-667 against these targets. In a panel comparing BLU-677 with the commonly used multi-kinase inhibitors cabozantinib and vandetanib and the development candidate RXDX-105, BLU-667 was the only compound to demonstrate sub-nanomolar selectivity for wild-type RET and predicted resistance mutations at the gatekeeper (V804) residue. In addition, BLU-667 selectivity was assessed in a biochemical screen of a broad panel of over 350 kinases and demonstrated approximately 90-fold selectivity for wild-type RET over VEGFR-2.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200" w:type="dxa"/>
            <w:vAlign w:val="bottom"/>
          </w:tcPr>
          <w:p>
            <w:pPr>
              <w:spacing w:after="0"/>
              <w:rPr>
                <w:sz w:val="24"/>
                <w:szCs w:val="24"/>
                <w:color w:val="auto"/>
              </w:rPr>
            </w:pPr>
          </w:p>
        </w:tc>
        <w:tc>
          <w:tcPr>
            <w:tcW w:w="860" w:type="dxa"/>
            <w:vAlign w:val="bottom"/>
            <w:tcBorders>
              <w:top w:val="single" w:sz="8" w:color="auto"/>
              <w:bottom w:val="single" w:sz="8" w:color="auto"/>
            </w:tcBorders>
            <w:shd w:val="clear" w:color="auto" w:fill="D9D9D9"/>
          </w:tcPr>
          <w:p>
            <w:pPr>
              <w:spacing w:after="0"/>
              <w:rPr>
                <w:sz w:val="24"/>
                <w:szCs w:val="24"/>
                <w:color w:val="auto"/>
              </w:rPr>
            </w:pPr>
          </w:p>
        </w:tc>
        <w:tc>
          <w:tcPr>
            <w:tcW w:w="860" w:type="dxa"/>
            <w:vAlign w:val="bottom"/>
            <w:tcBorders>
              <w:top w:val="single" w:sz="8" w:color="auto"/>
              <w:bottom w:val="single" w:sz="8" w:color="auto"/>
            </w:tcBorders>
            <w:shd w:val="clear" w:color="auto" w:fill="D9D9D9"/>
          </w:tcPr>
          <w:p>
            <w:pPr>
              <w:spacing w:after="0"/>
              <w:rPr>
                <w:sz w:val="24"/>
                <w:szCs w:val="24"/>
                <w:color w:val="auto"/>
              </w:rPr>
            </w:pPr>
          </w:p>
        </w:tc>
        <w:tc>
          <w:tcPr>
            <w:tcW w:w="1600" w:type="dxa"/>
            <w:vAlign w:val="bottom"/>
            <w:tcBorders>
              <w:top w:val="single" w:sz="8" w:color="auto"/>
              <w:bottom w:val="single" w:sz="8" w:color="auto"/>
            </w:tcBorders>
            <w:gridSpan w:val="2"/>
            <w:shd w:val="clear" w:color="auto" w:fill="D9D9D9"/>
          </w:tcPr>
          <w:p>
            <w:pPr>
              <w:ind w:left="240"/>
              <w:spacing w:after="0" w:line="324" w:lineRule="exact"/>
              <w:rPr>
                <w:sz w:val="20"/>
                <w:szCs w:val="20"/>
                <w:color w:val="auto"/>
              </w:rPr>
            </w:pPr>
            <w:r>
              <w:rPr>
                <w:rFonts w:ascii="Arial" w:cs="Arial" w:eastAsia="Arial" w:hAnsi="Arial"/>
                <w:sz w:val="18"/>
                <w:szCs w:val="18"/>
                <w:b w:val="1"/>
                <w:bCs w:val="1"/>
                <w:color w:val="auto"/>
                <w:w w:val="88"/>
              </w:rPr>
              <w:t>Biochemical IC</w:t>
            </w:r>
            <w:r>
              <w:rPr>
                <w:rFonts w:ascii="Arial" w:cs="Arial" w:eastAsia="Arial" w:hAnsi="Arial"/>
                <w:sz w:val="30"/>
                <w:szCs w:val="30"/>
                <w:b w:val="1"/>
                <w:bCs w:val="1"/>
                <w:color w:val="auto"/>
                <w:w w:val="88"/>
                <w:vertAlign w:val="subscript"/>
              </w:rPr>
              <w:t>50</w:t>
            </w:r>
          </w:p>
        </w:tc>
        <w:tc>
          <w:tcPr>
            <w:tcW w:w="1340" w:type="dxa"/>
            <w:vAlign w:val="bottom"/>
            <w:tcBorders>
              <w:top w:val="single" w:sz="8" w:color="auto"/>
              <w:bottom w:val="single" w:sz="8" w:color="auto"/>
            </w:tcBorders>
            <w:shd w:val="clear" w:color="auto" w:fill="D9D9D9"/>
          </w:tcPr>
          <w:p>
            <w:pPr>
              <w:ind w:left="20"/>
              <w:spacing w:after="0"/>
              <w:rPr>
                <w:sz w:val="20"/>
                <w:szCs w:val="20"/>
                <w:color w:val="auto"/>
              </w:rPr>
            </w:pPr>
            <w:r>
              <w:rPr>
                <w:rFonts w:ascii="Arial" w:cs="Arial" w:eastAsia="Arial" w:hAnsi="Arial"/>
                <w:sz w:val="18"/>
                <w:szCs w:val="18"/>
                <w:b w:val="1"/>
                <w:bCs w:val="1"/>
                <w:color w:val="auto"/>
              </w:rPr>
              <w:t>(nM)</w:t>
            </w:r>
          </w:p>
        </w:tc>
        <w:tc>
          <w:tcPr>
            <w:tcW w:w="1040" w:type="dxa"/>
            <w:vAlign w:val="bottom"/>
            <w:tcBorders>
              <w:top w:val="single" w:sz="8" w:color="auto"/>
              <w:bottom w:val="single" w:sz="8" w:color="auto"/>
            </w:tcBorders>
            <w:shd w:val="clear" w:color="auto" w:fill="D9D9D9"/>
          </w:tcPr>
          <w:p>
            <w:pPr>
              <w:spacing w:after="0"/>
              <w:rPr>
                <w:sz w:val="24"/>
                <w:szCs w:val="24"/>
                <w:color w:val="auto"/>
              </w:rPr>
            </w:pPr>
          </w:p>
        </w:tc>
        <w:tc>
          <w:tcPr>
            <w:tcW w:w="1460" w:type="dxa"/>
            <w:vAlign w:val="bottom"/>
            <w:tcBorders>
              <w:top w:val="single" w:sz="8" w:color="auto"/>
              <w:bottom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IC</w:t>
            </w:r>
            <w:r>
              <w:rPr>
                <w:rFonts w:ascii="Arial" w:cs="Arial" w:eastAsia="Arial" w:hAnsi="Arial"/>
                <w:sz w:val="30"/>
                <w:szCs w:val="30"/>
                <w:b w:val="1"/>
                <w:bCs w:val="1"/>
                <w:color w:val="auto"/>
                <w:w w:val="90"/>
                <w:vertAlign w:val="subscript"/>
              </w:rPr>
              <w:t>50</w:t>
            </w:r>
            <w:r>
              <w:rPr>
                <w:rFonts w:ascii="Arial" w:cs="Arial" w:eastAsia="Arial" w:hAnsi="Arial"/>
                <w:sz w:val="18"/>
                <w:szCs w:val="18"/>
                <w:b w:val="1"/>
                <w:bCs w:val="1"/>
                <w:color w:val="auto"/>
                <w:w w:val="90"/>
              </w:rPr>
              <w:t xml:space="preserve"> Ratio</w:t>
            </w:r>
          </w:p>
        </w:tc>
        <w:tc>
          <w:tcPr>
            <w:tcW w:w="0" w:type="dxa"/>
            <w:vAlign w:val="bottom"/>
          </w:tcPr>
          <w:p>
            <w:pPr>
              <w:spacing w:after="0"/>
              <w:rPr>
                <w:sz w:val="1"/>
                <w:szCs w:val="1"/>
                <w:color w:val="auto"/>
              </w:rPr>
            </w:pPr>
          </w:p>
        </w:tc>
      </w:tr>
      <w:tr>
        <w:trPr>
          <w:trHeight w:val="43"/>
        </w:trPr>
        <w:tc>
          <w:tcPr>
            <w:tcW w:w="1200" w:type="dxa"/>
            <w:vAlign w:val="bottom"/>
          </w:tcPr>
          <w:p>
            <w:pPr>
              <w:spacing w:after="0"/>
              <w:rPr>
                <w:sz w:val="3"/>
                <w:szCs w:val="3"/>
                <w:color w:val="auto"/>
              </w:rPr>
            </w:pPr>
          </w:p>
        </w:tc>
        <w:tc>
          <w:tcPr>
            <w:tcW w:w="860" w:type="dxa"/>
            <w:vAlign w:val="bottom"/>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9"/>
              </w:rPr>
              <w:t>Wild-</w:t>
            </w:r>
          </w:p>
        </w:tc>
        <w:tc>
          <w:tcPr>
            <w:tcW w:w="860" w:type="dxa"/>
            <w:vAlign w:val="bottom"/>
            <w:shd w:val="clear" w:color="auto" w:fill="D9D9D9"/>
          </w:tcPr>
          <w:p>
            <w:pPr>
              <w:spacing w:after="0"/>
              <w:rPr>
                <w:sz w:val="3"/>
                <w:szCs w:val="3"/>
                <w:color w:val="auto"/>
              </w:rPr>
            </w:pPr>
          </w:p>
        </w:tc>
        <w:tc>
          <w:tcPr>
            <w:tcW w:w="840" w:type="dxa"/>
            <w:vAlign w:val="bottom"/>
            <w:shd w:val="clear" w:color="auto" w:fill="D9D9D9"/>
          </w:tcPr>
          <w:p>
            <w:pPr>
              <w:spacing w:after="0"/>
              <w:rPr>
                <w:sz w:val="3"/>
                <w:szCs w:val="3"/>
                <w:color w:val="auto"/>
              </w:rPr>
            </w:pPr>
          </w:p>
        </w:tc>
        <w:tc>
          <w:tcPr>
            <w:tcW w:w="760" w:type="dxa"/>
            <w:vAlign w:val="bottom"/>
            <w:shd w:val="clear" w:color="auto" w:fill="D9D9D9"/>
          </w:tcPr>
          <w:p>
            <w:pPr>
              <w:spacing w:after="0"/>
              <w:rPr>
                <w:sz w:val="3"/>
                <w:szCs w:val="3"/>
                <w:color w:val="auto"/>
              </w:rPr>
            </w:pPr>
          </w:p>
        </w:tc>
        <w:tc>
          <w:tcPr>
            <w:tcW w:w="1340" w:type="dxa"/>
            <w:vAlign w:val="bottom"/>
            <w:shd w:val="clear" w:color="auto" w:fill="D9D9D9"/>
          </w:tcPr>
          <w:p>
            <w:pPr>
              <w:spacing w:after="0"/>
              <w:rPr>
                <w:sz w:val="3"/>
                <w:szCs w:val="3"/>
                <w:color w:val="auto"/>
              </w:rPr>
            </w:pPr>
          </w:p>
        </w:tc>
        <w:tc>
          <w:tcPr>
            <w:tcW w:w="1040" w:type="dxa"/>
            <w:vAlign w:val="bottom"/>
            <w:shd w:val="clear" w:color="auto" w:fill="D9D9D9"/>
          </w:tcPr>
          <w:p>
            <w:pPr>
              <w:spacing w:after="0"/>
              <w:rPr>
                <w:sz w:val="3"/>
                <w:szCs w:val="3"/>
                <w:color w:val="auto"/>
              </w:rPr>
            </w:pPr>
          </w:p>
        </w:tc>
        <w:tc>
          <w:tcPr>
            <w:tcW w:w="1460" w:type="dxa"/>
            <w:vAlign w:val="bottom"/>
            <w:vMerge w:val="continue"/>
            <w:shd w:val="clear" w:color="auto" w:fill="D9D9D9"/>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1200" w:type="dxa"/>
            <w:vAlign w:val="bottom"/>
          </w:tcPr>
          <w:p>
            <w:pPr>
              <w:spacing w:after="0"/>
              <w:rPr>
                <w:sz w:val="19"/>
                <w:szCs w:val="19"/>
                <w:color w:val="auto"/>
              </w:rPr>
            </w:pPr>
          </w:p>
        </w:tc>
        <w:tc>
          <w:tcPr>
            <w:tcW w:w="860" w:type="dxa"/>
            <w:vAlign w:val="bottom"/>
            <w:vMerge w:val="continue"/>
            <w:shd w:val="clear" w:color="auto" w:fill="D9D9D9"/>
          </w:tcPr>
          <w:p>
            <w:pPr>
              <w:spacing w:after="0"/>
              <w:rPr>
                <w:sz w:val="19"/>
                <w:szCs w:val="19"/>
                <w:color w:val="auto"/>
              </w:rPr>
            </w:pPr>
          </w:p>
        </w:tc>
        <w:tc>
          <w:tcPr>
            <w:tcW w:w="860" w:type="dxa"/>
            <w:vAlign w:val="bottom"/>
            <w:shd w:val="clear" w:color="auto" w:fill="D9D9D9"/>
          </w:tcPr>
          <w:p>
            <w:pPr>
              <w:ind w:left="280"/>
              <w:spacing w:after="0"/>
              <w:rPr>
                <w:sz w:val="20"/>
                <w:szCs w:val="20"/>
                <w:color w:val="auto"/>
              </w:rPr>
            </w:pPr>
            <w:r>
              <w:rPr>
                <w:rFonts w:ascii="Arial" w:cs="Arial" w:eastAsia="Arial" w:hAnsi="Arial"/>
                <w:sz w:val="18"/>
                <w:szCs w:val="18"/>
                <w:b w:val="1"/>
                <w:bCs w:val="1"/>
                <w:color w:val="auto"/>
              </w:rPr>
              <w:t>RET</w:t>
            </w:r>
          </w:p>
        </w:tc>
        <w:tc>
          <w:tcPr>
            <w:tcW w:w="840" w:type="dxa"/>
            <w:vAlign w:val="bottom"/>
            <w:shd w:val="clear" w:color="auto" w:fill="D9D9D9"/>
          </w:tcPr>
          <w:p>
            <w:pPr>
              <w:ind w:left="240"/>
              <w:spacing w:after="0"/>
              <w:rPr>
                <w:sz w:val="20"/>
                <w:szCs w:val="20"/>
                <w:color w:val="auto"/>
              </w:rPr>
            </w:pPr>
            <w:r>
              <w:rPr>
                <w:rFonts w:ascii="Arial" w:cs="Arial" w:eastAsia="Arial" w:hAnsi="Arial"/>
                <w:sz w:val="18"/>
                <w:szCs w:val="18"/>
                <w:b w:val="1"/>
                <w:bCs w:val="1"/>
                <w:color w:val="auto"/>
              </w:rPr>
              <w:t>RET</w:t>
            </w:r>
          </w:p>
        </w:tc>
        <w:tc>
          <w:tcPr>
            <w:tcW w:w="760" w:type="dxa"/>
            <w:vAlign w:val="bottom"/>
            <w:shd w:val="clear" w:color="auto" w:fill="D9D9D9"/>
          </w:tcPr>
          <w:p>
            <w:pPr>
              <w:ind w:left="240"/>
              <w:spacing w:after="0"/>
              <w:rPr>
                <w:sz w:val="20"/>
                <w:szCs w:val="20"/>
                <w:color w:val="auto"/>
              </w:rPr>
            </w:pPr>
            <w:r>
              <w:rPr>
                <w:rFonts w:ascii="Arial" w:cs="Arial" w:eastAsia="Arial" w:hAnsi="Arial"/>
                <w:sz w:val="18"/>
                <w:szCs w:val="18"/>
                <w:b w:val="1"/>
                <w:bCs w:val="1"/>
                <w:color w:val="auto"/>
              </w:rPr>
              <w:t>RET</w:t>
            </w:r>
          </w:p>
        </w:tc>
        <w:tc>
          <w:tcPr>
            <w:tcW w:w="1340" w:type="dxa"/>
            <w:vAlign w:val="bottom"/>
            <w:shd w:val="clear" w:color="auto" w:fill="D9D9D9"/>
          </w:tcPr>
          <w:p>
            <w:pPr>
              <w:jc w:val="center"/>
              <w:ind w:left="50"/>
              <w:spacing w:after="0"/>
              <w:rPr>
                <w:sz w:val="20"/>
                <w:szCs w:val="20"/>
                <w:color w:val="auto"/>
              </w:rPr>
            </w:pPr>
            <w:r>
              <w:rPr>
                <w:rFonts w:ascii="Arial" w:cs="Arial" w:eastAsia="Arial" w:hAnsi="Arial"/>
                <w:sz w:val="18"/>
                <w:szCs w:val="18"/>
                <w:b w:val="1"/>
                <w:bCs w:val="1"/>
                <w:color w:val="auto"/>
                <w:w w:val="98"/>
              </w:rPr>
              <w:t>CCCDC6-</w:t>
            </w:r>
          </w:p>
        </w:tc>
        <w:tc>
          <w:tcPr>
            <w:tcW w:w="1040" w:type="dxa"/>
            <w:vAlign w:val="bottom"/>
            <w:shd w:val="clear" w:color="auto" w:fill="D9D9D9"/>
          </w:tcPr>
          <w:p>
            <w:pPr>
              <w:ind w:left="200"/>
              <w:spacing w:after="0"/>
              <w:rPr>
                <w:sz w:val="20"/>
                <w:szCs w:val="20"/>
                <w:color w:val="auto"/>
              </w:rPr>
            </w:pPr>
            <w:r>
              <w:rPr>
                <w:rFonts w:ascii="Arial" w:cs="Arial" w:eastAsia="Arial" w:hAnsi="Arial"/>
                <w:sz w:val="18"/>
                <w:szCs w:val="18"/>
                <w:b w:val="1"/>
                <w:bCs w:val="1"/>
                <w:color w:val="auto"/>
              </w:rPr>
              <w:t>VEGFR-</w:t>
            </w:r>
          </w:p>
        </w:tc>
        <w:tc>
          <w:tcPr>
            <w:tcW w:w="146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99"/>
              </w:rPr>
              <w:t>(VEGFR-2 /</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860" w:type="dxa"/>
            <w:vAlign w:val="bottom"/>
            <w:shd w:val="clear" w:color="auto" w:fill="D9D9D9"/>
          </w:tcPr>
          <w:p>
            <w:pPr>
              <w:jc w:val="center"/>
              <w:spacing w:after="0" w:line="176" w:lineRule="exact"/>
              <w:rPr>
                <w:sz w:val="20"/>
                <w:szCs w:val="20"/>
                <w:color w:val="auto"/>
              </w:rPr>
            </w:pPr>
            <w:r>
              <w:rPr>
                <w:rFonts w:ascii="Arial" w:cs="Arial" w:eastAsia="Arial" w:hAnsi="Arial"/>
                <w:sz w:val="18"/>
                <w:szCs w:val="18"/>
                <w:b w:val="1"/>
                <w:bCs w:val="1"/>
                <w:color w:val="auto"/>
                <w:w w:val="86"/>
              </w:rPr>
              <w:t>type</w:t>
            </w:r>
          </w:p>
        </w:tc>
        <w:tc>
          <w:tcPr>
            <w:tcW w:w="860" w:type="dxa"/>
            <w:vAlign w:val="bottom"/>
            <w:shd w:val="clear" w:color="auto" w:fill="D9D9D9"/>
          </w:tcPr>
          <w:p>
            <w:pPr>
              <w:jc w:val="center"/>
              <w:spacing w:after="0" w:line="176" w:lineRule="exact"/>
              <w:rPr>
                <w:sz w:val="20"/>
                <w:szCs w:val="20"/>
                <w:color w:val="auto"/>
              </w:rPr>
            </w:pPr>
            <w:r>
              <w:rPr>
                <w:rFonts w:ascii="Arial" w:cs="Arial" w:eastAsia="Arial" w:hAnsi="Arial"/>
                <w:sz w:val="18"/>
                <w:szCs w:val="18"/>
                <w:b w:val="1"/>
                <w:bCs w:val="1"/>
                <w:color w:val="auto"/>
                <w:w w:val="97"/>
              </w:rPr>
              <w:t>V804L</w:t>
            </w:r>
          </w:p>
        </w:tc>
        <w:tc>
          <w:tcPr>
            <w:tcW w:w="840" w:type="dxa"/>
            <w:vAlign w:val="bottom"/>
            <w:shd w:val="clear" w:color="auto" w:fill="D9D9D9"/>
          </w:tcPr>
          <w:p>
            <w:pPr>
              <w:jc w:val="center"/>
              <w:spacing w:after="0" w:line="176" w:lineRule="exact"/>
              <w:rPr>
                <w:sz w:val="20"/>
                <w:szCs w:val="20"/>
                <w:color w:val="auto"/>
              </w:rPr>
            </w:pPr>
            <w:r>
              <w:rPr>
                <w:rFonts w:ascii="Arial" w:cs="Arial" w:eastAsia="Arial" w:hAnsi="Arial"/>
                <w:sz w:val="18"/>
                <w:szCs w:val="18"/>
                <w:b w:val="1"/>
                <w:bCs w:val="1"/>
                <w:color w:val="auto"/>
                <w:w w:val="98"/>
              </w:rPr>
              <w:t>V804M</w:t>
            </w:r>
          </w:p>
        </w:tc>
        <w:tc>
          <w:tcPr>
            <w:tcW w:w="760" w:type="dxa"/>
            <w:vAlign w:val="bottom"/>
            <w:shd w:val="clear" w:color="auto" w:fill="D9D9D9"/>
          </w:tcPr>
          <w:p>
            <w:pPr>
              <w:jc w:val="center"/>
              <w:spacing w:after="0" w:line="176" w:lineRule="exact"/>
              <w:rPr>
                <w:sz w:val="20"/>
                <w:szCs w:val="20"/>
                <w:color w:val="auto"/>
              </w:rPr>
            </w:pPr>
            <w:r>
              <w:rPr>
                <w:rFonts w:ascii="Arial" w:cs="Arial" w:eastAsia="Arial" w:hAnsi="Arial"/>
                <w:sz w:val="18"/>
                <w:szCs w:val="18"/>
                <w:b w:val="1"/>
                <w:bCs w:val="1"/>
                <w:color w:val="auto"/>
                <w:w w:val="99"/>
              </w:rPr>
              <w:t>M918T</w:t>
            </w:r>
          </w:p>
        </w:tc>
        <w:tc>
          <w:tcPr>
            <w:tcW w:w="1340" w:type="dxa"/>
            <w:vAlign w:val="bottom"/>
            <w:shd w:val="clear" w:color="auto" w:fill="D9D9D9"/>
          </w:tcPr>
          <w:p>
            <w:pPr>
              <w:ind w:left="560"/>
              <w:spacing w:after="0" w:line="176" w:lineRule="exact"/>
              <w:rPr>
                <w:sz w:val="20"/>
                <w:szCs w:val="20"/>
                <w:color w:val="auto"/>
              </w:rPr>
            </w:pPr>
            <w:r>
              <w:rPr>
                <w:rFonts w:ascii="Arial" w:cs="Arial" w:eastAsia="Arial" w:hAnsi="Arial"/>
                <w:sz w:val="18"/>
                <w:szCs w:val="18"/>
                <w:b w:val="1"/>
                <w:bCs w:val="1"/>
                <w:color w:val="auto"/>
              </w:rPr>
              <w:t>RET</w:t>
            </w:r>
          </w:p>
        </w:tc>
        <w:tc>
          <w:tcPr>
            <w:tcW w:w="1040" w:type="dxa"/>
            <w:vAlign w:val="bottom"/>
            <w:shd w:val="clear" w:color="auto" w:fill="D9D9D9"/>
          </w:tcPr>
          <w:p>
            <w:pPr>
              <w:jc w:val="center"/>
              <w:spacing w:after="0" w:line="176" w:lineRule="exact"/>
              <w:rPr>
                <w:sz w:val="20"/>
                <w:szCs w:val="20"/>
                <w:color w:val="auto"/>
              </w:rPr>
            </w:pPr>
            <w:r>
              <w:rPr>
                <w:rFonts w:ascii="Arial" w:cs="Arial" w:eastAsia="Arial" w:hAnsi="Arial"/>
                <w:sz w:val="18"/>
                <w:szCs w:val="18"/>
                <w:b w:val="1"/>
                <w:bCs w:val="1"/>
                <w:color w:val="auto"/>
                <w:w w:val="99"/>
              </w:rPr>
              <w:t>2</w:t>
            </w:r>
          </w:p>
        </w:tc>
        <w:tc>
          <w:tcPr>
            <w:tcW w:w="1460" w:type="dxa"/>
            <w:vAlign w:val="bottom"/>
            <w:shd w:val="clear" w:color="auto" w:fill="D9D9D9"/>
          </w:tcPr>
          <w:p>
            <w:pPr>
              <w:jc w:val="center"/>
              <w:spacing w:after="0" w:line="176" w:lineRule="exact"/>
              <w:rPr>
                <w:sz w:val="20"/>
                <w:szCs w:val="20"/>
                <w:color w:val="auto"/>
              </w:rPr>
            </w:pPr>
            <w:r>
              <w:rPr>
                <w:rFonts w:ascii="Arial" w:cs="Arial" w:eastAsia="Arial" w:hAnsi="Arial"/>
                <w:sz w:val="18"/>
                <w:szCs w:val="18"/>
                <w:b w:val="1"/>
                <w:bCs w:val="1"/>
                <w:color w:val="auto"/>
                <w:w w:val="99"/>
              </w:rPr>
              <w:t>RET)</w:t>
            </w:r>
          </w:p>
        </w:tc>
        <w:tc>
          <w:tcPr>
            <w:tcW w:w="0" w:type="dxa"/>
            <w:vAlign w:val="bottom"/>
          </w:tcPr>
          <w:p>
            <w:pPr>
              <w:spacing w:after="0"/>
              <w:rPr>
                <w:sz w:val="1"/>
                <w:szCs w:val="1"/>
                <w:color w:val="auto"/>
              </w:rPr>
            </w:pPr>
          </w:p>
        </w:tc>
      </w:tr>
      <w:tr>
        <w:trPr>
          <w:trHeight w:val="162"/>
        </w:trPr>
        <w:tc>
          <w:tcPr>
            <w:tcW w:w="1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shd w:val="clear" w:color="auto" w:fill="D9D9D9"/>
          </w:tcPr>
          <w:p>
            <w:pPr>
              <w:jc w:val="center"/>
              <w:spacing w:after="0" w:line="162" w:lineRule="exact"/>
              <w:rPr>
                <w:sz w:val="20"/>
                <w:szCs w:val="20"/>
                <w:color w:val="auto"/>
              </w:rPr>
            </w:pPr>
            <w:r>
              <w:rPr>
                <w:rFonts w:ascii="Arial" w:cs="Arial" w:eastAsia="Arial" w:hAnsi="Arial"/>
                <w:sz w:val="18"/>
                <w:szCs w:val="18"/>
                <w:b w:val="1"/>
                <w:bCs w:val="1"/>
                <w:color w:val="auto"/>
                <w:w w:val="99"/>
              </w:rPr>
              <w:t>RET</w:t>
            </w:r>
          </w:p>
        </w:tc>
        <w:tc>
          <w:tcPr>
            <w:tcW w:w="860" w:type="dxa"/>
            <w:vAlign w:val="bottom"/>
            <w:tcBorders>
              <w:bottom w:val="single" w:sz="8" w:color="auto"/>
            </w:tcBorders>
            <w:shd w:val="clear" w:color="auto" w:fill="D9D9D9"/>
          </w:tcPr>
          <w:p>
            <w:pPr>
              <w:spacing w:after="0"/>
              <w:rPr>
                <w:sz w:val="14"/>
                <w:szCs w:val="14"/>
                <w:color w:val="auto"/>
              </w:rPr>
            </w:pPr>
          </w:p>
        </w:tc>
        <w:tc>
          <w:tcPr>
            <w:tcW w:w="840" w:type="dxa"/>
            <w:vAlign w:val="bottom"/>
            <w:tcBorders>
              <w:bottom w:val="single" w:sz="8" w:color="auto"/>
            </w:tcBorders>
            <w:shd w:val="clear" w:color="auto" w:fill="D9D9D9"/>
          </w:tcPr>
          <w:p>
            <w:pPr>
              <w:spacing w:after="0"/>
              <w:rPr>
                <w:sz w:val="14"/>
                <w:szCs w:val="14"/>
                <w:color w:val="auto"/>
              </w:rPr>
            </w:pPr>
          </w:p>
        </w:tc>
        <w:tc>
          <w:tcPr>
            <w:tcW w:w="760" w:type="dxa"/>
            <w:vAlign w:val="bottom"/>
            <w:tcBorders>
              <w:bottom w:val="single" w:sz="8" w:color="auto"/>
            </w:tcBorders>
            <w:shd w:val="clear" w:color="auto" w:fill="D9D9D9"/>
          </w:tcPr>
          <w:p>
            <w:pPr>
              <w:spacing w:after="0"/>
              <w:rPr>
                <w:sz w:val="14"/>
                <w:szCs w:val="14"/>
                <w:color w:val="auto"/>
              </w:rPr>
            </w:pPr>
          </w:p>
        </w:tc>
        <w:tc>
          <w:tcPr>
            <w:tcW w:w="1340" w:type="dxa"/>
            <w:vAlign w:val="bottom"/>
            <w:tcBorders>
              <w:bottom w:val="single" w:sz="8" w:color="auto"/>
            </w:tcBorders>
            <w:shd w:val="clear" w:color="auto" w:fill="D9D9D9"/>
          </w:tcPr>
          <w:p>
            <w:pPr>
              <w:spacing w:after="0"/>
              <w:rPr>
                <w:sz w:val="14"/>
                <w:szCs w:val="14"/>
                <w:color w:val="auto"/>
              </w:rPr>
            </w:pPr>
          </w:p>
        </w:tc>
        <w:tc>
          <w:tcPr>
            <w:tcW w:w="1040" w:type="dxa"/>
            <w:vAlign w:val="bottom"/>
            <w:tcBorders>
              <w:bottom w:val="single" w:sz="8" w:color="auto"/>
            </w:tcBorders>
            <w:shd w:val="clear" w:color="auto" w:fill="D9D9D9"/>
          </w:tcPr>
          <w:p>
            <w:pPr>
              <w:spacing w:after="0"/>
              <w:rPr>
                <w:sz w:val="14"/>
                <w:szCs w:val="14"/>
                <w:color w:val="auto"/>
              </w:rPr>
            </w:pPr>
          </w:p>
        </w:tc>
        <w:tc>
          <w:tcPr>
            <w:tcW w:w="1460" w:type="dxa"/>
            <w:vAlign w:val="bottom"/>
            <w:tcBorders>
              <w:bottom w:val="single" w:sz="8" w:color="auto"/>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BLU-667</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0.4</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0.3</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0.4</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0.4</w:t>
            </w:r>
          </w:p>
        </w:tc>
        <w:tc>
          <w:tcPr>
            <w:tcW w:w="134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7"/>
              </w:rPr>
              <w:t>0.4</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35</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88x</w:t>
            </w:r>
          </w:p>
        </w:tc>
        <w:tc>
          <w:tcPr>
            <w:tcW w:w="0" w:type="dxa"/>
            <w:vAlign w:val="bottom"/>
          </w:tcPr>
          <w:p>
            <w:pPr>
              <w:spacing w:after="0"/>
              <w:rPr>
                <w:sz w:val="1"/>
                <w:szCs w:val="1"/>
                <w:color w:val="auto"/>
              </w:rPr>
            </w:pPr>
          </w:p>
        </w:tc>
      </w:tr>
      <w:tr>
        <w:trPr>
          <w:trHeight w:val="250"/>
        </w:trPr>
        <w:tc>
          <w:tcPr>
            <w:tcW w:w="12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cabozantinib</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45</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162</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134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9"/>
              </w:rPr>
              <w:t>34</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0.2x</w:t>
            </w:r>
          </w:p>
        </w:tc>
        <w:tc>
          <w:tcPr>
            <w:tcW w:w="0" w:type="dxa"/>
            <w:vAlign w:val="bottom"/>
          </w:tcPr>
          <w:p>
            <w:pPr>
              <w:spacing w:after="0"/>
              <w:rPr>
                <w:sz w:val="1"/>
                <w:szCs w:val="1"/>
                <w:color w:val="auto"/>
              </w:rPr>
            </w:pPr>
          </w:p>
        </w:tc>
      </w:tr>
      <w:tr>
        <w:trPr>
          <w:trHeight w:val="250"/>
        </w:trPr>
        <w:tc>
          <w:tcPr>
            <w:tcW w:w="12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vandetanib</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3597</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726</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134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9"/>
              </w:rPr>
              <w:t>20</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1x</w:t>
            </w:r>
          </w:p>
        </w:tc>
        <w:tc>
          <w:tcPr>
            <w:tcW w:w="0" w:type="dxa"/>
            <w:vAlign w:val="bottom"/>
          </w:tcPr>
          <w:p>
            <w:pPr>
              <w:spacing w:after="0"/>
              <w:rPr>
                <w:sz w:val="1"/>
                <w:szCs w:val="1"/>
                <w:color w:val="auto"/>
              </w:rPr>
            </w:pPr>
          </w:p>
        </w:tc>
      </w:tr>
      <w:tr>
        <w:trPr>
          <w:trHeight w:val="250"/>
        </w:trPr>
        <w:tc>
          <w:tcPr>
            <w:tcW w:w="12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RXDX-105</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188</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102</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3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79"/>
              </w:rPr>
              <w:t>7</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17</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6x</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660" w:right="140"/>
        <w:spacing w:after="0" w:line="147" w:lineRule="exact"/>
        <w:rPr>
          <w:sz w:val="20"/>
          <w:szCs w:val="20"/>
          <w:color w:val="auto"/>
        </w:rPr>
      </w:pPr>
      <w:r>
        <w:rPr>
          <w:rFonts w:ascii="Arial" w:cs="Arial" w:eastAsia="Arial" w:hAnsi="Arial"/>
          <w:sz w:val="14"/>
          <w:szCs w:val="14"/>
          <w:color w:val="auto"/>
        </w:rPr>
        <w:t>Potency of BLU-667 against wild</w:t>
      </w:r>
      <w:r>
        <w:rPr>
          <w:rFonts w:ascii="MS PGothic" w:cs="MS PGothic" w:eastAsia="MS PGothic" w:hAnsi="MS PGothic"/>
          <w:sz w:val="14"/>
          <w:szCs w:val="14"/>
          <w:color w:val="auto"/>
        </w:rPr>
        <w:t>‑</w:t>
      </w:r>
      <w:r>
        <w:rPr>
          <w:rFonts w:ascii="Arial" w:cs="Arial" w:eastAsia="Arial" w:hAnsi="Arial"/>
          <w:sz w:val="14"/>
          <w:szCs w:val="14"/>
          <w:color w:val="auto"/>
        </w:rPr>
        <w:t>type RET, predicted RET resistant mutants and the anti-target VEGFR-2 compared to a panel of multi</w:t>
      </w:r>
      <w:r>
        <w:rPr>
          <w:rFonts w:ascii="MS PGothic" w:cs="MS PGothic" w:eastAsia="MS PGothic" w:hAnsi="MS PGothic"/>
          <w:sz w:val="14"/>
          <w:szCs w:val="14"/>
          <w:color w:val="auto"/>
        </w:rPr>
        <w:t>‑</w:t>
      </w:r>
      <w:r>
        <w:rPr>
          <w:rFonts w:ascii="Arial" w:cs="Arial" w:eastAsia="Arial" w:hAnsi="Arial"/>
          <w:sz w:val="14"/>
          <w:szCs w:val="14"/>
          <w:color w:val="auto"/>
        </w:rPr>
        <w:t>kinase inhibitors with RET inhibitory activity. The inhibitory potencies of BLU-667 and the multi</w:t>
      </w:r>
      <w:r>
        <w:rPr>
          <w:rFonts w:ascii="MS PGothic" w:cs="MS PGothic" w:eastAsia="MS PGothic" w:hAnsi="MS PGothic"/>
          <w:sz w:val="14"/>
          <w:szCs w:val="14"/>
          <w:color w:val="auto"/>
        </w:rPr>
        <w:t>‑</w:t>
      </w:r>
      <w:r>
        <w:rPr>
          <w:rFonts w:ascii="Arial" w:cs="Arial" w:eastAsia="Arial" w:hAnsi="Arial"/>
          <w:sz w:val="14"/>
          <w:szCs w:val="14"/>
          <w:color w:val="auto"/>
        </w:rPr>
        <w:t>kinase inhibitors against wild</w:t>
      </w:r>
      <w:r>
        <w:rPr>
          <w:rFonts w:ascii="MS PGothic" w:cs="MS PGothic" w:eastAsia="MS PGothic" w:hAnsi="MS PGothic"/>
          <w:sz w:val="14"/>
          <w:szCs w:val="14"/>
          <w:color w:val="auto"/>
        </w:rPr>
        <w:t>‑</w:t>
      </w:r>
      <w:r>
        <w:rPr>
          <w:rFonts w:ascii="Arial" w:cs="Arial" w:eastAsia="Arial" w:hAnsi="Arial"/>
          <w:sz w:val="14"/>
          <w:szCs w:val="14"/>
          <w:color w:val="auto"/>
        </w:rPr>
        <w:t xml:space="preserve">type RET, RET resistant mutants and VEGFR2 were evaluated in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enzyme activity assays. The inhibitory potencies of these compounds were also evaluated in cell lines driven by either a wild</w:t>
      </w:r>
      <w:r>
        <w:rPr>
          <w:rFonts w:ascii="MS PGothic" w:cs="MS PGothic" w:eastAsia="MS PGothic" w:hAnsi="MS PGothic"/>
          <w:sz w:val="14"/>
          <w:szCs w:val="14"/>
          <w:color w:val="auto"/>
        </w:rPr>
        <w:t>‑</w:t>
      </w:r>
      <w:r>
        <w:rPr>
          <w:rFonts w:ascii="Arial" w:cs="Arial" w:eastAsia="Arial" w:hAnsi="Arial"/>
          <w:sz w:val="14"/>
          <w:szCs w:val="14"/>
          <w:color w:val="auto"/>
        </w:rPr>
        <w:t>type RET fusion or a mutant RET fusion.</w:t>
      </w:r>
    </w:p>
    <w:p>
      <w:pPr>
        <w:spacing w:after="0" w:line="176" w:lineRule="exact"/>
        <w:rPr>
          <w:sz w:val="20"/>
          <w:szCs w:val="20"/>
          <w:color w:val="auto"/>
        </w:rPr>
      </w:pPr>
    </w:p>
    <w:p>
      <w:pPr>
        <w:ind w:right="280" w:firstLine="648"/>
        <w:spacing w:after="0" w:line="203" w:lineRule="exact"/>
        <w:rPr>
          <w:sz w:val="20"/>
          <w:szCs w:val="20"/>
          <w:color w:val="auto"/>
        </w:rPr>
      </w:pPr>
      <w:r>
        <w:rPr>
          <w:rFonts w:ascii="Arial" w:cs="Arial" w:eastAsia="Arial" w:hAnsi="Arial"/>
          <w:sz w:val="17"/>
          <w:szCs w:val="17"/>
          <w:color w:val="auto"/>
        </w:rPr>
        <w:t>We have demonstrated significant anti</w:t>
      </w:r>
      <w:r>
        <w:rPr>
          <w:rFonts w:ascii="MS PGothic" w:cs="MS PGothic" w:eastAsia="MS PGothic" w:hAnsi="MS PGothic"/>
          <w:sz w:val="17"/>
          <w:szCs w:val="17"/>
          <w:color w:val="auto"/>
        </w:rPr>
        <w:t>‑</w:t>
      </w:r>
      <w:r>
        <w:rPr>
          <w:rFonts w:ascii="Arial" w:cs="Arial" w:eastAsia="Arial" w:hAnsi="Arial"/>
          <w:sz w:val="17"/>
          <w:szCs w:val="17"/>
          <w:color w:val="auto"/>
        </w:rPr>
        <w:t>tumor efficacy with BLU-667 in both a KIF5b-RET fusion allograft and a KIF5b-RET (V804L) resistant mutant allograft. Administration of BLU-667 orally twice daily for 14 days in a</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6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wild</w:t>
      </w:r>
      <w:r>
        <w:rPr>
          <w:rFonts w:ascii="MS PGothic" w:cs="MS PGothic" w:eastAsia="MS PGothic" w:hAnsi="MS PGothic"/>
          <w:sz w:val="18"/>
          <w:szCs w:val="18"/>
          <w:color w:val="auto"/>
        </w:rPr>
        <w:t>‑</w:t>
      </w:r>
      <w:r>
        <w:rPr>
          <w:rFonts w:ascii="Arial" w:cs="Arial" w:eastAsia="Arial" w:hAnsi="Arial"/>
          <w:sz w:val="18"/>
          <w:szCs w:val="18"/>
          <w:color w:val="auto"/>
        </w:rPr>
        <w:t>type RET fusion allograft and for 14 days in a predicted RET resistant mutant allograft resulted in robust and</w:t>
      </w:r>
    </w:p>
    <w:p>
      <w:pPr>
        <w:ind w:right="220"/>
        <w:spacing w:after="0" w:line="182" w:lineRule="exact"/>
        <w:rPr>
          <w:sz w:val="20"/>
          <w:szCs w:val="20"/>
          <w:color w:val="auto"/>
        </w:rPr>
      </w:pPr>
      <w:r>
        <w:rPr>
          <w:rFonts w:ascii="Arial" w:cs="Arial" w:eastAsia="Arial" w:hAnsi="Arial"/>
          <w:sz w:val="17"/>
          <w:szCs w:val="17"/>
          <w:color w:val="auto"/>
        </w:rPr>
        <w:t>dose</w:t>
      </w:r>
      <w:r>
        <w:rPr>
          <w:rFonts w:ascii="MS PGothic" w:cs="MS PGothic" w:eastAsia="MS PGothic" w:hAnsi="MS PGothic"/>
          <w:sz w:val="17"/>
          <w:szCs w:val="17"/>
          <w:color w:val="auto"/>
        </w:rPr>
        <w:t>‑</w:t>
      </w:r>
      <w:r>
        <w:rPr>
          <w:rFonts w:ascii="Arial" w:cs="Arial" w:eastAsia="Arial" w:hAnsi="Arial"/>
          <w:sz w:val="17"/>
          <w:szCs w:val="17"/>
          <w:color w:val="auto"/>
        </w:rPr>
        <w:t>dependent tumor growth inhibition. At a dose of 30 mg/kg twice daily, a well</w:t>
      </w:r>
      <w:r>
        <w:rPr>
          <w:rFonts w:ascii="MS PGothic" w:cs="MS PGothic" w:eastAsia="MS PGothic" w:hAnsi="MS PGothic"/>
          <w:sz w:val="17"/>
          <w:szCs w:val="17"/>
          <w:color w:val="auto"/>
        </w:rPr>
        <w:t>‑</w:t>
      </w:r>
      <w:r>
        <w:rPr>
          <w:rFonts w:ascii="Arial" w:cs="Arial" w:eastAsia="Arial" w:hAnsi="Arial"/>
          <w:sz w:val="17"/>
          <w:szCs w:val="17"/>
          <w:color w:val="auto"/>
        </w:rPr>
        <w:t>tolerated dose, the compound induced tumor regression in both models. The anti</w:t>
      </w:r>
      <w:r>
        <w:rPr>
          <w:rFonts w:ascii="MS PGothic" w:cs="MS PGothic" w:eastAsia="MS PGothic" w:hAnsi="MS PGothic"/>
          <w:sz w:val="17"/>
          <w:szCs w:val="17"/>
          <w:color w:val="auto"/>
        </w:rPr>
        <w:t>‑</w:t>
      </w:r>
      <w:r>
        <w:rPr>
          <w:rFonts w:ascii="Arial" w:cs="Arial" w:eastAsia="Arial" w:hAnsi="Arial"/>
          <w:sz w:val="17"/>
          <w:szCs w:val="17"/>
          <w:color w:val="auto"/>
        </w:rPr>
        <w:t>tumor efficacy of a multi</w:t>
      </w:r>
      <w:r>
        <w:rPr>
          <w:rFonts w:ascii="MS PGothic" w:cs="MS PGothic" w:eastAsia="MS PGothic" w:hAnsi="MS PGothic"/>
          <w:sz w:val="17"/>
          <w:szCs w:val="17"/>
          <w:color w:val="auto"/>
        </w:rPr>
        <w:t>‑</w:t>
      </w:r>
      <w:r>
        <w:rPr>
          <w:rFonts w:ascii="Arial" w:cs="Arial" w:eastAsia="Arial" w:hAnsi="Arial"/>
          <w:sz w:val="17"/>
          <w:szCs w:val="17"/>
          <w:color w:val="auto"/>
        </w:rPr>
        <w:t>kinase inhibitor with RET inhibitory activity that is being evaluated in the clinic for treatment of patients with RET fusion positive lung cancer (reference compound) was also evaluated in these models. This reference compound, dosed orally once daily at 60 mg/kg, a well</w:t>
      </w:r>
      <w:r>
        <w:rPr>
          <w:rFonts w:ascii="MS PGothic" w:cs="MS PGothic" w:eastAsia="MS PGothic" w:hAnsi="MS PGothic"/>
          <w:sz w:val="17"/>
          <w:szCs w:val="17"/>
          <w:color w:val="auto"/>
        </w:rPr>
        <w:t>‑</w:t>
      </w:r>
      <w:r>
        <w:rPr>
          <w:rFonts w:ascii="Arial" w:cs="Arial" w:eastAsia="Arial" w:hAnsi="Arial"/>
          <w:sz w:val="17"/>
          <w:szCs w:val="17"/>
          <w:color w:val="auto"/>
        </w:rPr>
        <w:t>tolerated dose, inhibited tumor growth in the wild</w:t>
      </w:r>
      <w:r>
        <w:rPr>
          <w:rFonts w:ascii="MS PGothic" w:cs="MS PGothic" w:eastAsia="MS PGothic" w:hAnsi="MS PGothic"/>
          <w:sz w:val="17"/>
          <w:szCs w:val="17"/>
          <w:color w:val="auto"/>
        </w:rPr>
        <w:t>‑</w:t>
      </w:r>
      <w:r>
        <w:rPr>
          <w:rFonts w:ascii="Arial" w:cs="Arial" w:eastAsia="Arial" w:hAnsi="Arial"/>
          <w:sz w:val="17"/>
          <w:szCs w:val="17"/>
          <w:color w:val="auto"/>
        </w:rPr>
        <w:t>type RET fusion allograft. At the same dose level in the RET resistant mutant allograft, this reference compound showed diminished inhibition of tumor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4939665" cy="16294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39665" cy="162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60" w:right="100"/>
        <w:spacing w:after="0" w:line="269" w:lineRule="auto"/>
        <w:rPr>
          <w:sz w:val="20"/>
          <w:szCs w:val="20"/>
          <w:color w:val="auto"/>
        </w:rPr>
      </w:pPr>
      <w:r>
        <w:rPr>
          <w:rFonts w:ascii="Arial" w:cs="Arial" w:eastAsia="Arial" w:hAnsi="Arial"/>
          <w:sz w:val="13"/>
          <w:szCs w:val="13"/>
          <w:color w:val="auto"/>
        </w:rPr>
        <w:t>BLU-667, a RET inhibitor, elicits dose dependent tumor growth inhibition in both a KIF5b-RET fusion allograft (left figure)) and a KIF5b-RET (V804L) resistant mutant allograft model (right figure). In the figure above, BID means twice a day, and QD means once a day.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 Clinical Trial for Patients with RET-Altered NSCLC, MTC and Other Advanced Solid Tumors</w:t>
      </w:r>
    </w:p>
    <w:p>
      <w:pPr>
        <w:spacing w:after="0" w:line="185" w:lineRule="exact"/>
        <w:rPr>
          <w:sz w:val="20"/>
          <w:szCs w:val="20"/>
          <w:color w:val="auto"/>
        </w:rPr>
      </w:pPr>
    </w:p>
    <w:p>
      <w:pPr>
        <w:ind w:firstLine="648"/>
        <w:spacing w:after="0" w:line="183" w:lineRule="exact"/>
        <w:rPr>
          <w:sz w:val="20"/>
          <w:szCs w:val="20"/>
          <w:color w:val="auto"/>
        </w:rPr>
      </w:pPr>
      <w:r>
        <w:rPr>
          <w:rFonts w:ascii="Arial" w:cs="Arial" w:eastAsia="Arial" w:hAnsi="Arial"/>
          <w:sz w:val="18"/>
          <w:szCs w:val="18"/>
          <w:color w:val="auto"/>
        </w:rPr>
        <w:t>BLU</w:t>
      </w:r>
      <w:r>
        <w:rPr>
          <w:rFonts w:ascii="MS PGothic" w:cs="MS PGothic" w:eastAsia="MS PGothic" w:hAnsi="MS PGothic"/>
          <w:sz w:val="18"/>
          <w:szCs w:val="18"/>
          <w:color w:val="auto"/>
        </w:rPr>
        <w:t>‑</w:t>
      </w:r>
      <w:r>
        <w:rPr>
          <w:rFonts w:ascii="Arial" w:cs="Arial" w:eastAsia="Arial" w:hAnsi="Arial"/>
          <w:sz w:val="18"/>
          <w:szCs w:val="18"/>
          <w:color w:val="auto"/>
        </w:rPr>
        <w:t>667 is currently being evaluated in the dose escalation portion of a Phase 1 clinical trial in patients with RET</w:t>
      </w:r>
      <w:r>
        <w:rPr>
          <w:rFonts w:ascii="MS PGothic" w:cs="MS PGothic" w:eastAsia="MS PGothic" w:hAnsi="MS PGothic"/>
          <w:sz w:val="18"/>
          <w:szCs w:val="18"/>
          <w:color w:val="auto"/>
        </w:rPr>
        <w:t>‑</w:t>
      </w:r>
      <w:r>
        <w:rPr>
          <w:rFonts w:ascii="Arial" w:cs="Arial" w:eastAsia="Arial" w:hAnsi="Arial"/>
          <w:sz w:val="18"/>
          <w:szCs w:val="18"/>
          <w:color w:val="auto"/>
        </w:rPr>
        <w:t>altered NSCLC, MTC and other advanced solid tumors, and enrollment is ongoing. As of December 1, 2017, 30 patients had been enrolled in the dose escalation portion of the trial. BLU</w:t>
      </w:r>
      <w:r>
        <w:rPr>
          <w:rFonts w:ascii="MS PGothic" w:cs="MS PGothic" w:eastAsia="MS PGothic" w:hAnsi="MS PGothic"/>
          <w:sz w:val="18"/>
          <w:szCs w:val="18"/>
          <w:color w:val="auto"/>
        </w:rPr>
        <w:t>‑</w:t>
      </w:r>
      <w:r>
        <w:rPr>
          <w:rFonts w:ascii="Arial" w:cs="Arial" w:eastAsia="Arial" w:hAnsi="Arial"/>
          <w:sz w:val="18"/>
          <w:szCs w:val="18"/>
          <w:color w:val="auto"/>
        </w:rPr>
        <w:t>667 has been generally well</w:t>
      </w:r>
      <w:r>
        <w:rPr>
          <w:rFonts w:ascii="MS PGothic" w:cs="MS PGothic" w:eastAsia="MS PGothic" w:hAnsi="MS PGothic"/>
          <w:sz w:val="18"/>
          <w:szCs w:val="18"/>
          <w:color w:val="auto"/>
        </w:rPr>
        <w:t>‑</w:t>
      </w:r>
      <w:r>
        <w:rPr>
          <w:rFonts w:ascii="Arial" w:cs="Arial" w:eastAsia="Arial" w:hAnsi="Arial"/>
          <w:sz w:val="18"/>
          <w:szCs w:val="18"/>
          <w:color w:val="auto"/>
        </w:rPr>
        <w:t>tolerated to date, and the majority of AEs reported by investigators were Grade 1. We have not identified an MTD or RP2D. Investigators have reported preliminary evidence of clinical activity in patients with NSCLC, including patients with KIF5B and other RET fusions, and RET</w:t>
      </w:r>
      <w:r>
        <w:rPr>
          <w:rFonts w:ascii="MS PGothic" w:cs="MS PGothic" w:eastAsia="MS PGothic" w:hAnsi="MS PGothic"/>
          <w:sz w:val="18"/>
          <w:szCs w:val="18"/>
          <w:color w:val="auto"/>
        </w:rPr>
        <w:t>‑</w:t>
      </w:r>
      <w:r>
        <w:rPr>
          <w:rFonts w:ascii="Arial" w:cs="Arial" w:eastAsia="Arial" w:hAnsi="Arial"/>
          <w:sz w:val="18"/>
          <w:szCs w:val="18"/>
          <w:color w:val="auto"/>
        </w:rPr>
        <w:t>altered MTC. We plan to report preliminary data from this clinical trial and initiate the expansion portion in the first half of 2018.</w:t>
      </w:r>
    </w:p>
    <w:p>
      <w:pPr>
        <w:spacing w:after="0" w:line="165"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i w:val="1"/>
          <w:iCs w:val="1"/>
          <w:color w:val="auto"/>
        </w:rPr>
        <w:t xml:space="preserve">Phase 1 Clinical Trial Design. </w:t>
      </w:r>
      <w:r>
        <w:rPr>
          <w:rFonts w:ascii="Arial" w:cs="Arial" w:eastAsia="Arial" w:hAnsi="Arial"/>
          <w:sz w:val="17"/>
          <w:szCs w:val="17"/>
          <w:color w:val="auto"/>
        </w:rPr>
        <w:t>This Phase 1 clinical trial is designed to evaluate the safety and tolerability of BLU-667 in multiple ascending doses in adults with RET-altered NSCLC, MTC and other advanced solid tumors. The trial consists of two parts: a dose escalation portion and an expansion portion. The goal of the dose escalation portion is to establish an MTD or a recommended dose if the MTD is not achieved. Once the MTD is reached or a recommended dose is established, we plan to open expansion cohorts for the following four patient groups: (1) NSCLC patients with a RET rearrangement who have undergone prior treatment with a TKI that inhibits RET, (2) NSCLC patients with a RET rearrangement who have not been previously treated with a TKI that inhibits RET, (3) patients with MTC and (4) patients with RET-altered solid tumors, other than NSCLC and MTC. Secondary objectives for this trial include assessing the PK profile of BLU-667, assessing RET gene status in plasma and tumor tissue, characterizing the PD of BLU -667 and assessing response rate by RECIST. The Phase 1 clinical trial is designed to enroll approximately 115 patients, including approximately 35 patients during dose escalation and approximately 80 patients across all four expansion cohorts, at multiple sites in the United States and the European Union.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with Roche</w:t>
      </w:r>
    </w:p>
    <w:p>
      <w:pPr>
        <w:spacing w:after="0" w:line="148" w:lineRule="exact"/>
        <w:rPr>
          <w:sz w:val="20"/>
          <w:szCs w:val="20"/>
          <w:color w:val="auto"/>
        </w:rPr>
      </w:pPr>
    </w:p>
    <w:p>
      <w:pPr>
        <w:ind w:right="20" w:firstLine="648"/>
        <w:spacing w:after="0" w:line="244" w:lineRule="auto"/>
        <w:rPr>
          <w:sz w:val="20"/>
          <w:szCs w:val="20"/>
          <w:color w:val="auto"/>
        </w:rPr>
      </w:pPr>
      <w:r>
        <w:rPr>
          <w:rFonts w:ascii="Arial" w:cs="Arial" w:eastAsia="Arial" w:hAnsi="Arial"/>
          <w:sz w:val="16"/>
          <w:szCs w:val="16"/>
          <w:color w:val="auto"/>
        </w:rPr>
        <w:t>In March 2016, we entered into the Roche agreement pursuant to which we and Roche have agreed to collaborate on the discovery, development and commercialization of up to five small molecule therapeutics targeting kinases believed to be important in cancer immunotherapy, as single products or possibly in combination with other therapeutics. The parties are currently conducting activities for up to five programs under the collaboration, including up to two collaboration programs leveraging our novel target discovery engine and proprietary compound library to select potential targets.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0" w:firstLine="648"/>
        <w:spacing w:after="0" w:line="220" w:lineRule="auto"/>
        <w:rPr>
          <w:sz w:val="20"/>
          <w:szCs w:val="20"/>
          <w:color w:val="auto"/>
        </w:rPr>
      </w:pPr>
      <w:r>
        <w:rPr>
          <w:rFonts w:ascii="Arial" w:cs="Arial" w:eastAsia="Arial" w:hAnsi="Arial"/>
          <w:sz w:val="17"/>
          <w:szCs w:val="17"/>
          <w:color w:val="auto"/>
        </w:rPr>
        <w:t>Under the Roche agreement, Roche is granted up to five option rights to obtain an exclusive license to exploit products derived from the collaboration programs, or licensed products, in the field of cancer immunotherapy. Such option rights are triggered upon the achievement of Phase 1 proof-of-concept. For up to three of the five collaboration programs, if Roche exercises its option, Roche will receive worldwide, exclusive commercialization rights for the licensed products. For up to two of the five collaboration programs, if Roche exercises its option, we will retain commercialization rights in the United States for the licensed products, and Roche will receive commercialization rights outside of the United States for the licensed products. We will also retain worldwide rights to any products for which Roche elects not to exercise its applicable option. Prior to Roche’s exercise of an option, we will have the lead responsibility for drug discovery and pre-clinical development of all collaboration programs. In addition, we will have the lead responsibility for the conduct of all Phase 1 clinical trials other than those Phase 1 clinical trials for any product in combination with Roche’s portfolio of therapeutics, for which Roche will have the right to lead the conduct of such Phase 1 clinical trials. Pursuant to the Roche agreement, the parties will share the costs of Phase 1 development for each collaboration program. In addition, Roche will be responsible for post-Phase 1 development costs for each licensed product for which it retains global commercialization rights, and we and Roche will share post-Phase 1 development costs for each licensed product for which we retain commercialization rights in the United States.</w:t>
      </w:r>
    </w:p>
    <w:p>
      <w:pPr>
        <w:spacing w:after="0" w:line="162" w:lineRule="exact"/>
        <w:rPr>
          <w:sz w:val="20"/>
          <w:szCs w:val="20"/>
          <w:color w:val="auto"/>
        </w:rPr>
      </w:pPr>
    </w:p>
    <w:p>
      <w:pPr>
        <w:ind w:right="40" w:firstLine="648"/>
        <w:spacing w:after="0" w:line="234" w:lineRule="auto"/>
        <w:rPr>
          <w:sz w:val="20"/>
          <w:szCs w:val="20"/>
          <w:color w:val="auto"/>
        </w:rPr>
      </w:pPr>
      <w:r>
        <w:rPr>
          <w:rFonts w:ascii="Arial" w:cs="Arial" w:eastAsia="Arial" w:hAnsi="Arial"/>
          <w:sz w:val="16"/>
          <w:szCs w:val="16"/>
          <w:color w:val="auto"/>
        </w:rPr>
        <w:t>We received an upfront cash payment of $45.0 million in March 2016 upon execution of the Roche agreement, and subject to the terms of the Roche agreement, we will be eligible to receive up to approximately $965.0 million in contingent option fees and milestone payments related to specified research, pre-clinical, clinical, regulatory and sales-based milestones. Of the total contingent payments, up to approximately $215.0 million are for option fees and milestone payments for research, pre-clinical and clinical development events prior to licensing across all five potential collaboration programs, including contingent milestone payments for initiation of each of the collaboration programs for which the parties will work together to select targets. In addition, for any licensed product for which Roche retains worldwide commercialization rights, we will be eligible to receive tiered royalties ranging from low double-digits to high-teens on future net sales of the licensed product. For any licensed product for which we retain commercialization rights in the United States, we and Roche will be eligible to receive tiered royalties ranging from mid-single-digits to low double-digits on future net sales in the other party’s respective territories in which it commercializes the licensed product. The upfront cash payment and any payments for milestones, option fees and royalties are non-refundable, non-creditable and not subject to set-off.</w:t>
      </w:r>
    </w:p>
    <w:p>
      <w:pPr>
        <w:spacing w:after="0" w:line="170"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Under the Roche agreement, each party has granted the other party specified intellectual property licenses to enable the other party to perform its obligations and exercise its rights under the Roche agreement, including license grants to enable each party to conduct research, development and commercialization activities pursuant to the terms of the Roche agreement. Following Roche’s exercise of its option with respect to the collaboration programs for which it will obtain worldwide rights, we will grant Roche an exclusive license under our intellectual property to develop and commercialize the licensed products generated through such collaboration program. Similarly, Roche will grant us an exclusive license under Roche’s intellectual property to develop and commercialize licensed products in the United States for the collaboration programs on which we will retain rights in the United States, with Roche receiving a license under our intellectual property to develop and commercialize such licensed products outside of the United States.</w:t>
      </w:r>
    </w:p>
    <w:p>
      <w:pPr>
        <w:spacing w:after="0" w:line="162" w:lineRule="exact"/>
        <w:rPr>
          <w:sz w:val="20"/>
          <w:szCs w:val="20"/>
          <w:color w:val="auto"/>
        </w:rPr>
      </w:pPr>
    </w:p>
    <w:p>
      <w:pPr>
        <w:ind w:right="40" w:firstLine="648"/>
        <w:spacing w:after="0" w:line="237" w:lineRule="auto"/>
        <w:rPr>
          <w:sz w:val="20"/>
          <w:szCs w:val="20"/>
          <w:color w:val="auto"/>
        </w:rPr>
      </w:pPr>
      <w:r>
        <w:rPr>
          <w:rFonts w:ascii="Arial" w:cs="Arial" w:eastAsia="Arial" w:hAnsi="Arial"/>
          <w:sz w:val="16"/>
          <w:szCs w:val="16"/>
          <w:color w:val="auto"/>
        </w:rPr>
        <w:t>Subject to the terms and conditions of the Roche agreement, we have agreed to work exclusively with Roche with respect to each collaboration target, and we have agreed to work exclusively within the field of cancer immunotherapy for a period of up to 30 months after the execution of the Roche agreement. In addition, subject to specified exceptions, Roche has a right of first negotiation in the event that we desire to grant any third party rights to develop or commercialize a licensed product under either of the collaboration programs for which we will retain commercialization rights in the United States. Roche’s right of first negotiation will not apply in connection with a change of control of us, an assignment by us in accordance with the terms of the Roche agreement or certain agreements with contract research organizations, contract manufacturing organizations, academic institutions, not-for-profit third parties or distributors.</w:t>
      </w:r>
    </w:p>
    <w:p>
      <w:pPr>
        <w:spacing w:after="0" w:line="167"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The Roche agreement will continue until the date when no royalty or other payment obligations are or will become due, unless earlier terminated in accordance with the terms of the Roche agreement. Prior to its exercise of its first option, Roche may terminate the Roche agreement at will, in whole or on a collaboration target-by-collaboration target basis, upon 120 days’ prior written notice to us. Following its exercise of an option, Roche may terminate the Roche agreement at will, in whole, on a collaboration target-by-collaboration target basis, on a collaboration program-by-collaboration program basis or, if a licensed product has been commercially sold, on a country-by-country basis, (i) upon 120 days’ prior written notice if a licensed product has not been commercially sold or (ii) upon 180 days’ prior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written notice if a licensed product has been commercially sold. Either party may terminate the Roche agreement for the other party’s uncured material breach or insolvency and in certain other circumstances agreed to by the parties. In certain termination circumstances, we are entitled to retain specified licenses to be able to continue to exploit the licensed products.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48" w:lineRule="exact"/>
        <w:rPr>
          <w:sz w:val="20"/>
          <w:szCs w:val="20"/>
          <w:color w:val="auto"/>
        </w:rPr>
      </w:pPr>
    </w:p>
    <w:p>
      <w:pPr>
        <w:ind w:right="20" w:firstLine="648"/>
        <w:spacing w:after="0" w:line="182" w:lineRule="exact"/>
        <w:rPr>
          <w:sz w:val="20"/>
          <w:szCs w:val="20"/>
          <w:color w:val="auto"/>
        </w:rPr>
      </w:pPr>
      <w:r>
        <w:rPr>
          <w:rFonts w:ascii="Arial" w:cs="Arial" w:eastAsia="Arial" w:hAnsi="Arial"/>
          <w:sz w:val="16"/>
          <w:szCs w:val="16"/>
          <w:color w:val="auto"/>
        </w:rPr>
        <w:t>Our commercial success depends in part on our ability to obtain and maintain proprietary or intellectual property protection for our drug candidates, including avapritinib, BLU</w:t>
      </w:r>
      <w:r>
        <w:rPr>
          <w:rFonts w:ascii="MS PGothic" w:cs="MS PGothic" w:eastAsia="MS PGothic" w:hAnsi="MS PGothic"/>
          <w:sz w:val="16"/>
          <w:szCs w:val="16"/>
          <w:color w:val="auto"/>
        </w:rPr>
        <w:t>‑</w:t>
      </w:r>
      <w:r>
        <w:rPr>
          <w:rFonts w:ascii="Arial" w:cs="Arial" w:eastAsia="Arial" w:hAnsi="Arial"/>
          <w:sz w:val="16"/>
          <w:szCs w:val="16"/>
          <w:color w:val="auto"/>
        </w:rPr>
        <w:t>554, BLU-667 and BLU-782, and our core technologies, including our novel target discovery engine and our proprietary compound library, and other know</w:t>
      </w:r>
      <w:r>
        <w:rPr>
          <w:rFonts w:ascii="MS PGothic" w:cs="MS PGothic" w:eastAsia="MS PGothic" w:hAnsi="MS PGothic"/>
          <w:sz w:val="16"/>
          <w:szCs w:val="16"/>
          <w:color w:val="auto"/>
        </w:rPr>
        <w:t>‑</w:t>
      </w:r>
      <w:r>
        <w:rPr>
          <w:rFonts w:ascii="Arial" w:cs="Arial" w:eastAsia="Arial" w:hAnsi="Arial"/>
          <w:sz w:val="16"/>
          <w:szCs w:val="16"/>
          <w:color w:val="auto"/>
        </w:rPr>
        <w:t>how; to operate without infringing on the proprietary rights of others; and to prevent others from infringing our proprietary or intellectual property rights. Our policy is to seek to protect our proprietary and intellectual property position by, among other methods, filing U.S., international and foreign patent applications related to our proprietary technology, inventions and improvements that are important to the development and implementation of our business. We also rely on trade secrets, know</w:t>
      </w:r>
      <w:r>
        <w:rPr>
          <w:rFonts w:ascii="MS PGothic" w:cs="MS PGothic" w:eastAsia="MS PGothic" w:hAnsi="MS PGothic"/>
          <w:sz w:val="16"/>
          <w:szCs w:val="16"/>
          <w:color w:val="auto"/>
        </w:rPr>
        <w:t>‑</w:t>
      </w:r>
      <w:r>
        <w:rPr>
          <w:rFonts w:ascii="Arial" w:cs="Arial" w:eastAsia="Arial" w:hAnsi="Arial"/>
          <w:sz w:val="16"/>
          <w:szCs w:val="16"/>
          <w:color w:val="auto"/>
        </w:rPr>
        <w:t>how and continuing technological innovation to develop and maintain our proprietary and intellectual property position.</w:t>
      </w:r>
    </w:p>
    <w:p>
      <w:pPr>
        <w:spacing w:after="0" w:line="140"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We file patent applications directed to our drug candidates in an effort to establish intellectual property positions regarding these new chemical entities as well as uses of these new chemical entities in the treatment of diseases. We also file patent applications directed to novel fusions that we have discovered through our target discovery engine and the use of these fusions in diagnosing and treating disease. As of February 15, 2018, we owned ten issued U.S. patents, 25 pending</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17"/>
          <w:szCs w:val="17"/>
          <w:color w:val="auto"/>
        </w:rPr>
        <w:t>U.S. patent applications, 5 pending U.S. provisional applications, 87 foreign patent applications pending in a number of jurisdictions, including Australia, Brazil, Canada, China, the European Union, Israel, India, Japan, South Korea, Mexico New Zealand, Russia, South Africa, three issued foreign patents, and nine pending Patent Cooperation Treaty, or PCT, patent applications. Our pending patent applications pertain to our key research and development programs, specifically our programs for avapritinib, BLU-554, BLU-667 and BLU-782, and our pipeline, specifically novel recurrent fusions. Our issued U.S. patents are projected to expire between 2033 and 2034, and any patents that may issue from our pending U.S. applications would be projected to expire between 2034 and 2037.</w:t>
      </w:r>
    </w:p>
    <w:p>
      <w:pPr>
        <w:spacing w:after="0" w:line="123" w:lineRule="exact"/>
        <w:rPr>
          <w:sz w:val="20"/>
          <w:szCs w:val="20"/>
          <w:color w:val="auto"/>
        </w:rPr>
      </w:pPr>
    </w:p>
    <w:p>
      <w:pPr>
        <w:jc w:val="both"/>
        <w:ind w:right="40" w:firstLine="648"/>
        <w:spacing w:after="0" w:line="244" w:lineRule="auto"/>
        <w:rPr>
          <w:sz w:val="20"/>
          <w:szCs w:val="20"/>
          <w:color w:val="auto"/>
        </w:rPr>
      </w:pPr>
      <w:r>
        <w:rPr>
          <w:rFonts w:ascii="Arial" w:cs="Arial" w:eastAsia="Arial" w:hAnsi="Arial"/>
          <w:sz w:val="16"/>
          <w:szCs w:val="16"/>
          <w:color w:val="auto"/>
        </w:rPr>
        <w:t>The intellectual property portfolios for our most advanced drug candidates as of February 15, 2018 are summarized below. Each of these portfolios is in its early stages and, with respect to some of the pending patent applications covering our drug candidates, prosecution has just begun or is in progress. Prosecution is a lengthy process, during which the scope of the claims initially submitted for examination by the USPTO often significantly narrowed by the time they issue, if they issue at all. We expect this to be the case with respect to our pending patent applications referred to below.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Avapritinib (KIT and PDGFRα)</w:t>
      </w:r>
    </w:p>
    <w:p>
      <w:pPr>
        <w:spacing w:after="0" w:line="158" w:lineRule="exact"/>
        <w:rPr>
          <w:sz w:val="20"/>
          <w:szCs w:val="20"/>
          <w:color w:val="auto"/>
        </w:rPr>
      </w:pPr>
    </w:p>
    <w:p>
      <w:pPr>
        <w:ind w:right="80" w:firstLine="648"/>
        <w:spacing w:after="0" w:line="232" w:lineRule="auto"/>
        <w:rPr>
          <w:sz w:val="20"/>
          <w:szCs w:val="20"/>
          <w:color w:val="auto"/>
        </w:rPr>
      </w:pPr>
      <w:r>
        <w:rPr>
          <w:rFonts w:ascii="Arial" w:cs="Arial" w:eastAsia="Arial" w:hAnsi="Arial"/>
          <w:sz w:val="16"/>
          <w:szCs w:val="16"/>
          <w:color w:val="auto"/>
        </w:rPr>
        <w:t>The intellectual property portfolio for our avapritinib program contains patent applications directed to compositions of matter for avapritinib and analogs, compositions of matter for KIT inhibitors with different compound families, as well as methods of use for these novel compounds. As of February 15, 2018, we owned five issued US patents, four pending U.S. patent applications, 36 pending foreign patent applications in a number of jurisdictions, including Argentina, Australia, Bolivia, Brazil, Canada, China, the European Union, Israel, India, Japan, South Korea, Mexico New Zealand, Pakistan, Russia, South Africa, Taiwan and Venezuela, one pending PCT patent application and two U.S. provisional</w:t>
      </w:r>
    </w:p>
    <w:p>
      <w:pPr>
        <w:spacing w:after="0" w:line="2" w:lineRule="exact"/>
        <w:rPr>
          <w:sz w:val="20"/>
          <w:szCs w:val="20"/>
          <w:color w:val="auto"/>
        </w:rPr>
      </w:pPr>
    </w:p>
    <w:p>
      <w:pPr>
        <w:jc w:val="both"/>
        <w:ind w:right="140"/>
        <w:spacing w:after="0" w:line="218" w:lineRule="auto"/>
        <w:rPr>
          <w:sz w:val="20"/>
          <w:szCs w:val="20"/>
          <w:color w:val="auto"/>
        </w:rPr>
      </w:pPr>
      <w:r>
        <w:rPr>
          <w:rFonts w:ascii="Arial" w:cs="Arial" w:eastAsia="Arial" w:hAnsi="Arial"/>
          <w:sz w:val="18"/>
          <w:szCs w:val="18"/>
          <w:color w:val="auto"/>
        </w:rPr>
        <w:t>applications directed to our KIT and PDGFRα program, including avapritinib. Any U.S. or ex-U.S. patents issuing from the pending applications covering avapritinib will have a statutory expiration date of October 2034. Patent term adjustments or patent term extensions could result in later expiration dates.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BLU-554 (FGFR4)</w:t>
      </w:r>
    </w:p>
    <w:p>
      <w:pPr>
        <w:spacing w:after="0" w:line="185" w:lineRule="exact"/>
        <w:rPr>
          <w:sz w:val="20"/>
          <w:szCs w:val="20"/>
          <w:color w:val="auto"/>
        </w:rPr>
      </w:pPr>
    </w:p>
    <w:p>
      <w:pPr>
        <w:ind w:right="40" w:firstLine="648"/>
        <w:spacing w:after="0" w:line="182" w:lineRule="exact"/>
        <w:rPr>
          <w:sz w:val="20"/>
          <w:szCs w:val="20"/>
          <w:color w:val="auto"/>
        </w:rPr>
      </w:pPr>
      <w:r>
        <w:rPr>
          <w:rFonts w:ascii="Arial" w:cs="Arial" w:eastAsia="Arial" w:hAnsi="Arial"/>
          <w:sz w:val="17"/>
          <w:szCs w:val="17"/>
          <w:color w:val="auto"/>
        </w:rPr>
        <w:t>The intellectual property portfolio for our BLU-554 program contains patent applications directed to compositions of matter for BLU</w:t>
      </w:r>
      <w:r>
        <w:rPr>
          <w:rFonts w:ascii="MS PGothic" w:cs="MS PGothic" w:eastAsia="MS PGothic" w:hAnsi="MS PGothic"/>
          <w:sz w:val="17"/>
          <w:szCs w:val="17"/>
          <w:color w:val="auto"/>
        </w:rPr>
        <w:t>‑</w:t>
      </w:r>
      <w:r>
        <w:rPr>
          <w:rFonts w:ascii="Arial" w:cs="Arial" w:eastAsia="Arial" w:hAnsi="Arial"/>
          <w:sz w:val="17"/>
          <w:szCs w:val="17"/>
          <w:color w:val="auto"/>
        </w:rPr>
        <w:t>554 and analogs, as well as compositions of matter for FGFR4 inhibitors with multiple compound families. The portfolio also includes patent applications directed to methods of use for the novel compounds as well as patent applications directed broadly to FGFR4 selective inhibitors. As of February 15, 2018, we owned four issued U.S. patents, three pending U.S. patent applications, one pending U.S. provisional application, one pending PCT international application, 41 foreign patent applications in a number of jurisdictions, including Australia, Brazil, Canada, China, the European Union, Israel, India, Japan, South Korea, Mexico New Zealand, Russia, South Africa and Taiwan, and three issued foreign patents directed to our FGFR4 program, including BLU-554. Any U.S. or ex-U.S. patent issuing</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from the pending applications covering BLU-554 will have a statutory expiration date of July 2033, December 2033, October 2034 or September 2037. Patent term adjustments or patent term extensions could result in later expiration dates.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BLU-667 (RET)</w:t>
      </w:r>
    </w:p>
    <w:p>
      <w:pPr>
        <w:spacing w:after="0" w:line="185"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The intellectual property portfolio for our BLU-667 program contains patent applications directed to compositions of matter for BLU-667 and analogs, compositions of matter for other inhibitors of predicted RET resistance mutations and methods of use for these novel compounds. As of February 15, 2018, we owned five pending U.S. patent applications, four pending PCT applications, six pending foreign patent applications filed in Argentina, Lebanon, Uruguay and Taiwan, and one pending provisional U.S. patent applications directed to our RET program, including BLU-667, which, if issued, will have statutory expiration dates of 2036 or 2037.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BLU-782 (ALK2)</w:t>
      </w:r>
    </w:p>
    <w:p>
      <w:pPr>
        <w:spacing w:after="0" w:line="185" w:lineRule="exact"/>
        <w:rPr>
          <w:sz w:val="20"/>
          <w:szCs w:val="20"/>
          <w:color w:val="auto"/>
        </w:rPr>
      </w:pPr>
    </w:p>
    <w:p>
      <w:pPr>
        <w:ind w:right="160" w:firstLine="648"/>
        <w:spacing w:after="0" w:line="244" w:lineRule="auto"/>
        <w:rPr>
          <w:sz w:val="20"/>
          <w:szCs w:val="20"/>
          <w:color w:val="auto"/>
        </w:rPr>
      </w:pPr>
      <w:r>
        <w:rPr>
          <w:rFonts w:ascii="Arial" w:cs="Arial" w:eastAsia="Arial" w:hAnsi="Arial"/>
          <w:sz w:val="16"/>
          <w:szCs w:val="16"/>
          <w:color w:val="auto"/>
        </w:rPr>
        <w:t>The intellectual property portfolio for our BLU-782 program contains patent applications directed to compositions of matter for BLU-782 and analogs, compositions of matter for other inhibitors with different compound families and methods of use for these novel compounds. As of February 15, 2018, we owned one pending U.S. patent application, one pending U.S. provisional patent application and one pending PCT international application directed to our ALK2 program, including BLU-782, which, if issued, will have statutory expiration dates of April 2037 or October 2038.</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w:t>
      </w:r>
    </w:p>
    <w:p>
      <w:pPr>
        <w:spacing w:after="0" w:line="185" w:lineRule="exact"/>
        <w:rPr>
          <w:sz w:val="20"/>
          <w:szCs w:val="20"/>
          <w:color w:val="auto"/>
        </w:rPr>
      </w:pPr>
    </w:p>
    <w:p>
      <w:pPr>
        <w:ind w:right="180" w:firstLine="648"/>
        <w:spacing w:after="0" w:line="249" w:lineRule="auto"/>
        <w:rPr>
          <w:sz w:val="20"/>
          <w:szCs w:val="20"/>
          <w:color w:val="auto"/>
        </w:rPr>
      </w:pPr>
      <w:r>
        <w:rPr>
          <w:rFonts w:ascii="Arial" w:cs="Arial" w:eastAsia="Arial" w:hAnsi="Arial"/>
          <w:sz w:val="16"/>
          <w:szCs w:val="16"/>
          <w:color w:val="auto"/>
        </w:rPr>
        <w:t>The intellectual property portfolio directed to our platform includes patent applications directed to novel gene fusions and the uses of these fusions for detecting and treating conditions implicated with these fusions. As of February 15, 2018, we owned ten pending U.S. patent applications and ten pending European Union patent applications directed to this technology, which, if issued, will have statutory expiration dates ranging from 2034 to 2035.</w:t>
      </w:r>
    </w:p>
    <w:p>
      <w:pPr>
        <w:spacing w:after="0" w:line="155"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The term of individual patents depends upon the legal term for patents in the countries in which they are obtained. In most countries, including the United States, the patent term is 20 years from the earliest filing date of a non</w:t>
      </w:r>
      <w:r>
        <w:rPr>
          <w:rFonts w:ascii="MS PGothic" w:cs="MS PGothic" w:eastAsia="MS PGothic" w:hAnsi="MS PGothic"/>
          <w:sz w:val="17"/>
          <w:szCs w:val="17"/>
          <w:color w:val="auto"/>
        </w:rPr>
        <w:t>‑</w:t>
      </w:r>
      <w:r>
        <w:rPr>
          <w:rFonts w:ascii="Arial" w:cs="Arial" w:eastAsia="Arial" w:hAnsi="Arial"/>
          <w:sz w:val="17"/>
          <w:szCs w:val="17"/>
          <w:color w:val="auto"/>
        </w:rPr>
        <w:t>provisional patent application. In the United States, a patent’s term may be lengthened by patent term adjustment, which compensates a patentee for administrative delays by the U.S. Patent and Trademark Office, or the USPTO, in examining and granting a patent, or may be shortened if a patent is terminally disclaimed over an earlier filed patent. The term of a patent that covers a drug or biological product may also be eligible for patent term extension when FDA approval is granted, provided statutory and regulatory requirements are met. See “— Government Regulation — U.S. Patent Term Restoration and Marketing Exclusivity” below for additional information on such exclusivity. In the future, if and when our drug candidates receive approval by the FDA or foreign regulatory authorities, we expect to apply for patent term extensions on issued patents covering those drugs, depending upon the length of the clinical trials for each drug and other factors. There can be no assurance that any of our pending patent applications will issue or that we will benefit from any patent term extension or favorable adjustment to the term of any of our patents.</w:t>
      </w:r>
    </w:p>
    <w:p>
      <w:pPr>
        <w:spacing w:after="0" w:line="163"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As with other biotechnology and pharmaceutical companies, our ability to maintain and solidify our proprietary and intellectual property position for our drug candidates and technologies will depend on our success in obtaining effective patent claims and enforcing those claims if granted. However, our pending patent applications, and any patent applications that we may in the future file or license from third parties may not result in the issuance of patents. We also cannot predict the breadth of claims that may be allowed or enforced in our patents. Any issued patents that we may receive in the future may be challenged, invalidated or circumvented. For example, we cannot be certain of the priority of inventions covered by pending third</w:t>
      </w:r>
      <w:r>
        <w:rPr>
          <w:rFonts w:ascii="MS PGothic" w:cs="MS PGothic" w:eastAsia="MS PGothic" w:hAnsi="MS PGothic"/>
          <w:sz w:val="16"/>
          <w:szCs w:val="16"/>
          <w:color w:val="auto"/>
        </w:rPr>
        <w:t>‑</w:t>
      </w:r>
      <w:r>
        <w:rPr>
          <w:rFonts w:ascii="Arial" w:cs="Arial" w:eastAsia="Arial" w:hAnsi="Arial"/>
          <w:sz w:val="16"/>
          <w:szCs w:val="16"/>
          <w:color w:val="auto"/>
        </w:rPr>
        <w:t>party patent applications. If third parties prepare and file patent applications in the United States that also claim technology or therapeutics to which we have rights, we may have to participate in interference proceedings in the USPTO to determine priority of invention, which could result in substantial costs to us, even if the eventual outcome is favorable to us, which is highly unpredictable. In addition, because of the extensive time required for clinical development and regulatory review of a drug candidate we may develop, it is possible that, before any of our drug candidates can be commercialized, any related patent may expire or remain in force for only a short period following commercialization, thereby limiting protection such patent would afford the respective product and any competitive advantage such patent may provide.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In addition to patents, we rely upon unpatented trade secrets and know</w:t>
      </w:r>
      <w:r>
        <w:rPr>
          <w:rFonts w:ascii="MS PGothic" w:cs="MS PGothic" w:eastAsia="MS PGothic" w:hAnsi="MS PGothic"/>
          <w:sz w:val="17"/>
          <w:szCs w:val="17"/>
          <w:color w:val="auto"/>
        </w:rPr>
        <w:t>‑</w:t>
      </w:r>
      <w:r>
        <w:rPr>
          <w:rFonts w:ascii="Arial" w:cs="Arial" w:eastAsia="Arial" w:hAnsi="Arial"/>
          <w:sz w:val="17"/>
          <w:szCs w:val="17"/>
          <w:color w:val="auto"/>
        </w:rPr>
        <w:t>how and continuing technological innovation to develop and maintain our competitive position. We seek to protect our proprietary information, in part, by executing confidentiality agreements with our collaborators and scientific advisors, and non</w:t>
      </w:r>
      <w:r>
        <w:rPr>
          <w:rFonts w:ascii="MS PGothic" w:cs="MS PGothic" w:eastAsia="MS PGothic" w:hAnsi="MS PGothic"/>
          <w:sz w:val="17"/>
          <w:szCs w:val="17"/>
          <w:color w:val="auto"/>
        </w:rPr>
        <w:t>‑</w:t>
      </w:r>
      <w:r>
        <w:rPr>
          <w:rFonts w:ascii="Arial" w:cs="Arial" w:eastAsia="Arial" w:hAnsi="Arial"/>
          <w:sz w:val="17"/>
          <w:szCs w:val="17"/>
          <w:color w:val="auto"/>
        </w:rPr>
        <w:t>competition, non</w:t>
      </w:r>
      <w:r>
        <w:rPr>
          <w:rFonts w:ascii="MS PGothic" w:cs="MS PGothic" w:eastAsia="MS PGothic" w:hAnsi="MS PGothic"/>
          <w:sz w:val="17"/>
          <w:szCs w:val="17"/>
          <w:color w:val="auto"/>
        </w:rPr>
        <w:t>‑</w:t>
      </w:r>
      <w:r>
        <w:rPr>
          <w:rFonts w:ascii="Arial" w:cs="Arial" w:eastAsia="Arial" w:hAnsi="Arial"/>
          <w:sz w:val="17"/>
          <w:szCs w:val="17"/>
          <w:color w:val="auto"/>
        </w:rPr>
        <w:t>solicitation, confidentiality, and invention assignment agreements with our employees and consultants. We have also executed agreements requiring assignment of inventions with selected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however, that these agreements will afford us adequate protection of our intellectual property and proprietary information rights.</w:t>
      </w:r>
    </w:p>
    <w:p>
      <w:pPr>
        <w:spacing w:after="0" w:line="162" w:lineRule="exact"/>
        <w:rPr>
          <w:sz w:val="20"/>
          <w:szCs w:val="20"/>
          <w:color w:val="auto"/>
        </w:rPr>
      </w:pPr>
    </w:p>
    <w:p>
      <w:pPr>
        <w:ind w:right="60" w:firstLine="648"/>
        <w:spacing w:after="0" w:line="189" w:lineRule="exact"/>
        <w:rPr>
          <w:sz w:val="20"/>
          <w:szCs w:val="20"/>
          <w:color w:val="auto"/>
        </w:rPr>
      </w:pPr>
      <w:r>
        <w:rPr>
          <w:rFonts w:ascii="Arial" w:cs="Arial" w:eastAsia="Arial" w:hAnsi="Arial"/>
          <w:sz w:val="17"/>
          <w:szCs w:val="17"/>
          <w:color w:val="auto"/>
        </w:rPr>
        <w:t>With respect to the building of our proprietary compound library, we consider trade secrets and know</w:t>
      </w:r>
      <w:r>
        <w:rPr>
          <w:rFonts w:ascii="MS PGothic" w:cs="MS PGothic" w:eastAsia="MS PGothic" w:hAnsi="MS PGothic"/>
          <w:sz w:val="17"/>
          <w:szCs w:val="17"/>
          <w:color w:val="auto"/>
        </w:rPr>
        <w:t>‑</w:t>
      </w:r>
      <w:r>
        <w:rPr>
          <w:rFonts w:ascii="Arial" w:cs="Arial" w:eastAsia="Arial" w:hAnsi="Arial"/>
          <w:sz w:val="17"/>
          <w:szCs w:val="17"/>
          <w:color w:val="auto"/>
        </w:rPr>
        <w:t>how to be our primary intellectual property. Trade secrets and know</w:t>
      </w:r>
      <w:r>
        <w:rPr>
          <w:rFonts w:ascii="MS PGothic" w:cs="MS PGothic" w:eastAsia="MS PGothic" w:hAnsi="MS PGothic"/>
          <w:sz w:val="17"/>
          <w:szCs w:val="17"/>
          <w:color w:val="auto"/>
        </w:rPr>
        <w:t>‑</w:t>
      </w:r>
      <w:r>
        <w:rPr>
          <w:rFonts w:ascii="Arial" w:cs="Arial" w:eastAsia="Arial" w:hAnsi="Arial"/>
          <w:sz w:val="17"/>
          <w:szCs w:val="17"/>
          <w:color w:val="auto"/>
        </w:rPr>
        <w:t>how can be difficult to protect. In particular, we anticipate that with respect to our discovery platform, these trade secrets and know</w:t>
      </w:r>
      <w:r>
        <w:rPr>
          <w:rFonts w:ascii="MS PGothic" w:cs="MS PGothic" w:eastAsia="MS PGothic" w:hAnsi="MS PGothic"/>
          <w:sz w:val="17"/>
          <w:szCs w:val="17"/>
          <w:color w:val="auto"/>
        </w:rPr>
        <w:t>‑</w:t>
      </w:r>
      <w:r>
        <w:rPr>
          <w:rFonts w:ascii="Arial" w:cs="Arial" w:eastAsia="Arial" w:hAnsi="Arial"/>
          <w:sz w:val="17"/>
          <w:szCs w:val="17"/>
          <w:color w:val="auto"/>
        </w:rPr>
        <w:t>how will over time be disseminated within the industry through independent development and public presentations describing the methodology.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right="120" w:firstLine="648"/>
        <w:spacing w:after="0" w:line="241" w:lineRule="auto"/>
        <w:rPr>
          <w:sz w:val="20"/>
          <w:szCs w:val="20"/>
          <w:color w:val="auto"/>
        </w:rPr>
      </w:pPr>
      <w:r>
        <w:rPr>
          <w:rFonts w:ascii="Arial" w:cs="Arial" w:eastAsia="Arial" w:hAnsi="Arial"/>
          <w:sz w:val="16"/>
          <w:szCs w:val="16"/>
          <w:color w:val="auto"/>
        </w:rPr>
        <w:t>The pharmaceutical and biotechnology industries are characterized by rapidly advancing technologies, intense competition and a strong emphasis on proprietary drugs. While we believe that our technology, development experience and scientific knowledge provide us with competitive advantages, we face potential competition from many different sources, including major pharmaceutical, specialty pharmaceutical and biotechnology companies, academic institutions and governmental agencies and public and private research institutions. Any drug candidates that we successfully develop and commercialize will compete with existing drugs and new drugs that may become available in the future.</w:t>
      </w:r>
    </w:p>
    <w:p>
      <w:pPr>
        <w:spacing w:after="0" w:line="161"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We compete in the segments of the pharmaceutical, biotechnology and other related markets that address inhibition of kinases in cancer and other rare genetic diseases. There are other companies working to develop therapies in the field of kinase inhibition for cancer and other diseases. These companies include divisions of large pharmaceutical companies and biotechnology companies of various sizes.</w:t>
      </w:r>
    </w:p>
    <w:p>
      <w:pPr>
        <w:spacing w:after="0" w:line="163"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67" w:lineRule="exact"/>
        <w:rPr>
          <w:sz w:val="20"/>
          <w:szCs w:val="20"/>
          <w:color w:val="auto"/>
        </w:rPr>
      </w:pPr>
    </w:p>
    <w:p>
      <w:pPr>
        <w:ind w:right="40" w:firstLine="648"/>
        <w:spacing w:after="0" w:line="182" w:lineRule="exact"/>
        <w:rPr>
          <w:sz w:val="20"/>
          <w:szCs w:val="20"/>
          <w:color w:val="auto"/>
        </w:rPr>
      </w:pPr>
      <w:r>
        <w:rPr>
          <w:rFonts w:ascii="Arial" w:cs="Arial" w:eastAsia="Arial" w:hAnsi="Arial"/>
          <w:sz w:val="17"/>
          <w:szCs w:val="17"/>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companion diagnostic tests in guiding the use of related therapeutics, the level of generic competition and the availability of reimbursement from government and other third</w:t>
      </w:r>
      <w:r>
        <w:rPr>
          <w:rFonts w:ascii="MS PGothic" w:cs="MS PGothic" w:eastAsia="MS PGothic" w:hAnsi="MS PGothic"/>
          <w:sz w:val="17"/>
          <w:szCs w:val="17"/>
          <w:color w:val="auto"/>
        </w:rPr>
        <w:t>‑</w:t>
      </w:r>
      <w:r>
        <w:rPr>
          <w:rFonts w:ascii="Arial" w:cs="Arial" w:eastAsia="Arial" w:hAnsi="Arial"/>
          <w:sz w:val="17"/>
          <w:szCs w:val="17"/>
          <w:color w:val="auto"/>
        </w:rPr>
        <w:t>party payors.</w:t>
      </w:r>
    </w:p>
    <w:p>
      <w:pPr>
        <w:spacing w:after="0" w:line="168" w:lineRule="exact"/>
        <w:rPr>
          <w:sz w:val="20"/>
          <w:szCs w:val="20"/>
          <w:color w:val="auto"/>
        </w:rPr>
      </w:pPr>
    </w:p>
    <w:p>
      <w:pPr>
        <w:ind w:right="240" w:firstLine="648"/>
        <w:spacing w:after="0" w:line="224" w:lineRule="auto"/>
        <w:rPr>
          <w:sz w:val="20"/>
          <w:szCs w:val="20"/>
          <w:color w:val="auto"/>
        </w:rPr>
      </w:pPr>
      <w:r>
        <w:rPr>
          <w:rFonts w:ascii="Arial" w:cs="Arial" w:eastAsia="Arial" w:hAnsi="Arial"/>
          <w:sz w:val="18"/>
          <w:szCs w:val="18"/>
          <w:color w:val="auto"/>
        </w:rPr>
        <w:t>If our drug candidates are approved for the indications for which we are currently conducting or planning clinical trials, they will compete with the drugs discussed below and will likely compete with other drugs that are currently in development.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avapritinib</w:t>
      </w:r>
    </w:p>
    <w:p>
      <w:pPr>
        <w:spacing w:after="0" w:line="185" w:lineRule="exact"/>
        <w:rPr>
          <w:sz w:val="20"/>
          <w:szCs w:val="20"/>
          <w:color w:val="auto"/>
        </w:rPr>
      </w:pPr>
    </w:p>
    <w:p>
      <w:pPr>
        <w:ind w:right="40" w:firstLine="648"/>
        <w:spacing w:after="0" w:line="238" w:lineRule="auto"/>
        <w:rPr>
          <w:sz w:val="20"/>
          <w:szCs w:val="20"/>
          <w:color w:val="auto"/>
        </w:rPr>
      </w:pPr>
      <w:r>
        <w:rPr>
          <w:rFonts w:ascii="Arial" w:cs="Arial" w:eastAsia="Arial" w:hAnsi="Arial"/>
          <w:sz w:val="17"/>
          <w:szCs w:val="17"/>
          <w:color w:val="auto"/>
        </w:rPr>
        <w:t>We are initially developing avapritinib, which is designed to target KIT and PDGFRα mutations, for patients with advanced GIST and advanced SM. If avapritinib receives marketing approval for advanced SM, it will face competition from Novartis AG’s midostaurin, a multi-kinase inhibitor with KIT D816V inhibitory activity that was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0"/>
        <w:spacing w:after="0" w:line="223" w:lineRule="auto"/>
        <w:rPr>
          <w:sz w:val="20"/>
          <w:szCs w:val="20"/>
          <w:color w:val="auto"/>
        </w:rPr>
      </w:pPr>
      <w:r>
        <w:rPr>
          <w:rFonts w:ascii="Arial" w:cs="Arial" w:eastAsia="Arial" w:hAnsi="Arial"/>
          <w:sz w:val="17"/>
          <w:szCs w:val="17"/>
          <w:color w:val="auto"/>
        </w:rPr>
        <w:t>approved in April 2017 by the FDA for the treatment of advanced SM. If avapritinib receives marketing approval for third line advanced GIST, it will face competition from Bayer AG’s regorafenib, and if avapritinib receives marketing approval for second line advanced GIST, it will face competition from Pfizer Inc.’s sunitinib. In addition, if avapritinib receives marketing approval for advanced SM, GIST and/or for GIST patients with the PDGFRα D842V mutation, it may face competition from other drug candidates in development for these indications, including drug candidates in development by AB Science S.A., ARIAD Pharmaceuticals, Inc., a wholly-owned subsidiary of Takeda Pharmaceutical Company Limited, AROG Pharmaceuticals, Inc., Celldex Therapeutics, Inc., Deciphera Pharmaceuticals, LLC and Plexxikon Inc., a wholly-owned subsidiary of Daiichi Sankyo Company, Limited.</w:t>
      </w:r>
    </w:p>
    <w:p>
      <w:pPr>
        <w:spacing w:after="0" w:line="16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BLU</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554</w:t>
      </w:r>
    </w:p>
    <w:p>
      <w:pPr>
        <w:spacing w:after="0" w:line="185" w:lineRule="exact"/>
        <w:rPr>
          <w:sz w:val="20"/>
          <w:szCs w:val="20"/>
          <w:color w:val="auto"/>
        </w:rPr>
      </w:pPr>
    </w:p>
    <w:p>
      <w:pPr>
        <w:ind w:right="80" w:firstLine="648"/>
        <w:spacing w:after="0" w:line="182" w:lineRule="exact"/>
        <w:rPr>
          <w:sz w:val="20"/>
          <w:szCs w:val="20"/>
          <w:color w:val="auto"/>
        </w:rPr>
      </w:pPr>
      <w:r>
        <w:rPr>
          <w:rFonts w:ascii="Arial" w:cs="Arial" w:eastAsia="Arial" w:hAnsi="Arial"/>
          <w:sz w:val="18"/>
          <w:szCs w:val="18"/>
          <w:color w:val="auto"/>
        </w:rPr>
        <w:t>We are initially developing BLU</w:t>
      </w:r>
      <w:r>
        <w:rPr>
          <w:rFonts w:ascii="MS PGothic" w:cs="MS PGothic" w:eastAsia="MS PGothic" w:hAnsi="MS PGothic"/>
          <w:sz w:val="18"/>
          <w:szCs w:val="18"/>
          <w:color w:val="auto"/>
        </w:rPr>
        <w:t>‑</w:t>
      </w:r>
      <w:r>
        <w:rPr>
          <w:rFonts w:ascii="Arial" w:cs="Arial" w:eastAsia="Arial" w:hAnsi="Arial"/>
          <w:sz w:val="18"/>
          <w:szCs w:val="18"/>
          <w:color w:val="auto"/>
        </w:rPr>
        <w:t>554 for patients with advanced HCC driven by FGFR4. If BLU-554 receives marketing approval for patients with FGFR4-activated HCC, it will face competition from Bristol-Myers Squibb Company’s nivolumab, an immune checkpoint inhibitor, which was approved in September 2017 by the FDA for the treatment of HCC, as well as sorafenib and regorafenib, multi-kinase inhibitors for the treatment of HCC. In addition, BLU-554 may face competition from other drug candidates in development by Abbisko Therapeutics Co., Ltd, AstraZeneca plc, Bayer AG, Celgene Corporation, Eisai Inc., H3 Biomedicine Inc., Incyte Corporation, Johnson &amp; Johnson, Novartis AG, Sanofi S.A., Taiho Pharmaceutical Co., Ltd., U3 Pharma GmbH, a wholly-owned subsidiary of Daiichi Sankyo Company, Limited, and Xoma Ltd.</w:t>
      </w:r>
    </w:p>
    <w:p>
      <w:pPr>
        <w:spacing w:after="0" w:line="16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BLU</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667</w:t>
      </w:r>
    </w:p>
    <w:p>
      <w:pPr>
        <w:spacing w:after="0" w:line="185" w:lineRule="exact"/>
        <w:rPr>
          <w:sz w:val="20"/>
          <w:szCs w:val="20"/>
          <w:color w:val="auto"/>
        </w:rPr>
      </w:pPr>
    </w:p>
    <w:p>
      <w:pPr>
        <w:ind w:right="80" w:firstLine="648"/>
        <w:spacing w:after="0" w:line="187" w:lineRule="exact"/>
        <w:rPr>
          <w:sz w:val="20"/>
          <w:szCs w:val="20"/>
          <w:color w:val="auto"/>
        </w:rPr>
      </w:pPr>
      <w:r>
        <w:rPr>
          <w:rFonts w:ascii="Arial" w:cs="Arial" w:eastAsia="Arial" w:hAnsi="Arial"/>
          <w:sz w:val="18"/>
          <w:szCs w:val="18"/>
          <w:color w:val="auto"/>
        </w:rPr>
        <w:t>We are initially developing BLU</w:t>
      </w:r>
      <w:r>
        <w:rPr>
          <w:rFonts w:ascii="MS PGothic" w:cs="MS PGothic" w:eastAsia="MS PGothic" w:hAnsi="MS PGothic"/>
          <w:sz w:val="18"/>
          <w:szCs w:val="18"/>
          <w:color w:val="auto"/>
        </w:rPr>
        <w:t>‑</w:t>
      </w:r>
      <w:r>
        <w:rPr>
          <w:rFonts w:ascii="Arial" w:cs="Arial" w:eastAsia="Arial" w:hAnsi="Arial"/>
          <w:sz w:val="18"/>
          <w:szCs w:val="18"/>
          <w:color w:val="auto"/>
        </w:rPr>
        <w:t>667 for patients with RET-driven NSCLC, MTC and other advanced solid tumors. If BLU-667 receives marketing approval for RET-driven NSCLC, MTC or other advanced solid tumors, it may face competition from drug candidates in development by Loxo Oncology, Inc. and Mirati Therapeutics, as well as several approved multi-kinase inhibitors with RET activity being evaluated in clinical trials, including alectinib, apatinib, cabozantinib, dovitinib, lenvatinib, ponatinib, sorafenib, sunitinib and vandetinib.</w:t>
      </w:r>
    </w:p>
    <w:p>
      <w:pPr>
        <w:spacing w:after="0" w:line="162"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BLU</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782</w:t>
      </w:r>
    </w:p>
    <w:p>
      <w:pPr>
        <w:spacing w:after="0" w:line="185" w:lineRule="exact"/>
        <w:rPr>
          <w:sz w:val="20"/>
          <w:szCs w:val="20"/>
          <w:color w:val="auto"/>
        </w:rPr>
      </w:pPr>
    </w:p>
    <w:p>
      <w:pPr>
        <w:ind w:right="200" w:firstLine="648"/>
        <w:spacing w:after="0" w:line="194" w:lineRule="exact"/>
        <w:rPr>
          <w:sz w:val="20"/>
          <w:szCs w:val="20"/>
          <w:color w:val="auto"/>
        </w:rPr>
      </w:pPr>
      <w:r>
        <w:rPr>
          <w:rFonts w:ascii="Arial" w:cs="Arial" w:eastAsia="Arial" w:hAnsi="Arial"/>
          <w:sz w:val="18"/>
          <w:szCs w:val="18"/>
          <w:color w:val="auto"/>
        </w:rPr>
        <w:t>We are initially developing BLU</w:t>
      </w:r>
      <w:r>
        <w:rPr>
          <w:rFonts w:ascii="MS PGothic" w:cs="MS PGothic" w:eastAsia="MS PGothic" w:hAnsi="MS PGothic"/>
          <w:sz w:val="18"/>
          <w:szCs w:val="18"/>
          <w:color w:val="auto"/>
        </w:rPr>
        <w:t>‑</w:t>
      </w:r>
      <w:r>
        <w:rPr>
          <w:rFonts w:ascii="Arial" w:cs="Arial" w:eastAsia="Arial" w:hAnsi="Arial"/>
          <w:sz w:val="18"/>
          <w:szCs w:val="18"/>
          <w:color w:val="auto"/>
        </w:rPr>
        <w:t>782 for patients with FOP. If BLU-782 receives marketing approval for FOP, it may face competition from drug candidates in development by BioCryst Pharmaceuticals, Inc., Clementia Pharmaceuticals Inc. and Regeneron Pharmaceuticals, Inc.</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Commercialization Plans</w:t>
      </w:r>
    </w:p>
    <w:p>
      <w:pPr>
        <w:spacing w:after="0" w:line="185"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Our goal is to become a fully</w:t>
      </w:r>
      <w:r>
        <w:rPr>
          <w:rFonts w:ascii="MS PGothic" w:cs="MS PGothic" w:eastAsia="MS PGothic" w:hAnsi="MS PGothic"/>
          <w:sz w:val="16"/>
          <w:szCs w:val="16"/>
          <w:color w:val="auto"/>
        </w:rPr>
        <w:t>‑</w:t>
      </w:r>
      <w:r>
        <w:rPr>
          <w:rFonts w:ascii="Arial" w:cs="Arial" w:eastAsia="Arial" w:hAnsi="Arial"/>
          <w:sz w:val="16"/>
          <w:szCs w:val="16"/>
          <w:color w:val="auto"/>
        </w:rPr>
        <w:t>integrated biopharmaceutical company capable of delivering transformative drugs to patients. Given our stage of development, we have started to establish our own commercial organization and distribution capabilities. Our initial focus is on genomically defined patient populations in oncology and a rare disease, which we believe will allow us to efficiently commercialize our drug candidates in the United States on our own initially and worldwide longer</w:t>
      </w:r>
      <w:r>
        <w:rPr>
          <w:rFonts w:ascii="MS PGothic" w:cs="MS PGothic" w:eastAsia="MS PGothic" w:hAnsi="MS PGothic"/>
          <w:sz w:val="16"/>
          <w:szCs w:val="16"/>
          <w:color w:val="auto"/>
        </w:rPr>
        <w:t>‑</w:t>
      </w:r>
      <w:r>
        <w:rPr>
          <w:rFonts w:ascii="Arial" w:cs="Arial" w:eastAsia="Arial" w:hAnsi="Arial"/>
          <w:sz w:val="16"/>
          <w:szCs w:val="16"/>
          <w:color w:val="auto"/>
        </w:rPr>
        <w:t>term. We currently have worldwide development and commercialization rights to avapritinib, BLU-554, BLU-667 and BLU-782 and all of our discovery programs other than the pre-clinical programs under the Roche collaboration. Subject to obtaining regulatory approval, we believe that we may be able to commercialize one or more of our drug candidates in as little as five years from when we select a development candidate. In addition, subject to regulatory approval, we believe we can successfully launch and commercialize our initial drug candidates on our own, using a small and highly specialized sales force similar to those of other rare disease companies. However, we may establish collaborations with pharmaceutical companies to leverage their capabilities to maximize the potential of our drug candidates.</w:t>
      </w:r>
    </w:p>
    <w:p>
      <w:pPr>
        <w:spacing w:after="0" w:line="166" w:lineRule="exact"/>
        <w:rPr>
          <w:sz w:val="20"/>
          <w:szCs w:val="20"/>
          <w:color w:val="auto"/>
        </w:rPr>
      </w:pPr>
    </w:p>
    <w:p>
      <w:pPr>
        <w:jc w:val="both"/>
        <w:ind w:right="20" w:firstLine="648"/>
        <w:spacing w:after="0" w:line="189" w:lineRule="exact"/>
        <w:rPr>
          <w:sz w:val="20"/>
          <w:szCs w:val="20"/>
          <w:color w:val="auto"/>
        </w:rPr>
      </w:pPr>
      <w:r>
        <w:rPr>
          <w:rFonts w:ascii="Arial" w:cs="Arial" w:eastAsia="Arial" w:hAnsi="Arial"/>
          <w:sz w:val="18"/>
          <w:szCs w:val="18"/>
          <w:color w:val="auto"/>
        </w:rPr>
        <w:t>Under the terms of our agreements related to the development and commercialization of companion diagnostic tests, third parties are responsible for the commercialization of companion diagnostic tests for avapritinib in order to identify GIST patients with the PDGFRα D842V mutation, BLU</w:t>
      </w:r>
      <w:r>
        <w:rPr>
          <w:rFonts w:ascii="MS PGothic" w:cs="MS PGothic" w:eastAsia="MS PGothic" w:hAnsi="MS PGothic"/>
          <w:sz w:val="18"/>
          <w:szCs w:val="18"/>
          <w:color w:val="auto"/>
        </w:rPr>
        <w:t>‑</w:t>
      </w:r>
      <w:r>
        <w:rPr>
          <w:rFonts w:ascii="Arial" w:cs="Arial" w:eastAsia="Arial" w:hAnsi="Arial"/>
          <w:sz w:val="18"/>
          <w:szCs w:val="18"/>
          <w:color w:val="auto"/>
        </w:rPr>
        <w:t>554 in order to identify HCC patients with FGFR4 pathway activation and BLU-667 in order to identify NSCLC patients with RET fusions.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and Supply</w:t>
      </w:r>
    </w:p>
    <w:p>
      <w:pPr>
        <w:spacing w:after="0" w:line="185" w:lineRule="exact"/>
        <w:rPr>
          <w:sz w:val="20"/>
          <w:szCs w:val="20"/>
          <w:color w:val="auto"/>
        </w:rPr>
      </w:pPr>
    </w:p>
    <w:p>
      <w:pPr>
        <w:ind w:right="20" w:firstLine="648"/>
        <w:spacing w:after="0" w:line="181" w:lineRule="exact"/>
        <w:rPr>
          <w:sz w:val="20"/>
          <w:szCs w:val="20"/>
          <w:color w:val="auto"/>
        </w:rPr>
      </w:pPr>
      <w:r>
        <w:rPr>
          <w:rFonts w:ascii="Arial" w:cs="Arial" w:eastAsia="Arial" w:hAnsi="Arial"/>
          <w:sz w:val="17"/>
          <w:szCs w:val="17"/>
          <w:color w:val="auto"/>
        </w:rPr>
        <w:t>We do not own or operate, and currently have no plans to establish, any manufacturing facilities. We currently rely, and expect to continue to rely, on third parties for the manufacture of our drug candidates for pre-clinical and clinical testing, as well as for commercial manufacture of any drugs that we may commercialize. To date, we have obtained active pharmaceutical ingredients, or API, or drug substance for avapritinib, BLU</w:t>
      </w:r>
      <w:r>
        <w:rPr>
          <w:rFonts w:ascii="MS PGothic" w:cs="MS PGothic" w:eastAsia="MS PGothic" w:hAnsi="MS PGothic"/>
          <w:sz w:val="17"/>
          <w:szCs w:val="17"/>
          <w:color w:val="auto"/>
        </w:rPr>
        <w:t>‑</w:t>
      </w:r>
      <w:r>
        <w:rPr>
          <w:rFonts w:ascii="Arial" w:cs="Arial" w:eastAsia="Arial" w:hAnsi="Arial"/>
          <w:sz w:val="17"/>
          <w:szCs w:val="17"/>
          <w:color w:val="auto"/>
        </w:rPr>
        <w:t>554, BLU-667 and BLU-782 for our pre-clinical and Phase 1 testing from one third</w:t>
      </w:r>
      <w:r>
        <w:rPr>
          <w:rFonts w:ascii="MS PGothic" w:cs="MS PGothic" w:eastAsia="MS PGothic" w:hAnsi="MS PGothic"/>
          <w:sz w:val="17"/>
          <w:szCs w:val="17"/>
          <w:color w:val="auto"/>
        </w:rPr>
        <w:t>‑</w:t>
      </w:r>
      <w:r>
        <w:rPr>
          <w:rFonts w:ascii="Arial" w:cs="Arial" w:eastAsia="Arial" w:hAnsi="Arial"/>
          <w:sz w:val="17"/>
          <w:szCs w:val="17"/>
          <w:color w:val="auto"/>
        </w:rPr>
        <w:t>party manufacturer and drug product from two third party manufacturers. We obtain our supplies from these manufacturers on a purchase order basis and do not have a long</w:t>
      </w:r>
      <w:r>
        <w:rPr>
          <w:rFonts w:ascii="MS PGothic" w:cs="MS PGothic" w:eastAsia="MS PGothic" w:hAnsi="MS PGothic"/>
          <w:sz w:val="17"/>
          <w:szCs w:val="17"/>
          <w:color w:val="auto"/>
        </w:rPr>
        <w:t>‑</w:t>
      </w:r>
      <w:r>
        <w:rPr>
          <w:rFonts w:ascii="Arial" w:cs="Arial" w:eastAsia="Arial" w:hAnsi="Arial"/>
          <w:sz w:val="17"/>
          <w:szCs w:val="17"/>
          <w:color w:val="auto"/>
        </w:rPr>
        <w:t>term supply arrangement in place. We do not currently have arrangements in place for redundant supply for API, drug product or drug substance. For all of our drug candidates, we intend to identify and qualify additional manufacturers to provide the API, drug product and drug substance prior to submission of a new drug application to the FDA and/or a marketing authorization application to the European Medicines Agency.</w:t>
      </w:r>
    </w:p>
    <w:p>
      <w:pPr>
        <w:spacing w:after="0" w:line="164" w:lineRule="exact"/>
        <w:rPr>
          <w:sz w:val="20"/>
          <w:szCs w:val="20"/>
          <w:color w:val="auto"/>
        </w:rPr>
      </w:pPr>
    </w:p>
    <w:p>
      <w:pPr>
        <w:ind w:right="200" w:firstLine="648"/>
        <w:spacing w:after="0" w:line="187" w:lineRule="exact"/>
        <w:rPr>
          <w:sz w:val="20"/>
          <w:szCs w:val="20"/>
          <w:color w:val="auto"/>
        </w:rPr>
      </w:pPr>
      <w:r>
        <w:rPr>
          <w:rFonts w:ascii="Arial" w:cs="Arial" w:eastAsia="Arial" w:hAnsi="Arial"/>
          <w:sz w:val="18"/>
          <w:szCs w:val="18"/>
          <w:color w:val="auto"/>
        </w:rPr>
        <w:t>Our drug candidates avapritinib, BLU</w:t>
      </w:r>
      <w:r>
        <w:rPr>
          <w:rFonts w:ascii="MS PGothic" w:cs="MS PGothic" w:eastAsia="MS PGothic" w:hAnsi="MS PGothic"/>
          <w:sz w:val="18"/>
          <w:szCs w:val="18"/>
          <w:color w:val="auto"/>
        </w:rPr>
        <w:t>‑</w:t>
      </w:r>
      <w:r>
        <w:rPr>
          <w:rFonts w:ascii="Arial" w:cs="Arial" w:eastAsia="Arial" w:hAnsi="Arial"/>
          <w:sz w:val="18"/>
          <w:szCs w:val="18"/>
          <w:color w:val="auto"/>
        </w:rPr>
        <w:t>554, BLU-667 and BLU-782 are compounds of low molecular weight, generally called small molecules. They can be manufactured in reliable and reproducible synthetic processes from readily available starting materials. The chemistry is amenable to scale</w:t>
      </w:r>
      <w:r>
        <w:rPr>
          <w:rFonts w:ascii="MS PGothic" w:cs="MS PGothic" w:eastAsia="MS PGothic" w:hAnsi="MS PGothic"/>
          <w:sz w:val="18"/>
          <w:szCs w:val="18"/>
          <w:color w:val="auto"/>
        </w:rPr>
        <w:t>‑</w:t>
      </w:r>
      <w:r>
        <w:rPr>
          <w:rFonts w:ascii="Arial" w:cs="Arial" w:eastAsia="Arial" w:hAnsi="Arial"/>
          <w:sz w:val="18"/>
          <w:szCs w:val="18"/>
          <w:color w:val="auto"/>
        </w:rPr>
        <w:t>up and does not require unusual equipment in the manufacturing process. We expect to continue developing drug candidates that can be produced cost</w:t>
      </w:r>
      <w:r>
        <w:rPr>
          <w:rFonts w:ascii="MS PGothic" w:cs="MS PGothic" w:eastAsia="MS PGothic" w:hAnsi="MS PGothic"/>
          <w:sz w:val="18"/>
          <w:szCs w:val="18"/>
          <w:color w:val="auto"/>
        </w:rPr>
        <w:t>‑</w:t>
      </w:r>
      <w:r>
        <w:rPr>
          <w:rFonts w:ascii="Arial" w:cs="Arial" w:eastAsia="Arial" w:hAnsi="Arial"/>
          <w:sz w:val="18"/>
          <w:szCs w:val="18"/>
          <w:color w:val="auto"/>
        </w:rPr>
        <w:t>effectively at contract manufacturing facilities.</w:t>
      </w:r>
    </w:p>
    <w:p>
      <w:pPr>
        <w:spacing w:after="0" w:line="162" w:lineRule="exact"/>
        <w:rPr>
          <w:sz w:val="20"/>
          <w:szCs w:val="20"/>
          <w:color w:val="auto"/>
        </w:rPr>
      </w:pPr>
    </w:p>
    <w:p>
      <w:pPr>
        <w:ind w:right="20" w:firstLine="648"/>
        <w:spacing w:after="0" w:line="187" w:lineRule="exact"/>
        <w:rPr>
          <w:sz w:val="20"/>
          <w:szCs w:val="20"/>
          <w:color w:val="auto"/>
        </w:rPr>
      </w:pPr>
      <w:r>
        <w:rPr>
          <w:rFonts w:ascii="Arial" w:cs="Arial" w:eastAsia="Arial" w:hAnsi="Arial"/>
          <w:sz w:val="17"/>
          <w:szCs w:val="17"/>
          <w:color w:val="auto"/>
        </w:rPr>
        <w:t>Under the terms of our agreements related to the development and commercialization of companion diagnostic tests, we will rely on third parties to develop and commercialize companion diagnostic tests for avapritinib in order to identify GIST patients with the PDGFRα D842V mutation, BLU</w:t>
      </w:r>
      <w:r>
        <w:rPr>
          <w:rFonts w:ascii="MS PGothic" w:cs="MS PGothic" w:eastAsia="MS PGothic" w:hAnsi="MS PGothic"/>
          <w:sz w:val="17"/>
          <w:szCs w:val="17"/>
          <w:color w:val="auto"/>
        </w:rPr>
        <w:t>‑</w:t>
      </w:r>
      <w:r>
        <w:rPr>
          <w:rFonts w:ascii="Arial" w:cs="Arial" w:eastAsia="Arial" w:hAnsi="Arial"/>
          <w:sz w:val="17"/>
          <w:szCs w:val="17"/>
          <w:color w:val="auto"/>
        </w:rPr>
        <w:t>554 in order to identify HCC patients with FGFR4 pathway activation and BLU-667 in order to identify NSCLC patients with RET fusions. We generally expect to rely on third parties for the manufacture of any other companion diagnostic tests we may seek to develop.</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89" w:lineRule="exact"/>
        <w:rPr>
          <w:sz w:val="20"/>
          <w:szCs w:val="20"/>
          <w:color w:val="auto"/>
        </w:rPr>
      </w:pPr>
    </w:p>
    <w:p>
      <w:pPr>
        <w:ind w:right="60" w:firstLine="648"/>
        <w:spacing w:after="0" w:line="184" w:lineRule="exact"/>
        <w:rPr>
          <w:sz w:val="20"/>
          <w:szCs w:val="20"/>
          <w:color w:val="auto"/>
        </w:rPr>
      </w:pPr>
      <w:r>
        <w:rPr>
          <w:rFonts w:ascii="Arial" w:cs="Arial" w:eastAsia="Arial" w:hAnsi="Arial"/>
          <w:sz w:val="16"/>
          <w:szCs w:val="16"/>
          <w:color w:val="auto"/>
        </w:rPr>
        <w:t>Government authorities in the United States at the federal, state and local level and in other countries extensively regulate, among other things, the research and clinical development, testing, manufacture, quality control, approval, labeling, packaging, storage, record</w:t>
      </w:r>
      <w:r>
        <w:rPr>
          <w:rFonts w:ascii="MS PGothic" w:cs="MS PGothic" w:eastAsia="MS PGothic" w:hAnsi="MS PGothic"/>
          <w:sz w:val="16"/>
          <w:szCs w:val="16"/>
          <w:color w:val="auto"/>
        </w:rPr>
        <w:t>‑</w:t>
      </w:r>
      <w:r>
        <w:rPr>
          <w:rFonts w:ascii="Arial" w:cs="Arial" w:eastAsia="Arial" w:hAnsi="Arial"/>
          <w:sz w:val="16"/>
          <w:szCs w:val="16"/>
          <w:color w:val="auto"/>
        </w:rPr>
        <w:t>keeping, promotion, advertising, distribution, post</w:t>
      </w:r>
      <w:r>
        <w:rPr>
          <w:rFonts w:ascii="MS PGothic" w:cs="MS PGothic" w:eastAsia="MS PGothic" w:hAnsi="MS PGothic"/>
          <w:sz w:val="16"/>
          <w:szCs w:val="16"/>
          <w:color w:val="auto"/>
        </w:rPr>
        <w:t>‑</w:t>
      </w:r>
      <w:r>
        <w:rPr>
          <w:rFonts w:ascii="Arial" w:cs="Arial" w:eastAsia="Arial" w:hAnsi="Arial"/>
          <w:sz w:val="16"/>
          <w:szCs w:val="16"/>
          <w:color w:val="auto"/>
        </w:rPr>
        <w:t>approval monitoring and reporting, marketing, and export and import of drug products, such as those we are developing. Generally, before a new drug can be marketed, considerable data demonstrating its quality, safety and efficacy must be obtained, organized into a format specific to each regulatory authority, submitted for review and approved by the regulatory authority.</w:t>
      </w:r>
    </w:p>
    <w:p>
      <w:pPr>
        <w:spacing w:after="0" w:line="166" w:lineRule="exact"/>
        <w:rPr>
          <w:sz w:val="20"/>
          <w:szCs w:val="20"/>
          <w:color w:val="auto"/>
        </w:rPr>
      </w:pPr>
    </w:p>
    <w:p>
      <w:pPr>
        <w:ind w:right="80" w:firstLine="648"/>
        <w:spacing w:after="0" w:line="237" w:lineRule="auto"/>
        <w:rPr>
          <w:sz w:val="20"/>
          <w:szCs w:val="20"/>
          <w:color w:val="auto"/>
        </w:rPr>
      </w:pPr>
      <w:r>
        <w:rPr>
          <w:rFonts w:ascii="Arial" w:cs="Arial" w:eastAsia="Arial" w:hAnsi="Arial"/>
          <w:sz w:val="16"/>
          <w:szCs w:val="16"/>
          <w:color w:val="auto"/>
        </w:rPr>
        <w:t>The process of obtaining regulatory approvals and the subsequent compliance with appropriate federal, state, local and foreign statutes and regulations require the expenditure of substantial time and financial resources. Failure to comply with the applicable regulatory requirements at any time during the product development process, approval process or after approval, may subject an applicant to administrative or judicial sanctions. These sanctions could include, among other actions, the regulatory authority’s refusal to approve pending applications, withdrawal of an approval, clinical holds, untitled or warning letters, voluntary product recalls or withdrawals from the market, product seizures, total or partial suspension of production or distribution, injunctions, debarment, fines, refusals of government contracts, restitution, disgorgement, or civil or criminal penalties. Any agency or judicial enforcement action could have a material adverse effect on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w:t>
      </w:r>
    </w:p>
    <w:p>
      <w:pPr>
        <w:spacing w:after="0" w:line="185"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In the United States, the FDA regulates drugs under the Federal Food, Drug, and Cosmetic Act, or FDCA, and its implementing regulations. Drugs are also subject to other federal, state and local statutes and regulations. Our drug candidates must be approved by the FDA through the NDA process before they may be legally marketed in the United States. The process required by the FDA before a drug may be marketed in the United States generally involves the following:</w:t>
      </w:r>
    </w:p>
    <w:p>
      <w:pPr>
        <w:spacing w:after="0" w:line="155" w:lineRule="exact"/>
        <w:rPr>
          <w:sz w:val="20"/>
          <w:szCs w:val="20"/>
          <w:color w:val="auto"/>
        </w:rPr>
      </w:pPr>
    </w:p>
    <w:p>
      <w:pPr>
        <w:ind w:left="1300" w:right="140" w:hanging="325"/>
        <w:spacing w:after="0" w:line="22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completion of extensive nonclinical tests, sometimes referred to as pre-clinical laboratory tests, animal studies and formulation studies performed in accordance with applicable regulations, including the FDA’s GLP regulations;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300" w:hanging="325"/>
        <w:spacing w:after="0" w:line="235"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 and must be actively maintained, including by submitting annual reports;</w:t>
      </w:r>
    </w:p>
    <w:p>
      <w:pPr>
        <w:spacing w:after="0" w:line="161" w:lineRule="exact"/>
        <w:rPr>
          <w:rFonts w:ascii="Arial" w:cs="Arial" w:eastAsia="Arial" w:hAnsi="Arial"/>
          <w:sz w:val="18"/>
          <w:szCs w:val="18"/>
          <w:color w:val="auto"/>
        </w:rPr>
      </w:pPr>
    </w:p>
    <w:p>
      <w:pPr>
        <w:ind w:left="1300" w:right="140" w:hanging="325"/>
        <w:spacing w:after="0" w:line="194" w:lineRule="exact"/>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performance of adequate and well</w:t>
      </w:r>
      <w:r>
        <w:rPr>
          <w:rFonts w:ascii="MS PGothic" w:cs="MS PGothic" w:eastAsia="MS PGothic" w:hAnsi="MS PGothic"/>
          <w:sz w:val="18"/>
          <w:szCs w:val="18"/>
          <w:color w:val="auto"/>
        </w:rPr>
        <w:t>‑</w:t>
      </w:r>
      <w:r>
        <w:rPr>
          <w:rFonts w:ascii="Arial" w:cs="Arial" w:eastAsia="Arial" w:hAnsi="Arial"/>
          <w:sz w:val="18"/>
          <w:szCs w:val="18"/>
          <w:color w:val="auto"/>
        </w:rPr>
        <w:t>controlled human clinical trials in accordance with applicable IND and other clinical trial</w:t>
      </w:r>
      <w:r>
        <w:rPr>
          <w:rFonts w:ascii="MS PGothic" w:cs="MS PGothic" w:eastAsia="MS PGothic" w:hAnsi="MS PGothic"/>
          <w:sz w:val="18"/>
          <w:szCs w:val="18"/>
          <w:color w:val="auto"/>
        </w:rPr>
        <w:t>‑</w:t>
      </w:r>
      <w:r>
        <w:rPr>
          <w:rFonts w:ascii="Arial" w:cs="Arial" w:eastAsia="Arial" w:hAnsi="Arial"/>
          <w:sz w:val="18"/>
          <w:szCs w:val="18"/>
          <w:color w:val="auto"/>
        </w:rPr>
        <w:t>related regulations, sometimes referred to as good clinical practices, or GCPs, to establish the safety and efficacy of the proposed drug for its proposed indication;</w:t>
      </w:r>
    </w:p>
    <w:p>
      <w:pPr>
        <w:spacing w:after="0" w:line="163"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submission to the FDA of an NDA for a new drug;</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file the NDA for review;</w:t>
      </w:r>
    </w:p>
    <w:p>
      <w:pPr>
        <w:spacing w:after="0" w:line="184" w:lineRule="exact"/>
        <w:rPr>
          <w:rFonts w:ascii="Arial" w:cs="Arial" w:eastAsia="Arial" w:hAnsi="Arial"/>
          <w:sz w:val="18"/>
          <w:szCs w:val="18"/>
          <w:color w:val="auto"/>
        </w:rPr>
      </w:pPr>
    </w:p>
    <w:p>
      <w:pPr>
        <w:ind w:left="1300" w:right="200" w:hanging="325"/>
        <w:spacing w:after="0" w:line="194" w:lineRule="exact"/>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satisfactory completion of an FDA pre</w:t>
      </w:r>
      <w:r>
        <w:rPr>
          <w:rFonts w:ascii="MS PGothic" w:cs="MS PGothic" w:eastAsia="MS PGothic" w:hAnsi="MS PGothic"/>
          <w:sz w:val="18"/>
          <w:szCs w:val="18"/>
          <w:color w:val="auto"/>
        </w:rPr>
        <w:t>‑</w:t>
      </w:r>
      <w:r>
        <w:rPr>
          <w:rFonts w:ascii="Arial" w:cs="Arial" w:eastAsia="Arial" w:hAnsi="Arial"/>
          <w:sz w:val="18"/>
          <w:szCs w:val="18"/>
          <w:color w:val="auto"/>
        </w:rPr>
        <w:t>approval inspection of the manufacturing facility or facilities at which the API and finished drug product are produced to assess compliance with the FDA’s current good manufacturing practice requirements, or cGMP;</w:t>
      </w:r>
    </w:p>
    <w:p>
      <w:pPr>
        <w:spacing w:after="0" w:line="163" w:lineRule="exact"/>
        <w:rPr>
          <w:rFonts w:ascii="Arial" w:cs="Arial" w:eastAsia="Arial" w:hAnsi="Arial"/>
          <w:sz w:val="18"/>
          <w:szCs w:val="18"/>
          <w:color w:val="auto"/>
        </w:rPr>
      </w:pPr>
    </w:p>
    <w:p>
      <w:pPr>
        <w:ind w:left="1300" w:right="560" w:hanging="325"/>
        <w:spacing w:after="0" w:line="235"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FDA audit of the pre-clinical study sites and/or clinical trial sites that generated the data in support of the NDA; and</w:t>
      </w:r>
    </w:p>
    <w:p>
      <w:pPr>
        <w:spacing w:after="0" w:line="161" w:lineRule="exact"/>
        <w:rPr>
          <w:rFonts w:ascii="Arial" w:cs="Arial" w:eastAsia="Arial" w:hAnsi="Arial"/>
          <w:sz w:val="18"/>
          <w:szCs w:val="18"/>
          <w:color w:val="auto"/>
        </w:rPr>
      </w:pPr>
    </w:p>
    <w:p>
      <w:pPr>
        <w:ind w:left="1300" w:right="100" w:hanging="325"/>
        <w:spacing w:after="0" w:line="235"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FDA review and approval of the NDA prior to any commercial marketing or sale of the drug in the United States.</w:t>
      </w:r>
    </w:p>
    <w:p>
      <w:pPr>
        <w:spacing w:after="0" w:line="162"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The data required to support an NDA is generated in two distinct development stages: pre-clinical and clinical. For new chemical entities, the pre-clinical development stage generally involves synthesizing the active component, developing the formulation and determining the manufacturing process, as well as carrying out non</w:t>
      </w:r>
      <w:r>
        <w:rPr>
          <w:rFonts w:ascii="MS PGothic" w:cs="MS PGothic" w:eastAsia="MS PGothic" w:hAnsi="MS PGothic"/>
          <w:sz w:val="17"/>
          <w:szCs w:val="17"/>
          <w:color w:val="auto"/>
        </w:rPr>
        <w:t>‑</w:t>
      </w:r>
      <w:r>
        <w:rPr>
          <w:rFonts w:ascii="Arial" w:cs="Arial" w:eastAsia="Arial" w:hAnsi="Arial"/>
          <w:sz w:val="17"/>
          <w:szCs w:val="17"/>
          <w:color w:val="auto"/>
        </w:rPr>
        <w:t>human toxicology, pharmacology and drug metabolism studies in the laboratory, which support subsequent clinical testing. The conduct of the pre-clinical tests must comply with federal regulations, including GLPs. The sponsor must submit the results of the pre-clinical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The central focus of an IND submission is on the pre-clinical data, general investigational plan and the protocol(s) for human trials. The IND automatically becomes effective 30 days after receipt by the FDA, unless the FDA raises concerns or questions regarding the proposed clinical trials and places the IND on clinical hold within that 30</w:t>
      </w:r>
      <w:r>
        <w:rPr>
          <w:rFonts w:ascii="MS PGothic" w:cs="MS PGothic" w:eastAsia="MS PGothic" w:hAnsi="MS PGothic"/>
          <w:sz w:val="17"/>
          <w:szCs w:val="17"/>
          <w:color w:val="auto"/>
        </w:rPr>
        <w:t>‑</w:t>
      </w:r>
      <w:r>
        <w:rPr>
          <w:rFonts w:ascii="Arial" w:cs="Arial" w:eastAsia="Arial" w:hAnsi="Arial"/>
          <w:sz w:val="17"/>
          <w:szCs w:val="17"/>
          <w:color w:val="auto"/>
        </w:rPr>
        <w:t>day time period. In such a case, the IND sponsor and the FDA must resolve any outstanding concerns or questions before the clinical trial can begin. The FDA may also impose clinical holds on a drug candidate at any time before or during clinical trials due to safety concerns or non</w:t>
      </w:r>
      <w:r>
        <w:rPr>
          <w:rFonts w:ascii="MS PGothic" w:cs="MS PGothic" w:eastAsia="MS PGothic" w:hAnsi="MS PGothic"/>
          <w:sz w:val="17"/>
          <w:szCs w:val="17"/>
          <w:color w:val="auto"/>
        </w:rPr>
        <w:t>‑</w:t>
      </w:r>
      <w:r>
        <w:rPr>
          <w:rFonts w:ascii="Arial" w:cs="Arial" w:eastAsia="Arial" w:hAnsi="Arial"/>
          <w:sz w:val="17"/>
          <w:szCs w:val="17"/>
          <w:color w:val="auto"/>
        </w:rPr>
        <w:t>compliance. Accordingly, we cannot be sure that submission of an IND will result in the FDA allowing clinical trials to begin, or that, once begun, issues will not arise that could cause the trial to be suspended or terminated.</w:t>
      </w:r>
    </w:p>
    <w:p>
      <w:pPr>
        <w:spacing w:after="0" w:line="162"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The clinical stage of development involves the administration of the drug candidate to healthy volunteers and/or patients under the supervision of qualified investigators, generally physicians not employed by or under the trial sponsor’s control,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w:t>
      </w:r>
    </w:p>
    <w:p>
      <w:pPr>
        <w:spacing w:after="0" w:line="169" w:lineRule="exact"/>
        <w:rPr>
          <w:sz w:val="20"/>
          <w:szCs w:val="20"/>
          <w:color w:val="auto"/>
        </w:rPr>
      </w:pPr>
    </w:p>
    <w:p>
      <w:pPr>
        <w:ind w:right="80" w:firstLine="648"/>
        <w:spacing w:after="0" w:line="226" w:lineRule="auto"/>
        <w:rPr>
          <w:sz w:val="20"/>
          <w:szCs w:val="20"/>
          <w:color w:val="auto"/>
        </w:rPr>
      </w:pPr>
      <w:r>
        <w:rPr>
          <w:rFonts w:ascii="Arial" w:cs="Arial" w:eastAsia="Arial" w:hAnsi="Arial"/>
          <w:sz w:val="17"/>
          <w:szCs w:val="17"/>
          <w:color w:val="auto"/>
        </w:rPr>
        <w:t>Clinical trials are generally conducted in three sequential phases that may overlap or be combined, known as Phase 1, Phase 2 and Phase 3 clinical trials. Phase 1 clinical trials for oncology indications generally involve a small number of disease-affected patients who are treated with the drug candidate in escalating dose cohorts. The primary purpose of these clinical trials is to determine the MTD, or a recommended dose if the MTD is not achieved, assess the PK profile, pharmacologic action, side effect tolerability and safety of the drug. Phase 1 clinical trials for oncology indications may also evaluate preliminary evidence of clinical activity. Phase 2 clinical trials typically involve studies in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40"/>
        <w:spacing w:after="0" w:line="182" w:lineRule="exact"/>
        <w:rPr>
          <w:sz w:val="20"/>
          <w:szCs w:val="20"/>
          <w:color w:val="auto"/>
        </w:rPr>
      </w:pPr>
      <w:r>
        <w:rPr>
          <w:rFonts w:ascii="Arial" w:cs="Arial" w:eastAsia="Arial" w:hAnsi="Arial"/>
          <w:sz w:val="16"/>
          <w:szCs w:val="16"/>
          <w:color w:val="auto"/>
        </w:rPr>
        <w:t>disease</w:t>
      </w:r>
      <w:r>
        <w:rPr>
          <w:rFonts w:ascii="MS PGothic" w:cs="MS PGothic" w:eastAsia="MS PGothic" w:hAnsi="MS PGothic"/>
          <w:sz w:val="16"/>
          <w:szCs w:val="16"/>
          <w:color w:val="auto"/>
        </w:rPr>
        <w:t>‑</w:t>
      </w:r>
      <w:r>
        <w:rPr>
          <w:rFonts w:ascii="Arial" w:cs="Arial" w:eastAsia="Arial" w:hAnsi="Arial"/>
          <w:sz w:val="16"/>
          <w:szCs w:val="16"/>
          <w:color w:val="auto"/>
        </w:rPr>
        <w:t>affected patients to determine the dose required to produce the desired benefits. At the same time, safety and further PK and PD information is collected, as well as identification of possible adverse effects and safety risks and preliminary evaluation of efficacy. Phase 3 clinical trials generally involve large numbers of patients at multiple sites, in multiple countries (from several hundred to several thousand subjects) and are designed to provide the data necessary to demonstrate the efficacy of the drug for its intended use, its safety in use, and to establish the overall benefit/risk relationship of the drug and provide an adequate basis for drug approval. Phase 3 clinical trials may include comparisons with placebo and/or other comparator treatments. The duration of treatment is often extended to mimic the actual use of a drug during marketing. Generally, two adequate and well</w:t>
      </w:r>
      <w:r>
        <w:rPr>
          <w:rFonts w:ascii="MS PGothic" w:cs="MS PGothic" w:eastAsia="MS PGothic" w:hAnsi="MS PGothic"/>
          <w:sz w:val="16"/>
          <w:szCs w:val="16"/>
          <w:color w:val="auto"/>
        </w:rPr>
        <w:t>‑</w:t>
      </w:r>
      <w:r>
        <w:rPr>
          <w:rFonts w:ascii="Arial" w:cs="Arial" w:eastAsia="Arial" w:hAnsi="Arial"/>
          <w:sz w:val="16"/>
          <w:szCs w:val="16"/>
          <w:color w:val="auto"/>
        </w:rPr>
        <w:t>controlled Phase 3 clinical trials are required by the FDA for approval of an NDA.</w:t>
      </w:r>
    </w:p>
    <w:p>
      <w:pPr>
        <w:spacing w:after="0" w:line="167" w:lineRule="exact"/>
        <w:rPr>
          <w:sz w:val="20"/>
          <w:szCs w:val="20"/>
          <w:color w:val="auto"/>
        </w:rPr>
      </w:pPr>
    </w:p>
    <w:p>
      <w:pPr>
        <w:jc w:val="both"/>
        <w:ind w:right="560" w:firstLine="648"/>
        <w:spacing w:after="0" w:line="194" w:lineRule="exact"/>
        <w:rPr>
          <w:sz w:val="20"/>
          <w:szCs w:val="20"/>
          <w:color w:val="auto"/>
        </w:rPr>
      </w:pPr>
      <w:r>
        <w:rPr>
          <w:rFonts w:ascii="Arial" w:cs="Arial" w:eastAsia="Arial" w:hAnsi="Arial"/>
          <w:sz w:val="16"/>
          <w:szCs w:val="16"/>
          <w:color w:val="auto"/>
        </w:rPr>
        <w:t>Post</w:t>
      </w:r>
      <w:r>
        <w:rPr>
          <w:rFonts w:ascii="MS PGothic" w:cs="MS PGothic" w:eastAsia="MS PGothic" w:hAnsi="MS PGothic"/>
          <w:sz w:val="16"/>
          <w:szCs w:val="16"/>
          <w:color w:val="auto"/>
        </w:rPr>
        <w:t>‑</w:t>
      </w:r>
      <w:r>
        <w:rPr>
          <w:rFonts w:ascii="Arial" w:cs="Arial" w:eastAsia="Arial" w:hAnsi="Arial"/>
          <w:sz w:val="16"/>
          <w:szCs w:val="16"/>
          <w:color w:val="auto"/>
        </w:rPr>
        <w: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Phase 4 clinical trials.</w:t>
      </w:r>
    </w:p>
    <w:p>
      <w:pPr>
        <w:spacing w:after="0" w:line="163" w:lineRule="exact"/>
        <w:rPr>
          <w:sz w:val="20"/>
          <w:szCs w:val="20"/>
          <w:color w:val="auto"/>
        </w:rPr>
      </w:pPr>
    </w:p>
    <w:p>
      <w:pPr>
        <w:ind w:firstLine="648"/>
        <w:spacing w:after="0" w:line="232" w:lineRule="auto"/>
        <w:rPr>
          <w:sz w:val="20"/>
          <w:szCs w:val="20"/>
          <w:color w:val="auto"/>
        </w:rPr>
      </w:pPr>
      <w:r>
        <w:rPr>
          <w:rFonts w:ascii="Arial" w:cs="Arial" w:eastAsia="Arial" w:hAnsi="Arial"/>
          <w:sz w:val="16"/>
          <w:szCs w:val="16"/>
          <w:color w:val="auto"/>
        </w:rPr>
        <w:t xml:space="preserve">Progress reports detailing the results of the clinical trials must be submitted at least annually to the FDA and written IND safety reports must be submitted to the FDA and the investigators for serious and unexpected adverse reactions, any finding from other clinical studies, tests in laboratory animals,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that suggests a significant risk for human subjects, or any clinically important increase in the rate of a serious suspected adverse reaction over that listed in the protocol or investigator brochure. Phase 1, Phase 2 and Phase 3 clinical trials may not be completed successfully within any specified period, if at all. The FDA or the clinical trial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 We may also suspend or terminate a clinical trial based on evolving business objectives and/or competitive climate. Concurrent with clinical trials, companies usually complete additional animal studies and must also develop additional information about the chemistry and physical characteristics of the drug as well as finalize a process for manufacturing the drug in commercial quantities in accordance with cGMP requirements. The manufacturing process must be capable of consistently producing quality batches of the drug candidate and, among other things, cGMPs impose extensive procedural, substantive and recordkeeping requirements to ensure and preserve the long term stability and quality of the final drug product. In addition, appropriate packaging must be selected and tested and stability studies must be conducted to demonstrate that the drug candidate does not undergo unacceptable deterioration over its shelf life.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NDA and FDA Review Process</w:t>
      </w:r>
    </w:p>
    <w:p>
      <w:pPr>
        <w:spacing w:after="0" w:line="185" w:lineRule="exact"/>
        <w:rPr>
          <w:sz w:val="20"/>
          <w:szCs w:val="20"/>
          <w:color w:val="auto"/>
        </w:rPr>
      </w:pPr>
    </w:p>
    <w:p>
      <w:pPr>
        <w:ind w:right="100" w:firstLine="648"/>
        <w:spacing w:after="0" w:line="180" w:lineRule="exact"/>
        <w:rPr>
          <w:sz w:val="20"/>
          <w:szCs w:val="20"/>
          <w:color w:val="auto"/>
        </w:rPr>
      </w:pPr>
      <w:r>
        <w:rPr>
          <w:rFonts w:ascii="Arial" w:cs="Arial" w:eastAsia="Arial" w:hAnsi="Arial"/>
          <w:sz w:val="17"/>
          <w:szCs w:val="17"/>
          <w:color w:val="auto"/>
        </w:rPr>
        <w:t>Following trial completion, trial data are analyzed to assess safety and efficacy. The results of pre-clinical studies and clinical trials are then submitted to the FDA as part of an NDA, along with proposed labeling for the drug and information about the manufacturing process and facilities that will be used to ensure drug quality, results of analytical testing conducted on the chemistry of the drug, and other relevant information. The NDA is a request for approval to market the drug and must contain adequate evidence of safety and efficacy, which is demonstrated by extensive pre-clinical and clinical testing. The application includes both negative or ambiguous results of pre-clinical studies and clinical trials as well as positive findings. Data may come from company</w:t>
      </w:r>
      <w:r>
        <w:rPr>
          <w:rFonts w:ascii="MS PGothic" w:cs="MS PGothic" w:eastAsia="MS PGothic" w:hAnsi="MS PGothic"/>
          <w:sz w:val="17"/>
          <w:szCs w:val="17"/>
          <w:color w:val="auto"/>
        </w:rPr>
        <w:t>‑</w:t>
      </w:r>
      <w:r>
        <w:rPr>
          <w:rFonts w:ascii="Arial" w:cs="Arial" w:eastAsia="Arial" w:hAnsi="Arial"/>
          <w:sz w:val="17"/>
          <w:szCs w:val="17"/>
          <w:color w:val="auto"/>
        </w:rPr>
        <w:t>sponsored clinical trials intended to test the safety and efficacy of a use of a drug, or from a number of alternative sources, including studies initiated by investigators. To support marketing approval, the data submitted must be sufficient in quality and quantity to establish the safety and efficacy of the investigational drug product to the satisfaction of the FDA. The submission of an NDA is subject to the payment of substantial user fees; a waiver of such fees may be obtained under certain limited circumstances. FDA approval of an NDA must be obtained before a drug may be offered for sale in the United States.</w:t>
      </w:r>
    </w:p>
    <w:p>
      <w:pPr>
        <w:spacing w:after="0" w:line="163" w:lineRule="exact"/>
        <w:rPr>
          <w:sz w:val="20"/>
          <w:szCs w:val="20"/>
          <w:color w:val="auto"/>
        </w:rPr>
      </w:pPr>
    </w:p>
    <w:p>
      <w:pPr>
        <w:jc w:val="both"/>
        <w:ind w:right="240" w:firstLine="648"/>
        <w:spacing w:after="0" w:line="219" w:lineRule="auto"/>
        <w:rPr>
          <w:sz w:val="20"/>
          <w:szCs w:val="20"/>
          <w:color w:val="auto"/>
        </w:rPr>
      </w:pPr>
      <w:r>
        <w:rPr>
          <w:rFonts w:ascii="Arial" w:cs="Arial" w:eastAsia="Arial" w:hAnsi="Arial"/>
          <w:sz w:val="18"/>
          <w:szCs w:val="18"/>
          <w:color w:val="auto"/>
        </w:rPr>
        <w:t>In addition, under the Pediatric Research Equity Act, or PREA, an NDA or supplement to an NDA must contain data to assess the safety and efficacy of the drug for the claimed indications in all relevant pediatric subpopulations and to support dosing and administration for each pediatric subpopulation for which the drug is safe and effective. The FDA may grant deferrals for submission of data or full or partial waivers.</w:t>
      </w:r>
    </w:p>
    <w:p>
      <w:pPr>
        <w:spacing w:after="0" w:line="163"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Under the Prescription Drug User Fee Act, or PDUFA, as amended, each NDA must be accompanied by a user fee. The FDA adjusts the PDUFA user fees on an annual basis. According to the FDA’s fiscal year 2018 fee schedule,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00"/>
        <w:spacing w:after="0" w:line="187" w:lineRule="exact"/>
        <w:rPr>
          <w:sz w:val="20"/>
          <w:szCs w:val="20"/>
          <w:color w:val="auto"/>
        </w:rPr>
      </w:pPr>
      <w:r>
        <w:rPr>
          <w:rFonts w:ascii="Arial" w:cs="Arial" w:eastAsia="Arial" w:hAnsi="Arial"/>
          <w:sz w:val="18"/>
          <w:szCs w:val="18"/>
          <w:color w:val="auto"/>
        </w:rPr>
        <w:t>effective through September 30, 2018, the user fee for an application requiring clinical data, such as an NDA, is $2,421,495. PDUFA also imposes an annual prescription drug product program fee for human drugs ($304,162). Fee waivers or reductions are available in certain circumstances, including a waiver of the application fee for the first application filed by a small business. In addition, no user fees are assessed on NDAs for products designated as orphan drugs, unless the product also includes a non</w:t>
      </w:r>
      <w:r>
        <w:rPr>
          <w:rFonts w:ascii="MS PGothic" w:cs="MS PGothic" w:eastAsia="MS PGothic" w:hAnsi="MS PGothic"/>
          <w:sz w:val="18"/>
          <w:szCs w:val="18"/>
          <w:color w:val="auto"/>
        </w:rPr>
        <w:t>‑</w:t>
      </w:r>
      <w:r>
        <w:rPr>
          <w:rFonts w:ascii="Arial" w:cs="Arial" w:eastAsia="Arial" w:hAnsi="Arial"/>
          <w:sz w:val="18"/>
          <w:szCs w:val="18"/>
          <w:color w:val="auto"/>
        </w:rPr>
        <w:t>orphan indication.</w:t>
      </w:r>
    </w:p>
    <w:p>
      <w:pPr>
        <w:spacing w:after="0" w:line="122" w:lineRule="exact"/>
        <w:rPr>
          <w:sz w:val="20"/>
          <w:szCs w:val="20"/>
          <w:color w:val="auto"/>
        </w:rPr>
      </w:pPr>
    </w:p>
    <w:p>
      <w:pPr>
        <w:ind w:right="240" w:firstLine="648"/>
        <w:spacing w:after="0" w:line="184" w:lineRule="exact"/>
        <w:rPr>
          <w:sz w:val="20"/>
          <w:szCs w:val="20"/>
          <w:color w:val="auto"/>
        </w:rPr>
      </w:pPr>
      <w:r>
        <w:rPr>
          <w:rFonts w:ascii="Arial" w:cs="Arial" w:eastAsia="Arial" w:hAnsi="Arial"/>
          <w:sz w:val="17"/>
          <w:szCs w:val="17"/>
          <w:color w:val="auto"/>
        </w:rPr>
        <w:t>The FDA reviews all NDAs submitted before it accepts them for filing and may request additional information rather than accepting an NDA for filing. The FDA must make a decision on accepting an NDA for filing within 60 days of receipt. Once the submission is accepted for filing, the FDA begins an in</w:t>
      </w:r>
      <w:r>
        <w:rPr>
          <w:rFonts w:ascii="MS PGothic" w:cs="MS PGothic" w:eastAsia="MS PGothic" w:hAnsi="MS PGothic"/>
          <w:sz w:val="17"/>
          <w:szCs w:val="17"/>
          <w:color w:val="auto"/>
        </w:rPr>
        <w:t>‑</w:t>
      </w:r>
      <w:r>
        <w:rPr>
          <w:rFonts w:ascii="Arial" w:cs="Arial" w:eastAsia="Arial" w:hAnsi="Arial"/>
          <w:sz w:val="17"/>
          <w:szCs w:val="17"/>
          <w:color w:val="auto"/>
        </w:rPr>
        <w:t>depth review of the NDA. Under the goals and policies agreed to by the FDA under PDUFA, the FDA has ten months from the filing date in which to complete its initial review of a standard NDA and respond to the applicant, and six months from the filing date for a priority NDA. The FDA does not always meet its PDUFA goal dates for standard and priority NDAs, and the review process is often significantly extended by FDA requests for additional information or clarification.</w:t>
      </w:r>
    </w:p>
    <w:p>
      <w:pPr>
        <w:spacing w:after="0" w:line="135" w:lineRule="exact"/>
        <w:rPr>
          <w:sz w:val="20"/>
          <w:szCs w:val="20"/>
          <w:color w:val="auto"/>
        </w:rPr>
      </w:pPr>
    </w:p>
    <w:p>
      <w:pPr>
        <w:ind w:right="20" w:firstLine="648"/>
        <w:spacing w:after="0" w:line="181" w:lineRule="exact"/>
        <w:rPr>
          <w:sz w:val="20"/>
          <w:szCs w:val="20"/>
          <w:color w:val="auto"/>
        </w:rPr>
      </w:pPr>
      <w:r>
        <w:rPr>
          <w:rFonts w:ascii="Arial" w:cs="Arial" w:eastAsia="Arial" w:hAnsi="Arial"/>
          <w:sz w:val="17"/>
          <w:szCs w:val="17"/>
          <w:color w:val="auto"/>
        </w:rPr>
        <w:t>After the NDA submission is accepted for filing, the FDA reviews the NDA to determine, among other things, whether the proposed drug is safe and effective for its intended use, and whether the drug is being manufactured in accordance with cGMP to assure and preserve the drug’s identity, strength, quality and purity. The FDA may refer applications for novel drugs or drug candidates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The FDA will likely re</w:t>
      </w:r>
      <w:r>
        <w:rPr>
          <w:rFonts w:ascii="MS PGothic" w:cs="MS PGothic" w:eastAsia="MS PGothic" w:hAnsi="MS PGothic"/>
          <w:sz w:val="17"/>
          <w:szCs w:val="17"/>
          <w:color w:val="auto"/>
        </w:rPr>
        <w:t>‑</w:t>
      </w:r>
      <w:r>
        <w:rPr>
          <w:rFonts w:ascii="Arial" w:cs="Arial" w:eastAsia="Arial" w:hAnsi="Arial"/>
          <w:sz w:val="17"/>
          <w:szCs w:val="17"/>
          <w:color w:val="auto"/>
        </w:rPr>
        <w:t>analyze the clinical trial data, which could result in extensive discussions between the FDA and us during the review process. The review and evaluation of an NDA by the FDA is extensive and time consuming and may take longer than originally planned to complete, and we may not receive a timely approval, if at all.</w:t>
      </w:r>
    </w:p>
    <w:p>
      <w:pPr>
        <w:spacing w:after="0" w:line="119" w:lineRule="exact"/>
        <w:rPr>
          <w:sz w:val="20"/>
          <w:szCs w:val="20"/>
          <w:color w:val="auto"/>
        </w:rPr>
      </w:pPr>
    </w:p>
    <w:p>
      <w:pPr>
        <w:ind w:left="660"/>
        <w:spacing w:after="0" w:line="196" w:lineRule="exact"/>
        <w:rPr>
          <w:sz w:val="20"/>
          <w:szCs w:val="20"/>
          <w:color w:val="auto"/>
        </w:rPr>
      </w:pPr>
      <w:r>
        <w:rPr>
          <w:rFonts w:ascii="Arial" w:cs="Arial" w:eastAsia="Arial" w:hAnsi="Arial"/>
          <w:sz w:val="17"/>
          <w:szCs w:val="17"/>
          <w:color w:val="auto"/>
        </w:rPr>
        <w:t>Before approving an NDA, the FDA will conduct a pre</w:t>
      </w:r>
      <w:r>
        <w:rPr>
          <w:rFonts w:ascii="MS PGothic" w:cs="MS PGothic" w:eastAsia="MS PGothic" w:hAnsi="MS PGothic"/>
          <w:sz w:val="17"/>
          <w:szCs w:val="17"/>
          <w:color w:val="auto"/>
        </w:rPr>
        <w:t>‑</w:t>
      </w:r>
      <w:r>
        <w:rPr>
          <w:rFonts w:ascii="Arial" w:cs="Arial" w:eastAsia="Arial" w:hAnsi="Arial"/>
          <w:sz w:val="17"/>
          <w:szCs w:val="17"/>
          <w:color w:val="auto"/>
        </w:rPr>
        <w:t>approval inspection of the manufacturing facilities for the</w:t>
      </w:r>
    </w:p>
    <w:p>
      <w:pPr>
        <w:spacing w:after="0" w:line="229" w:lineRule="auto"/>
        <w:rPr>
          <w:sz w:val="20"/>
          <w:szCs w:val="20"/>
          <w:color w:val="auto"/>
        </w:rPr>
      </w:pPr>
      <w:r>
        <w:rPr>
          <w:rFonts w:ascii="Arial" w:cs="Arial" w:eastAsia="Arial" w:hAnsi="Arial"/>
          <w:sz w:val="16"/>
          <w:szCs w:val="16"/>
          <w:color w:val="auto"/>
        </w:rPr>
        <w:t>new drug to determine whether they comply with cGMPs. The FDA will not approve the drug unless it determines that the</w:t>
      </w:r>
    </w:p>
    <w:p>
      <w:pPr>
        <w:spacing w:after="0" w:line="215" w:lineRule="auto"/>
        <w:rPr>
          <w:sz w:val="20"/>
          <w:szCs w:val="20"/>
          <w:color w:val="auto"/>
        </w:rPr>
      </w:pPr>
      <w:r>
        <w:rPr>
          <w:rFonts w:ascii="Arial" w:cs="Arial" w:eastAsia="Arial" w:hAnsi="Arial"/>
          <w:sz w:val="17"/>
          <w:szCs w:val="17"/>
          <w:color w:val="auto"/>
        </w:rPr>
        <w:t>manufacturing processes and facilities are in compliance with cGMP requirements and adequate to assure consistent</w:t>
      </w:r>
    </w:p>
    <w:p>
      <w:pPr>
        <w:spacing w:after="0" w:line="216" w:lineRule="auto"/>
        <w:rPr>
          <w:sz w:val="20"/>
          <w:szCs w:val="20"/>
          <w:color w:val="auto"/>
        </w:rPr>
      </w:pPr>
      <w:r>
        <w:rPr>
          <w:rFonts w:ascii="Arial" w:cs="Arial" w:eastAsia="Arial" w:hAnsi="Arial"/>
          <w:sz w:val="17"/>
          <w:szCs w:val="17"/>
          <w:color w:val="auto"/>
        </w:rPr>
        <w:t>production of the drug within required specifications. In addition, before approving an NDA, the FDA may also audit data</w:t>
      </w:r>
    </w:p>
    <w:p>
      <w:pPr>
        <w:spacing w:after="0" w:line="215" w:lineRule="auto"/>
        <w:rPr>
          <w:sz w:val="20"/>
          <w:szCs w:val="20"/>
          <w:color w:val="auto"/>
        </w:rPr>
      </w:pPr>
      <w:r>
        <w:rPr>
          <w:rFonts w:ascii="Arial" w:cs="Arial" w:eastAsia="Arial" w:hAnsi="Arial"/>
          <w:sz w:val="17"/>
          <w:szCs w:val="17"/>
          <w:color w:val="auto"/>
        </w:rPr>
        <w:t>from clinical trials by inspecting the sponsor or clinical trial sites to ensure compliance with GCP requirements. After the</w:t>
      </w:r>
    </w:p>
    <w:p>
      <w:pPr>
        <w:spacing w:after="0" w:line="216" w:lineRule="auto"/>
        <w:rPr>
          <w:sz w:val="20"/>
          <w:szCs w:val="20"/>
          <w:color w:val="auto"/>
        </w:rPr>
      </w:pPr>
      <w:r>
        <w:rPr>
          <w:rFonts w:ascii="Arial" w:cs="Arial" w:eastAsia="Arial" w:hAnsi="Arial"/>
          <w:sz w:val="17"/>
          <w:szCs w:val="17"/>
          <w:color w:val="auto"/>
        </w:rPr>
        <w:t>FDA evaluates the application, manufacturing process and manufacturing facilities where the drug product and/or its API</w:t>
      </w:r>
    </w:p>
    <w:p>
      <w:pPr>
        <w:spacing w:after="0" w:line="229" w:lineRule="auto"/>
        <w:rPr>
          <w:sz w:val="20"/>
          <w:szCs w:val="20"/>
          <w:color w:val="auto"/>
        </w:rPr>
      </w:pPr>
      <w:r>
        <w:rPr>
          <w:rFonts w:ascii="Arial" w:cs="Arial" w:eastAsia="Arial" w:hAnsi="Arial"/>
          <w:sz w:val="16"/>
          <w:szCs w:val="16"/>
          <w:color w:val="auto"/>
        </w:rPr>
        <w:t>will be produced, it may issue an approval letter or a Complete Response Letter. An approval letter authorizes commercial</w:t>
      </w:r>
    </w:p>
    <w:p>
      <w:pPr>
        <w:spacing w:after="0" w:line="215" w:lineRule="auto"/>
        <w:rPr>
          <w:sz w:val="20"/>
          <w:szCs w:val="20"/>
          <w:color w:val="auto"/>
        </w:rPr>
      </w:pPr>
      <w:r>
        <w:rPr>
          <w:rFonts w:ascii="Arial" w:cs="Arial" w:eastAsia="Arial" w:hAnsi="Arial"/>
          <w:sz w:val="17"/>
          <w:szCs w:val="17"/>
          <w:color w:val="auto"/>
        </w:rPr>
        <w:t>marketing of the drug with specific prescribing information for specific indications. A Complete Response Letter indicates</w:t>
      </w:r>
    </w:p>
    <w:p>
      <w:pPr>
        <w:spacing w:after="0" w:line="216" w:lineRule="auto"/>
        <w:rPr>
          <w:sz w:val="20"/>
          <w:szCs w:val="20"/>
          <w:color w:val="auto"/>
        </w:rPr>
      </w:pPr>
      <w:r>
        <w:rPr>
          <w:rFonts w:ascii="Arial" w:cs="Arial" w:eastAsia="Arial" w:hAnsi="Arial"/>
          <w:sz w:val="17"/>
          <w:szCs w:val="17"/>
          <w:color w:val="auto"/>
        </w:rPr>
        <w:t>that the review cycle of the application is complete and the application is not ready for approval. A Complete Response</w:t>
      </w:r>
    </w:p>
    <w:p>
      <w:pPr>
        <w:spacing w:after="0" w:line="215" w:lineRule="auto"/>
        <w:rPr>
          <w:sz w:val="20"/>
          <w:szCs w:val="20"/>
          <w:color w:val="auto"/>
        </w:rPr>
      </w:pPr>
      <w:r>
        <w:rPr>
          <w:rFonts w:ascii="Arial" w:cs="Arial" w:eastAsia="Arial" w:hAnsi="Arial"/>
          <w:sz w:val="17"/>
          <w:szCs w:val="17"/>
          <w:color w:val="auto"/>
        </w:rPr>
        <w:t>Letter usually describes all of the specific deficiencies in the NDA identified by the FDA. The Complete Response Letter</w:t>
      </w:r>
    </w:p>
    <w:p>
      <w:pPr>
        <w:spacing w:after="0" w:line="216" w:lineRule="auto"/>
        <w:rPr>
          <w:sz w:val="20"/>
          <w:szCs w:val="20"/>
          <w:color w:val="auto"/>
        </w:rPr>
      </w:pPr>
      <w:r>
        <w:rPr>
          <w:rFonts w:ascii="Arial" w:cs="Arial" w:eastAsia="Arial" w:hAnsi="Arial"/>
          <w:sz w:val="17"/>
          <w:szCs w:val="17"/>
          <w:color w:val="auto"/>
        </w:rPr>
        <w:t>may require additional clinical data and/or an additional pivotal clinical trial(s), and/or other significant, expensive and</w:t>
      </w:r>
    </w:p>
    <w:p>
      <w:pPr>
        <w:spacing w:after="0" w:line="176" w:lineRule="exact"/>
        <w:rPr>
          <w:sz w:val="20"/>
          <w:szCs w:val="20"/>
          <w:color w:val="auto"/>
        </w:rPr>
      </w:pPr>
      <w:r>
        <w:rPr>
          <w:rFonts w:ascii="Arial" w:cs="Arial" w:eastAsia="Arial" w:hAnsi="Arial"/>
          <w:sz w:val="16"/>
          <w:szCs w:val="16"/>
          <w:color w:val="auto"/>
        </w:rPr>
        <w:t>time</w:t>
      </w:r>
      <w:r>
        <w:rPr>
          <w:rFonts w:ascii="MS PGothic" w:cs="MS PGothic" w:eastAsia="MS PGothic" w:hAnsi="MS PGothic"/>
          <w:sz w:val="16"/>
          <w:szCs w:val="16"/>
          <w:color w:val="auto"/>
        </w:rPr>
        <w:t>‑</w:t>
      </w:r>
      <w:r>
        <w:rPr>
          <w:rFonts w:ascii="Arial" w:cs="Arial" w:eastAsia="Arial" w:hAnsi="Arial"/>
          <w:sz w:val="16"/>
          <w:szCs w:val="16"/>
          <w:color w:val="auto"/>
        </w:rPr>
        <w:t>consuming requirements related to clinical trials, pre-clinical studies or manufacturing. If a Complete Response Letter is</w:t>
      </w:r>
    </w:p>
    <w:p>
      <w:pPr>
        <w:spacing w:after="0" w:line="229" w:lineRule="auto"/>
        <w:rPr>
          <w:sz w:val="20"/>
          <w:szCs w:val="20"/>
          <w:color w:val="auto"/>
        </w:rPr>
      </w:pPr>
      <w:r>
        <w:rPr>
          <w:rFonts w:ascii="Arial" w:cs="Arial" w:eastAsia="Arial" w:hAnsi="Arial"/>
          <w:sz w:val="16"/>
          <w:szCs w:val="16"/>
          <w:color w:val="auto"/>
        </w:rPr>
        <w:t>issued, the applicant may either resubmit the NDA, addressing all of the deficiencies identified in the letter, or withdraw the</w:t>
      </w:r>
    </w:p>
    <w:p>
      <w:pPr>
        <w:spacing w:after="0" w:line="229" w:lineRule="auto"/>
        <w:rPr>
          <w:sz w:val="20"/>
          <w:szCs w:val="20"/>
          <w:color w:val="auto"/>
        </w:rPr>
      </w:pPr>
      <w:r>
        <w:rPr>
          <w:rFonts w:ascii="Arial" w:cs="Arial" w:eastAsia="Arial" w:hAnsi="Arial"/>
          <w:sz w:val="16"/>
          <w:szCs w:val="16"/>
          <w:color w:val="auto"/>
        </w:rPr>
        <w:t>application. Even if such data and information is submitted, the FDA may ultimately decide that the NDA does not satisfy the</w:t>
      </w:r>
    </w:p>
    <w:p>
      <w:pPr>
        <w:spacing w:after="0" w:line="229" w:lineRule="auto"/>
        <w:rPr>
          <w:sz w:val="20"/>
          <w:szCs w:val="20"/>
          <w:color w:val="auto"/>
        </w:rPr>
      </w:pPr>
      <w:r>
        <w:rPr>
          <w:rFonts w:ascii="Arial" w:cs="Arial" w:eastAsia="Arial" w:hAnsi="Arial"/>
          <w:sz w:val="16"/>
          <w:szCs w:val="16"/>
          <w:color w:val="auto"/>
        </w:rPr>
        <w:t>criteria for approval. Data obtained from clinical trials are not always conclusive and the FDA may interpret data differently</w:t>
      </w:r>
    </w:p>
    <w:p>
      <w:pPr>
        <w:spacing w:after="0"/>
        <w:rPr>
          <w:sz w:val="20"/>
          <w:szCs w:val="20"/>
          <w:color w:val="auto"/>
        </w:rPr>
      </w:pPr>
      <w:r>
        <w:rPr>
          <w:rFonts w:ascii="Arial" w:cs="Arial" w:eastAsia="Arial" w:hAnsi="Arial"/>
          <w:sz w:val="18"/>
          <w:szCs w:val="18"/>
          <w:color w:val="auto"/>
        </w:rPr>
        <w:t>than we interpret the same data.</w:t>
      </w:r>
    </w:p>
    <w:p>
      <w:pPr>
        <w:spacing w:after="0" w:line="128"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There is no assurance that the FDA will ultimately approve a drug product for marketing in the United States and we may encounter significant difficulties or costs during the review process. If a drug receives marketing approval, the approval may be significantly limited to specific diseases and dosages or the indications for use may otherwise be limited, which could restrict the commercial value of the drug. Further, the FDA may require that certain contraindications, warnings or precautions be included in the drug labeling or may condition the approval of the NDA on other changes to the proposed labeling, development of adequate controls and specifications, or a commitment to conduct post</w:t>
      </w:r>
      <w:r>
        <w:rPr>
          <w:rFonts w:ascii="MS PGothic" w:cs="MS PGothic" w:eastAsia="MS PGothic" w:hAnsi="MS PGothic"/>
          <w:sz w:val="17"/>
          <w:szCs w:val="17"/>
          <w:color w:val="auto"/>
        </w:rPr>
        <w:t>‑</w:t>
      </w:r>
      <w:r>
        <w:rPr>
          <w:rFonts w:ascii="Arial" w:cs="Arial" w:eastAsia="Arial" w:hAnsi="Arial"/>
          <w:sz w:val="17"/>
          <w:szCs w:val="17"/>
          <w:color w:val="auto"/>
        </w:rPr>
        <w:t>market testing or clinical trials and surveillance to monitor the effects of approved drugs. For example, the FDA may require Phase 4 testing which involves clinical trials designed to further assess a drug’s safety and effectiveness and may require testing and surveillance programs to monitor the safety of approved drugs that have been commercialized. The FDA may also place other conditions on approvals including the requirement for a Risk Evaluation and Mitigation Strategy, or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drugs. Drug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660"/>
        <w:spacing w:after="0" w:line="203" w:lineRule="exact"/>
        <w:rPr>
          <w:sz w:val="20"/>
          <w:szCs w:val="20"/>
          <w:color w:val="auto"/>
        </w:rPr>
      </w:pPr>
      <w:r>
        <w:rPr>
          <w:rFonts w:ascii="Arial" w:cs="Arial" w:eastAsia="Arial" w:hAnsi="Arial"/>
          <w:sz w:val="18"/>
          <w:szCs w:val="18"/>
          <w:color w:val="auto"/>
        </w:rPr>
        <w:t>approvals may be withdrawn for non</w:t>
      </w:r>
      <w:r>
        <w:rPr>
          <w:rFonts w:ascii="MS PGothic" w:cs="MS PGothic" w:eastAsia="MS PGothic" w:hAnsi="MS PGothic"/>
          <w:sz w:val="18"/>
          <w:szCs w:val="18"/>
          <w:color w:val="auto"/>
        </w:rPr>
        <w:t>‑</w:t>
      </w:r>
      <w:r>
        <w:rPr>
          <w:rFonts w:ascii="Arial" w:cs="Arial" w:eastAsia="Arial" w:hAnsi="Arial"/>
          <w:sz w:val="18"/>
          <w:szCs w:val="18"/>
          <w:color w:val="auto"/>
        </w:rPr>
        <w:t>compliance with regulatory requirements or if problems occur following initial marketing.</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Special FDA Expedited Review and Approval Programs</w:t>
      </w:r>
    </w:p>
    <w:p>
      <w:pPr>
        <w:spacing w:after="0" w:line="185"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The FDA has various programs, including fast track designation, accelerated approval, priority review and breakthrough therapy designation, that are intended to expedite or simplify the process for the development and FDA review of drugs that are intended for the treatment of serious or life threatening diseases or conditions and demonstrate the potential to address unmet medical needs. The purpose of these programs is to provide important new drugs to patients earlier than under standard FDA review procedures. To be eligible for fast track designation, the FDA must determine, based on the request of a sponsor, that a drug is intended to treat a serious or life threatening disease or condition and based on pre-clinical or preliminary clinical data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w:t>
      </w:r>
    </w:p>
    <w:p>
      <w:pPr>
        <w:spacing w:after="0" w:line="162" w:lineRule="exact"/>
        <w:rPr>
          <w:sz w:val="20"/>
          <w:szCs w:val="20"/>
          <w:color w:val="auto"/>
        </w:rPr>
      </w:pPr>
    </w:p>
    <w:p>
      <w:pPr>
        <w:ind w:right="40" w:firstLine="648"/>
        <w:spacing w:after="0" w:line="241" w:lineRule="auto"/>
        <w:rPr>
          <w:sz w:val="20"/>
          <w:szCs w:val="20"/>
          <w:color w:val="auto"/>
        </w:rPr>
      </w:pPr>
      <w:r>
        <w:rPr>
          <w:rFonts w:ascii="Arial" w:cs="Arial" w:eastAsia="Arial" w:hAnsi="Arial"/>
          <w:sz w:val="16"/>
          <w:szCs w:val="16"/>
          <w:color w:val="auto"/>
        </w:rPr>
        <w:t>The FDA may give a priority review designation to drugs that offer major advances in treatment, or provide a treatment where no adequate therapy exists. A priority review means that the goal for the FDA to review an application is six months, rather than the standard review of ten months under current PDUFA guidelines. These six and ten month review periods are measured from the “filing” date rather than the receipt date for NDAs for new molecular entities, which typically adds approximately two months to the timeline for review and decision from the date of submission. Products that are eligible for fast track designation are also likely to be considered appropriate to receive a priority review.</w:t>
      </w:r>
    </w:p>
    <w:p>
      <w:pPr>
        <w:spacing w:after="0" w:line="161"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In addition, drugs studied for their safety and effectiveness in treating serious or life</w:t>
      </w:r>
      <w:r>
        <w:rPr>
          <w:rFonts w:ascii="MS PGothic" w:cs="MS PGothic" w:eastAsia="MS PGothic" w:hAnsi="MS PGothic"/>
          <w:sz w:val="17"/>
          <w:szCs w:val="17"/>
          <w:color w:val="auto"/>
        </w:rPr>
        <w:t>‑</w:t>
      </w:r>
      <w:r>
        <w:rPr>
          <w:rFonts w:ascii="Arial" w:cs="Arial" w:eastAsia="Arial" w:hAnsi="Arial"/>
          <w:sz w:val="17"/>
          <w:szCs w:val="17"/>
          <w:color w:val="auto"/>
        </w:rPr>
        <w:t>threatening illnesses and that provide meaningful therapeutic benefit over existing treatments may receive accelerated approval and may be approved on the basis of adequate and well</w:t>
      </w:r>
      <w:r>
        <w:rPr>
          <w:rFonts w:ascii="MS PGothic" w:cs="MS PGothic" w:eastAsia="MS PGothic" w:hAnsi="MS PGothic"/>
          <w:sz w:val="17"/>
          <w:szCs w:val="17"/>
          <w:color w:val="auto"/>
        </w:rPr>
        <w:t>‑</w:t>
      </w:r>
      <w:r>
        <w:rPr>
          <w:rFonts w:ascii="Arial" w:cs="Arial" w:eastAsia="Arial" w:hAnsi="Arial"/>
          <w:sz w:val="17"/>
          <w:szCs w:val="17"/>
          <w:color w:val="auto"/>
        </w:rPr>
        <w:t>controlled clinical trials establishing that the drug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drug receiving accelerated approval to perform post</w:t>
      </w:r>
      <w:r>
        <w:rPr>
          <w:rFonts w:ascii="MS PGothic" w:cs="MS PGothic" w:eastAsia="MS PGothic" w:hAnsi="MS PGothic"/>
          <w:sz w:val="17"/>
          <w:szCs w:val="17"/>
          <w:color w:val="auto"/>
        </w:rPr>
        <w:t>‑</w:t>
      </w:r>
      <w:r>
        <w:rPr>
          <w:rFonts w:ascii="Arial" w:cs="Arial" w:eastAsia="Arial" w:hAnsi="Arial"/>
          <w:sz w:val="17"/>
          <w:szCs w:val="17"/>
          <w:color w:val="auto"/>
        </w:rPr>
        <w:t>marketing studies to verify and describe the predicted effect on irreversible morbidity or mortality or other clinical endpoint, and the drug may be subject to accelerated withdrawal procedures.</w:t>
      </w:r>
    </w:p>
    <w:p>
      <w:pPr>
        <w:spacing w:after="0" w:line="162" w:lineRule="exact"/>
        <w:rPr>
          <w:sz w:val="20"/>
          <w:szCs w:val="20"/>
          <w:color w:val="auto"/>
        </w:rPr>
      </w:pPr>
    </w:p>
    <w:p>
      <w:pPr>
        <w:ind w:right="60" w:firstLine="648"/>
        <w:spacing w:after="0" w:line="184" w:lineRule="exact"/>
        <w:rPr>
          <w:sz w:val="20"/>
          <w:szCs w:val="20"/>
          <w:color w:val="auto"/>
        </w:rPr>
      </w:pPr>
      <w:r>
        <w:rPr>
          <w:rFonts w:ascii="Arial" w:cs="Arial" w:eastAsia="Arial" w:hAnsi="Arial"/>
          <w:sz w:val="16"/>
          <w:szCs w:val="16"/>
          <w:color w:val="auto"/>
        </w:rPr>
        <w:t>Moreover, a sponsor can request designation of a product candidate as a “breakthrough therapy.” A breakthrough therapy is defined as a drug that is intended, alone or in combination with one or more other drugs, to treat a serious or life</w:t>
      </w:r>
      <w:r>
        <w:rPr>
          <w:rFonts w:ascii="MS PGothic" w:cs="MS PGothic" w:eastAsia="MS PGothic" w:hAnsi="MS PGothic"/>
          <w:sz w:val="16"/>
          <w:szCs w:val="16"/>
          <w:color w:val="auto"/>
        </w:rPr>
        <w:t>‑</w:t>
      </w:r>
      <w:r>
        <w:rPr>
          <w:rFonts w:ascii="Arial" w:cs="Arial" w:eastAsia="Arial" w:hAnsi="Arial"/>
          <w:sz w:val="16"/>
          <w:szCs w:val="16"/>
          <w:color w:val="auto"/>
        </w:rPr>
        <w:t>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also eligible for accelerated approval and priority review. The FDA must take certain actions, such as holding timely meetings and providing advice, intended to expedite the development and review of an application for approval of a breakthrough therapy.</w:t>
      </w:r>
    </w:p>
    <w:p>
      <w:pPr>
        <w:spacing w:after="0" w:line="163" w:lineRule="exact"/>
        <w:rPr>
          <w:sz w:val="20"/>
          <w:szCs w:val="20"/>
          <w:color w:val="auto"/>
        </w:rPr>
      </w:pPr>
    </w:p>
    <w:p>
      <w:pPr>
        <w:ind w:right="140" w:firstLine="648"/>
        <w:spacing w:after="0" w:line="249" w:lineRule="auto"/>
        <w:rPr>
          <w:sz w:val="20"/>
          <w:szCs w:val="20"/>
          <w:color w:val="auto"/>
        </w:rPr>
      </w:pPr>
      <w:r>
        <w:rPr>
          <w:rFonts w:ascii="Arial" w:cs="Arial" w:eastAsia="Arial" w:hAnsi="Arial"/>
          <w:sz w:val="16"/>
          <w:szCs w:val="16"/>
          <w:color w:val="auto"/>
        </w:rPr>
        <w:t>Even if a product qualifies for one or more of these programs, the FDA may later decide that the product no longer meets the conditions for qualification or decide that the time period for FDA review or approval will not be shortened. Furthermore, fast track designation, priority review, accelerated approval and breakthrough therapy designation, do not change the standards for approval and may not ultimately expedite the development or approval process.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Pediatric Trials</w:t>
      </w:r>
    </w:p>
    <w:p>
      <w:pPr>
        <w:spacing w:after="0" w:line="185"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A sponsor who is planning to submit a marketing application for a drug that includes a new active ingredient, new indication, new dosage form, new dosing regimen or new route of administration must submit an initial Pediatric Study Plan, or PSP, within sixty days of an end</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Development program candidates designated as orphan drugs are exempt from the above requirements. FDA and the sponsor must reach agreement on the PSP. A sponsor can submit amendments to an agreed</w:t>
      </w:r>
      <w:r>
        <w:rPr>
          <w:rFonts w:ascii="MS PGothic" w:cs="MS PGothic" w:eastAsia="MS PGothic" w:hAnsi="MS PGothic"/>
          <w:sz w:val="16"/>
          <w:szCs w:val="16"/>
          <w:color w:val="auto"/>
        </w:rPr>
        <w:t>‑</w:t>
      </w:r>
      <w:r>
        <w:rPr>
          <w:rFonts w:ascii="Arial" w:cs="Arial" w:eastAsia="Arial" w:hAnsi="Arial"/>
          <w:sz w:val="16"/>
          <w:szCs w:val="16"/>
          <w:color w:val="auto"/>
        </w:rPr>
        <w:t>upon initial PSP at any time if changes to the pediatric plan need to be considered based on data collected from pre-clinical studies, early phase clinical trials, and/or other clinical development programs.</w:t>
      </w:r>
    </w:p>
    <w:p>
      <w:pPr>
        <w:spacing w:after="0" w:line="163"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i w:val="1"/>
          <w:iCs w:val="1"/>
          <w:color w:val="auto"/>
        </w:rPr>
        <w:t>Post</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Marketing Requirements</w:t>
      </w:r>
    </w:p>
    <w:p>
      <w:pPr>
        <w:spacing w:after="0" w:line="185" w:lineRule="exact"/>
        <w:rPr>
          <w:sz w:val="20"/>
          <w:szCs w:val="20"/>
          <w:color w:val="auto"/>
        </w:rPr>
      </w:pPr>
    </w:p>
    <w:p>
      <w:pPr>
        <w:ind w:right="60" w:firstLine="648"/>
        <w:spacing w:after="0" w:line="180" w:lineRule="exact"/>
        <w:rPr>
          <w:sz w:val="20"/>
          <w:szCs w:val="20"/>
          <w:color w:val="auto"/>
        </w:rPr>
      </w:pPr>
      <w:r>
        <w:rPr>
          <w:rFonts w:ascii="Arial" w:cs="Arial" w:eastAsia="Arial" w:hAnsi="Arial"/>
          <w:sz w:val="17"/>
          <w:szCs w:val="17"/>
          <w:color w:val="auto"/>
        </w:rPr>
        <w:t>Following approval of a new drug, a pharmaceutical company and the approved drug are subject to continuing regulation by the FDA, including, among other things, monitoring and recordkeeping activities, reporting to the applicable regulatory authorities of adverse experiences with the drug, providing the regulatory authorities with updated safety and efficacy information, drug sampling and distribution requirements, and complying with promotion and advertising requirements, which include, among others, standards for direct</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consumer advertising, restrictions on promoting drugs for uses or in patient populations that are not described in the drug’s approved labeling (known as “off</w:t>
      </w:r>
      <w:r>
        <w:rPr>
          <w:rFonts w:ascii="MS PGothic" w:cs="MS PGothic" w:eastAsia="MS PGothic" w:hAnsi="MS PGothic"/>
          <w:sz w:val="17"/>
          <w:szCs w:val="17"/>
          <w:color w:val="auto"/>
        </w:rPr>
        <w:t>‑</w:t>
      </w:r>
      <w:r>
        <w:rPr>
          <w:rFonts w:ascii="Arial" w:cs="Arial" w:eastAsia="Arial" w:hAnsi="Arial"/>
          <w:sz w:val="17"/>
          <w:szCs w:val="17"/>
          <w:color w:val="auto"/>
        </w:rPr>
        <w:t>label use”) and requirements for promotional activities involving the internet. Although physicians may prescribe legally available drugs for off</w:t>
      </w:r>
      <w:r>
        <w:rPr>
          <w:rFonts w:ascii="MS PGothic" w:cs="MS PGothic" w:eastAsia="MS PGothic" w:hAnsi="MS PGothic"/>
          <w:sz w:val="17"/>
          <w:szCs w:val="17"/>
          <w:color w:val="auto"/>
        </w:rPr>
        <w:t>‑</w:t>
      </w:r>
      <w:r>
        <w:rPr>
          <w:rFonts w:ascii="Arial" w:cs="Arial" w:eastAsia="Arial" w:hAnsi="Arial"/>
          <w:sz w:val="17"/>
          <w:szCs w:val="17"/>
          <w:color w:val="auto"/>
        </w:rPr>
        <w:t>label uses, manufacturers may not market or promote such off</w:t>
      </w:r>
      <w:r>
        <w:rPr>
          <w:rFonts w:ascii="MS PGothic" w:cs="MS PGothic" w:eastAsia="MS PGothic" w:hAnsi="MS PGothic"/>
          <w:sz w:val="17"/>
          <w:szCs w:val="17"/>
          <w:color w:val="auto"/>
        </w:rPr>
        <w:t>‑</w:t>
      </w:r>
      <w:r>
        <w:rPr>
          <w:rFonts w:ascii="Arial" w:cs="Arial" w:eastAsia="Arial" w:hAnsi="Arial"/>
          <w:sz w:val="17"/>
          <w:szCs w:val="17"/>
          <w:color w:val="auto"/>
        </w:rPr>
        <w:t>label uses. Prescription drug promotional materials must be submitted to the FDA in conjunction with their first use. There are also limitations on industry</w:t>
      </w:r>
      <w:r>
        <w:rPr>
          <w:rFonts w:ascii="MS PGothic" w:cs="MS PGothic" w:eastAsia="MS PGothic" w:hAnsi="MS PGothic"/>
          <w:sz w:val="17"/>
          <w:szCs w:val="17"/>
          <w:color w:val="auto"/>
        </w:rPr>
        <w:t>‑</w:t>
      </w:r>
      <w:r>
        <w:rPr>
          <w:rFonts w:ascii="Arial" w:cs="Arial" w:eastAsia="Arial" w:hAnsi="Arial"/>
          <w:sz w:val="17"/>
          <w:szCs w:val="17"/>
          <w:color w:val="auto"/>
        </w:rPr>
        <w:t>sponsored scientific and educational activities. Modifications or enhancements to the drug or its labeling or changes of the site of manufacture are often subject to the approval of the FDA and other regulators, which may or may not be received or may result in a lengthy review process. Any distribution of prescription drugs and pharmaceutical samples must comply with the U.S. Prescription Drug Marketing Act, or the PDMA, a part of the FDCA.</w:t>
      </w:r>
    </w:p>
    <w:p>
      <w:pPr>
        <w:spacing w:after="0" w:line="169" w:lineRule="exact"/>
        <w:rPr>
          <w:sz w:val="20"/>
          <w:szCs w:val="20"/>
          <w:color w:val="auto"/>
        </w:rPr>
      </w:pPr>
    </w:p>
    <w:p>
      <w:pPr>
        <w:ind w:firstLine="648"/>
        <w:spacing w:after="0" w:line="219" w:lineRule="auto"/>
        <w:rPr>
          <w:sz w:val="20"/>
          <w:szCs w:val="20"/>
          <w:color w:val="auto"/>
        </w:rPr>
      </w:pPr>
      <w:r>
        <w:rPr>
          <w:rFonts w:ascii="Arial" w:cs="Arial" w:eastAsia="Arial" w:hAnsi="Arial"/>
          <w:sz w:val="17"/>
          <w:szCs w:val="17"/>
          <w:color w:val="auto"/>
        </w:rPr>
        <w:t>In the United States, once a drug is approved, its manufacture is subject to comprehensive and continuing regulation by the FDA. The FDA regulations require that drugs be manufactured in specific approved facilities and in accordance with cGMP. We rely, and expect to continue to rely, on third parties for the production of clinical and commercial quantities of our drugs in accordance with cGMP regulations. cGMP regulations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These regulations also impose certain organizational, procedural and documentation requirements with respect to manufacturing and quality assurance activities.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drugs manufactured, processed or tested by them. Discovery of problems with a drug after approval may result in restrictions on a drug, manufacturer, or holder of an approved NDA, including, among other things, recall or withdrawal of the drug from the market, and may require substantial resources to correct.</w:t>
      </w:r>
    </w:p>
    <w:p>
      <w:pPr>
        <w:spacing w:after="0" w:line="166" w:lineRule="exact"/>
        <w:rPr>
          <w:sz w:val="20"/>
          <w:szCs w:val="20"/>
          <w:color w:val="auto"/>
        </w:rPr>
      </w:pPr>
    </w:p>
    <w:p>
      <w:pPr>
        <w:ind w:right="100" w:firstLine="648"/>
        <w:spacing w:after="0" w:line="182" w:lineRule="exact"/>
        <w:rPr>
          <w:sz w:val="20"/>
          <w:szCs w:val="20"/>
          <w:color w:val="auto"/>
        </w:rPr>
      </w:pPr>
      <w:r>
        <w:rPr>
          <w:rFonts w:ascii="Arial" w:cs="Arial" w:eastAsia="Arial" w:hAnsi="Arial"/>
          <w:sz w:val="17"/>
          <w:szCs w:val="17"/>
          <w:color w:val="auto"/>
        </w:rPr>
        <w:t>The FDA also may require post</w:t>
      </w:r>
      <w:r>
        <w:rPr>
          <w:rFonts w:ascii="MS PGothic" w:cs="MS PGothic" w:eastAsia="MS PGothic" w:hAnsi="MS PGothic"/>
          <w:sz w:val="17"/>
          <w:szCs w:val="17"/>
          <w:color w:val="auto"/>
        </w:rPr>
        <w:t>‑</w:t>
      </w:r>
      <w:r>
        <w:rPr>
          <w:rFonts w:ascii="Arial" w:cs="Arial" w:eastAsia="Arial" w:hAnsi="Arial"/>
          <w:sz w:val="17"/>
          <w:szCs w:val="17"/>
          <w:color w:val="auto"/>
        </w:rPr>
        <w:t>approval testing, sometimes referred to as Phase 4 testing, risk minimization action plans and post</w:t>
      </w:r>
      <w:r>
        <w:rPr>
          <w:rFonts w:ascii="MS PGothic" w:cs="MS PGothic" w:eastAsia="MS PGothic" w:hAnsi="MS PGothic"/>
          <w:sz w:val="17"/>
          <w:szCs w:val="17"/>
          <w:color w:val="auto"/>
        </w:rPr>
        <w:t>‑</w:t>
      </w:r>
      <w:r>
        <w:rPr>
          <w:rFonts w:ascii="Arial" w:cs="Arial" w:eastAsia="Arial" w:hAnsi="Arial"/>
          <w:sz w:val="17"/>
          <w:szCs w:val="17"/>
          <w:color w:val="auto"/>
        </w:rPr>
        <w:t>marketing surveillance to monitor the effects of an approved drug or place conditions on an approval that could restrict the distribution or use of the drug. Discovery of previously unknown problems with a drug or the failure to comply with applicable FDA requirements can have negative consequences, including adverse publicity, judicial or administrative enforcement, untitled or warning letters from the FDA, mandated corrective advertising or communications with doctors, and civil or criminal penalties, among others. Newly discovered or developed safety or effectiveness data may require changes to a drug’s approved labeling, including the addition of new warnings and contraindications, and also may require the implementation of other risk management measures. The distribution of</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300"/>
        <w:spacing w:after="0" w:line="203" w:lineRule="exact"/>
        <w:rPr>
          <w:sz w:val="20"/>
          <w:szCs w:val="20"/>
          <w:color w:val="auto"/>
        </w:rPr>
      </w:pPr>
      <w:r>
        <w:rPr>
          <w:rFonts w:ascii="Arial" w:cs="Arial" w:eastAsia="Arial" w:hAnsi="Arial"/>
          <w:sz w:val="17"/>
          <w:szCs w:val="17"/>
          <w:color w:val="auto"/>
        </w:rPr>
        <w:t>pharmaceutical drugs is subject to additional requirements and regulations, including extensive record</w:t>
      </w:r>
      <w:r>
        <w:rPr>
          <w:rFonts w:ascii="MS PGothic" w:cs="MS PGothic" w:eastAsia="MS PGothic" w:hAnsi="MS PGothic"/>
          <w:sz w:val="17"/>
          <w:szCs w:val="17"/>
          <w:color w:val="auto"/>
        </w:rPr>
        <w:t>‑</w:t>
      </w:r>
      <w:r>
        <w:rPr>
          <w:rFonts w:ascii="Arial" w:cs="Arial" w:eastAsia="Arial" w:hAnsi="Arial"/>
          <w:sz w:val="17"/>
          <w:szCs w:val="17"/>
          <w:color w:val="auto"/>
        </w:rPr>
        <w:t>keeping, licensing, storage and security requirements intended to prevent the unauthorized sale of pharmaceutical drugs.</w:t>
      </w:r>
    </w:p>
    <w:p>
      <w:pPr>
        <w:spacing w:after="0" w:line="162" w:lineRule="exact"/>
        <w:rPr>
          <w:sz w:val="20"/>
          <w:szCs w:val="20"/>
          <w:color w:val="auto"/>
        </w:rPr>
      </w:pPr>
    </w:p>
    <w:p>
      <w:pPr>
        <w:ind w:right="420" w:firstLine="648"/>
        <w:spacing w:after="0" w:line="289" w:lineRule="auto"/>
        <w:rPr>
          <w:sz w:val="20"/>
          <w:szCs w:val="20"/>
          <w:color w:val="auto"/>
        </w:rPr>
      </w:pPr>
      <w:r>
        <w:rPr>
          <w:rFonts w:ascii="Arial" w:cs="Arial" w:eastAsia="Arial" w:hAnsi="Arial"/>
          <w:sz w:val="16"/>
          <w:szCs w:val="16"/>
          <w:color w:val="auto"/>
        </w:rPr>
        <w:t>Also, new government requirements, including those resulting from new legislation, may be established, or the FDA’s policies may change, which could delay or prevent regulatory approval of our drugs under development.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Regulatory Matters</w:t>
      </w:r>
    </w:p>
    <w:p>
      <w:pPr>
        <w:spacing w:after="0" w:line="185"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Manufacturing, sales, promotion and other activities following drug approval are also subject to regulation by numerous regulatory authorities in addition to the FDA, including, in the United States, the Centers for Medicare &amp; Medicaid Services, other divisions of the Department of Health and Human Services, the Drug Enforcement Administration for controlled substances, the Consumer Product Safety Commission, the Federal Trade Commission, the Occupational Safety &amp; Health Administration, the Environmental Protection Agency and state and local governments. In the United States, sales, marketing and scientific/educational programs must also comply with state and federal fraud and abuse laws. Pricing and rebate programs must comply with the Medicaid rebate requirements of the U.S. Omnibus Budget Reconciliation Act of 1990 and more recent requirements in the Patient Protection and Affordable Care Act as amended by the Health Care and Education Reconciliation Act of 2010, or collectively, the Affordable Care Act. If drugs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Drugs must meet applicable child</w:t>
      </w:r>
      <w:r>
        <w:rPr>
          <w:rFonts w:ascii="MS PGothic" w:cs="MS PGothic" w:eastAsia="MS PGothic" w:hAnsi="MS PGothic"/>
          <w:sz w:val="16"/>
          <w:szCs w:val="16"/>
          <w:color w:val="auto"/>
        </w:rPr>
        <w:t>‑</w:t>
      </w:r>
      <w:r>
        <w:rPr>
          <w:rFonts w:ascii="Arial" w:cs="Arial" w:eastAsia="Arial" w:hAnsi="Arial"/>
          <w:sz w:val="16"/>
          <w:szCs w:val="16"/>
          <w:color w:val="auto"/>
        </w:rPr>
        <w:t>resistant packaging requirements under the U.S. Poison Prevention Packaging Act. Manufacturing, sales, promotion and other activities are also potentially subject to federal and state consumer protection and unfair competition laws.</w:t>
      </w:r>
    </w:p>
    <w:p>
      <w:pPr>
        <w:spacing w:after="0" w:line="163"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color w:val="auto"/>
        </w:rPr>
        <w:t>The failure to comply with regulatory requirements subjects firms to possible legal or regulatory action. Depending on the circumstances, failure to meet applicable regulatory requirements can result in criminal prosecution, fines or other penalties, injunctions, voluntary recalls, seizure of drugs, total or partial suspension of production, denial or withdrawal of product approvals, or refusal to allow a firm to enter into supply contracts, including government contracts. In addition, even if a firm complies with FDA and other requirements, new information regarding the safety or efficacy of a product could lead the FDA to modify or withdraw product approval. Prohibitions or restrictions on sales or withdrawal of future products marketed by us could materially affect our business in an adverse way.</w:t>
      </w:r>
    </w:p>
    <w:p>
      <w:pPr>
        <w:spacing w:after="0" w:line="162" w:lineRule="exact"/>
        <w:rPr>
          <w:sz w:val="20"/>
          <w:szCs w:val="20"/>
          <w:color w:val="auto"/>
        </w:rPr>
      </w:pPr>
    </w:p>
    <w:p>
      <w:pPr>
        <w:ind w:right="40" w:firstLine="648"/>
        <w:spacing w:after="0" w:line="239" w:lineRule="auto"/>
        <w:rPr>
          <w:sz w:val="20"/>
          <w:szCs w:val="20"/>
          <w:color w:val="auto"/>
        </w:rPr>
      </w:pPr>
      <w:r>
        <w:rPr>
          <w:rFonts w:ascii="Arial" w:cs="Arial" w:eastAsia="Arial" w:hAnsi="Arial"/>
          <w:sz w:val="16"/>
          <w:szCs w:val="16"/>
          <w:color w:val="auto"/>
        </w:rPr>
        <w:t>Changes in regulations, statutes or the interpretation of existing regulations could impact our business in the future by requiring, for example: (i) changes to our manufacturing arrangements; (ii) additions or modifications to product labeling;</w:t>
      </w:r>
    </w:p>
    <w:p>
      <w:pPr>
        <w:spacing w:after="0" w:line="1" w:lineRule="exact"/>
        <w:rPr>
          <w:sz w:val="20"/>
          <w:szCs w:val="20"/>
          <w:color w:val="auto"/>
        </w:rPr>
      </w:pPr>
    </w:p>
    <w:p>
      <w:pPr>
        <w:ind w:right="520" w:firstLine="3"/>
        <w:spacing w:after="0" w:line="195" w:lineRule="exact"/>
        <w:tabs>
          <w:tab w:leader="none" w:pos="3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voluntary recall or discontinuation of our products; or (iv) additional record</w:t>
      </w:r>
      <w:r>
        <w:rPr>
          <w:rFonts w:ascii="MS PGothic" w:cs="MS PGothic" w:eastAsia="MS PGothic" w:hAnsi="MS PGothic"/>
          <w:sz w:val="18"/>
          <w:szCs w:val="18"/>
          <w:color w:val="auto"/>
        </w:rPr>
        <w:t>‑</w:t>
      </w:r>
      <w:r>
        <w:rPr>
          <w:rFonts w:ascii="Arial" w:cs="Arial" w:eastAsia="Arial" w:hAnsi="Arial"/>
          <w:sz w:val="18"/>
          <w:szCs w:val="18"/>
          <w:color w:val="auto"/>
        </w:rPr>
        <w:t>keeping requirements. If any such changes were to be imposed, they could adversely affect the operation of our business.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U.S. Patent Term Restoration and Marketing Exclusivity</w:t>
      </w:r>
    </w:p>
    <w:p>
      <w:pPr>
        <w:spacing w:after="0" w:line="185"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Depending upon the timing, duration and specifics of the FDA approval of our drug candidates, some of our U.S. patents may be eligible for limited patent term extension under the Drug Price Competition and Patent Term Restoration Act of 1984, commonly referred to as the Hatch</w:t>
      </w:r>
      <w:r>
        <w:rPr>
          <w:rFonts w:ascii="MS PGothic" w:cs="MS PGothic" w:eastAsia="MS PGothic" w:hAnsi="MS PGothic"/>
          <w:sz w:val="16"/>
          <w:szCs w:val="16"/>
          <w:color w:val="auto"/>
        </w:rPr>
        <w:t>‑</w:t>
      </w:r>
      <w:r>
        <w:rPr>
          <w:rFonts w:ascii="Arial" w:cs="Arial" w:eastAsia="Arial" w:hAnsi="Arial"/>
          <w:sz w:val="16"/>
          <w:szCs w:val="16"/>
          <w:color w:val="auto"/>
        </w:rPr>
        <w:t>Waxman Amendments. The Hatch</w:t>
      </w:r>
      <w:r>
        <w:rPr>
          <w:rFonts w:ascii="MS PGothic" w:cs="MS PGothic" w:eastAsia="MS PGothic" w:hAnsi="MS PGothic"/>
          <w:sz w:val="16"/>
          <w:szCs w:val="16"/>
          <w:color w:val="auto"/>
        </w:rPr>
        <w:t>‑</w:t>
      </w:r>
      <w:r>
        <w:rPr>
          <w:rFonts w:ascii="Arial" w:cs="Arial" w:eastAsia="Arial" w:hAnsi="Arial"/>
          <w:sz w:val="16"/>
          <w:szCs w:val="16"/>
          <w:color w:val="auto"/>
        </w:rPr>
        <w:t>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w:t>
      </w:r>
      <w:r>
        <w:rPr>
          <w:rFonts w:ascii="MS PGothic" w:cs="MS PGothic" w:eastAsia="MS PGothic" w:hAnsi="MS PGothic"/>
          <w:sz w:val="16"/>
          <w:szCs w:val="16"/>
          <w:color w:val="auto"/>
        </w:rPr>
        <w:t>‑</w:t>
      </w:r>
      <w:r>
        <w:rPr>
          <w:rFonts w:ascii="Arial" w:cs="Arial" w:eastAsia="Arial" w:hAnsi="Arial"/>
          <w:sz w:val="16"/>
          <w:szCs w:val="16"/>
          <w:color w:val="auto"/>
        </w:rPr>
        <w:t>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intend to apply for restoration of patent term for one of our currently owned or licensed patents to add patent life beyond its current expiration date, depending on the expected length of the clinical trials and other factors involved in the filing of the relevant NDA.</w:t>
      </w:r>
    </w:p>
    <w:p>
      <w:pPr>
        <w:spacing w:after="0" w:line="170" w:lineRule="exact"/>
        <w:rPr>
          <w:sz w:val="20"/>
          <w:szCs w:val="20"/>
          <w:color w:val="auto"/>
        </w:rPr>
      </w:pPr>
    </w:p>
    <w:p>
      <w:pPr>
        <w:ind w:right="60" w:firstLine="648"/>
        <w:spacing w:after="0" w:line="187" w:lineRule="exact"/>
        <w:rPr>
          <w:sz w:val="20"/>
          <w:szCs w:val="20"/>
          <w:color w:val="auto"/>
        </w:rPr>
      </w:pPr>
      <w:r>
        <w:rPr>
          <w:rFonts w:ascii="Arial" w:cs="Arial" w:eastAsia="Arial" w:hAnsi="Arial"/>
          <w:sz w:val="17"/>
          <w:szCs w:val="17"/>
          <w:color w:val="auto"/>
        </w:rPr>
        <w:t>Marketing exclusivity provisions under the FDCA can also delay the submission or the approval of certain marketing applications. The FDCA provides a five</w:t>
      </w:r>
      <w:r>
        <w:rPr>
          <w:rFonts w:ascii="MS PGothic" w:cs="MS PGothic" w:eastAsia="MS PGothic" w:hAnsi="MS PGothic"/>
          <w:sz w:val="17"/>
          <w:szCs w:val="17"/>
          <w:color w:val="auto"/>
        </w:rPr>
        <w:t>‑</w:t>
      </w:r>
      <w:r>
        <w:rPr>
          <w:rFonts w:ascii="Arial" w:cs="Arial" w:eastAsia="Arial" w:hAnsi="Arial"/>
          <w:sz w:val="17"/>
          <w:szCs w:val="17"/>
          <w:color w:val="auto"/>
        </w:rPr>
        <w:t>year period of non</w:t>
      </w:r>
      <w:r>
        <w:rPr>
          <w:rFonts w:ascii="MS PGothic" w:cs="MS PGothic" w:eastAsia="MS PGothic" w:hAnsi="MS PGothic"/>
          <w:sz w:val="17"/>
          <w:szCs w:val="17"/>
          <w:color w:val="auto"/>
        </w:rPr>
        <w:t>‑</w:t>
      </w:r>
      <w:r>
        <w:rPr>
          <w:rFonts w:ascii="Arial" w:cs="Arial" w:eastAsia="Arial" w:hAnsi="Arial"/>
          <w:sz w:val="17"/>
          <w:szCs w:val="17"/>
          <w:color w:val="auto"/>
        </w:rPr>
        <w:t>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179" w:lineRule="exact"/>
        <w:rPr>
          <w:sz w:val="20"/>
          <w:szCs w:val="20"/>
          <w:color w:val="auto"/>
        </w:rPr>
      </w:pPr>
      <w:r>
        <w:rPr>
          <w:rFonts w:ascii="Arial" w:cs="Arial" w:eastAsia="Arial" w:hAnsi="Arial"/>
          <w:sz w:val="17"/>
          <w:szCs w:val="17"/>
          <w:color w:val="auto"/>
        </w:rPr>
        <w:t>an abbreviated new drug application, or ANDA, or a 505(b)(2) NDA submitted by another company for another drug based on the same active moiety, regardless of whether the drug is intended for the same indication as the original innovator drug or for another indication, where the applicant does not own or have a legal right of reference to all the data required for approval. However, an application may be submitted after four years if it contains a certification of patent invalidity or non</w:t>
      </w:r>
      <w:r>
        <w:rPr>
          <w:rFonts w:ascii="MS PGothic" w:cs="MS PGothic" w:eastAsia="MS PGothic" w:hAnsi="MS PGothic"/>
          <w:sz w:val="17"/>
          <w:szCs w:val="17"/>
          <w:color w:val="auto"/>
        </w:rPr>
        <w:t>‑</w:t>
      </w:r>
      <w:r>
        <w:rPr>
          <w:rFonts w:ascii="Arial" w:cs="Arial" w:eastAsia="Arial" w:hAnsi="Arial"/>
          <w:sz w:val="17"/>
          <w:szCs w:val="17"/>
          <w:color w:val="auto"/>
        </w:rPr>
        <w:t>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w:t>
      </w:r>
      <w:r>
        <w:rPr>
          <w:rFonts w:ascii="MS PGothic" w:cs="MS PGothic" w:eastAsia="MS PGothic" w:hAnsi="MS PGothic"/>
          <w:sz w:val="17"/>
          <w:szCs w:val="17"/>
          <w:color w:val="auto"/>
        </w:rPr>
        <w:t>‑</w:t>
      </w:r>
      <w:r>
        <w:rPr>
          <w:rFonts w:ascii="Arial" w:cs="Arial" w:eastAsia="Arial" w:hAnsi="Arial"/>
          <w:sz w:val="17"/>
          <w:szCs w:val="17"/>
          <w:color w:val="auto"/>
        </w:rPr>
        <w:t>year exclusivity covers only the modification for which the drug received approval on the basis of the new clinical investigations and does not prohibit the FDA from approving ANDAs for drugs containing the active agent for the original indication or condition of use. Five</w:t>
      </w:r>
      <w:r>
        <w:rPr>
          <w:rFonts w:ascii="MS PGothic" w:cs="MS PGothic" w:eastAsia="MS PGothic" w:hAnsi="MS PGothic"/>
          <w:sz w:val="17"/>
          <w:szCs w:val="17"/>
          <w:color w:val="auto"/>
        </w:rPr>
        <w:t>‑</w:t>
      </w:r>
      <w:r>
        <w:rPr>
          <w:rFonts w:ascii="Arial" w:cs="Arial" w:eastAsia="Arial" w:hAnsi="Arial"/>
          <w:sz w:val="17"/>
          <w:szCs w:val="17"/>
          <w:color w:val="auto"/>
        </w:rPr>
        <w:t>year and three</w:t>
      </w:r>
      <w:r>
        <w:rPr>
          <w:rFonts w:ascii="MS PGothic" w:cs="MS PGothic" w:eastAsia="MS PGothic" w:hAnsi="MS PGothic"/>
          <w:sz w:val="17"/>
          <w:szCs w:val="17"/>
          <w:color w:val="auto"/>
        </w:rPr>
        <w:t>‑</w:t>
      </w:r>
      <w:r>
        <w:rPr>
          <w:rFonts w:ascii="Arial" w:cs="Arial" w:eastAsia="Arial" w:hAnsi="Arial"/>
          <w:sz w:val="17"/>
          <w:szCs w:val="17"/>
          <w:color w:val="auto"/>
        </w:rPr>
        <w:t>year exclusivity will not delay the submission or approval of a full NDA. However, an applicant submitting a full NDA would be required to conduct or obtain a right of reference to all of the pre-clinical studies and adequate and well</w:t>
      </w:r>
      <w:r>
        <w:rPr>
          <w:rFonts w:ascii="MS PGothic" w:cs="MS PGothic" w:eastAsia="MS PGothic" w:hAnsi="MS PGothic"/>
          <w:sz w:val="17"/>
          <w:szCs w:val="17"/>
          <w:color w:val="auto"/>
        </w:rPr>
        <w:t>‑</w:t>
      </w:r>
      <w:r>
        <w:rPr>
          <w:rFonts w:ascii="Arial" w:cs="Arial" w:eastAsia="Arial" w:hAnsi="Arial"/>
          <w:sz w:val="17"/>
          <w:szCs w:val="17"/>
          <w:color w:val="auto"/>
        </w:rPr>
        <w:t>controlled clinical trials necessary to demonstrate safety and effectiveness. Orphan drug exclusivity, as described below, may offer a seven</w:t>
      </w:r>
      <w:r>
        <w:rPr>
          <w:rFonts w:ascii="MS PGothic" w:cs="MS PGothic" w:eastAsia="MS PGothic" w:hAnsi="MS PGothic"/>
          <w:sz w:val="17"/>
          <w:szCs w:val="17"/>
          <w:color w:val="auto"/>
        </w:rPr>
        <w:t>‑</w:t>
      </w:r>
      <w:r>
        <w:rPr>
          <w:rFonts w:ascii="Arial" w:cs="Arial" w:eastAsia="Arial" w:hAnsi="Arial"/>
          <w:sz w:val="17"/>
          <w:szCs w:val="17"/>
          <w:color w:val="auto"/>
        </w:rPr>
        <w:t>year period of marketing exclusivity, except in certain circumstances. Pediatric exclusivity is another type of regulatory market exclusivity in the United States. Pediatric exclusivity, if granted, adds six months to existing exclusivity periods and patent terms. This six</w:t>
      </w:r>
      <w:r>
        <w:rPr>
          <w:rFonts w:ascii="MS PGothic" w:cs="MS PGothic" w:eastAsia="MS PGothic" w:hAnsi="MS PGothic"/>
          <w:sz w:val="17"/>
          <w:szCs w:val="17"/>
          <w:color w:val="auto"/>
        </w:rPr>
        <w:t>‑</w:t>
      </w:r>
      <w:r>
        <w:rPr>
          <w:rFonts w:ascii="Arial" w:cs="Arial" w:eastAsia="Arial" w:hAnsi="Arial"/>
          <w:sz w:val="17"/>
          <w:szCs w:val="17"/>
          <w:color w:val="auto"/>
        </w:rPr>
        <w:t>month exclusivity, which runs from the end of other exclusivity protection or patent term, may be granted based on the voluntary completion of a pediatric trial in accordance with an FDA</w:t>
      </w:r>
      <w:r>
        <w:rPr>
          <w:rFonts w:ascii="MS PGothic" w:cs="MS PGothic" w:eastAsia="MS PGothic" w:hAnsi="MS PGothic"/>
          <w:sz w:val="17"/>
          <w:szCs w:val="17"/>
          <w:color w:val="auto"/>
        </w:rPr>
        <w:t>‑</w:t>
      </w:r>
      <w:r>
        <w:rPr>
          <w:rFonts w:ascii="Arial" w:cs="Arial" w:eastAsia="Arial" w:hAnsi="Arial"/>
          <w:sz w:val="17"/>
          <w:szCs w:val="17"/>
          <w:color w:val="auto"/>
        </w:rPr>
        <w:t>issued “Written Request” for such a trial.</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Orphan Drug Designation</w:t>
      </w:r>
    </w:p>
    <w:p>
      <w:pPr>
        <w:spacing w:after="0" w:line="185"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The FDA may grant orphan drug designation to drugs intended to treat a rare disease or condition that affects fewer than 200,000 individuals in the United States, or if it affects more than 200,000 individuals in the United States, there is no reasonable expectation that the cost of developing and marketing the drug for this type of disease or condition will be recovered from sales in the United States. In the European Union, the European Commission, after receiving the opinion of the EMA’s Committee for Orphan Medicinal Products, or COMP, grants orphan drug designation to promote the development of products that are intended for the diagnosis, prevention or treatment of a life</w:t>
      </w:r>
      <w:r>
        <w:rPr>
          <w:rFonts w:ascii="MS PGothic" w:cs="MS PGothic" w:eastAsia="MS PGothic" w:hAnsi="MS PGothic"/>
          <w:sz w:val="17"/>
          <w:szCs w:val="17"/>
          <w:color w:val="auto"/>
        </w:rPr>
        <w:t>‑</w:t>
      </w:r>
      <w:r>
        <w:rPr>
          <w:rFonts w:ascii="Arial" w:cs="Arial" w:eastAsia="Arial" w:hAnsi="Arial"/>
          <w:sz w:val="17"/>
          <w:szCs w:val="17"/>
          <w:color w:val="auto"/>
        </w:rPr>
        <w:t>threatening or chronically debilitating conditions affecting not more than five in 10,000 persons in the European Union Community. In addition, designation is granted for products intended for the diagnosis, prevention or treatment of a life</w:t>
      </w:r>
      <w:r>
        <w:rPr>
          <w:rFonts w:ascii="MS PGothic" w:cs="MS PGothic" w:eastAsia="MS PGothic" w:hAnsi="MS PGothic"/>
          <w:sz w:val="17"/>
          <w:szCs w:val="17"/>
          <w:color w:val="auto"/>
        </w:rPr>
        <w:t>‑</w:t>
      </w:r>
      <w:r>
        <w:rPr>
          <w:rFonts w:ascii="Arial" w:cs="Arial" w:eastAsia="Arial" w:hAnsi="Arial"/>
          <w:sz w:val="17"/>
          <w:szCs w:val="17"/>
          <w:color w:val="auto"/>
        </w:rPr>
        <w:t>threatening, seriously debilitating or serious and chronic condition and when, without incentives, it is unlikely that sales of the drug in the European Union would be sufficient to justify the necessary investment in developing the drug or biological product.</w:t>
      </w:r>
    </w:p>
    <w:p>
      <w:pPr>
        <w:spacing w:after="0" w:line="164" w:lineRule="exact"/>
        <w:rPr>
          <w:sz w:val="20"/>
          <w:szCs w:val="20"/>
          <w:color w:val="auto"/>
        </w:rPr>
      </w:pPr>
    </w:p>
    <w:p>
      <w:pPr>
        <w:ind w:right="80" w:firstLine="648"/>
        <w:spacing w:after="0" w:line="187" w:lineRule="exact"/>
        <w:rPr>
          <w:sz w:val="20"/>
          <w:szCs w:val="20"/>
          <w:color w:val="auto"/>
        </w:rPr>
      </w:pPr>
      <w:r>
        <w:rPr>
          <w:rFonts w:ascii="Arial" w:cs="Arial" w:eastAsia="Arial" w:hAnsi="Arial"/>
          <w:sz w:val="16"/>
          <w:szCs w:val="16"/>
          <w:color w:val="auto"/>
        </w:rPr>
        <w:t>In the United States, orphan drug designation entitles a party to financial incentives such as opportunities for grant funding towards clinical trial costs, tax advantages and user</w:t>
      </w:r>
      <w:r>
        <w:rPr>
          <w:rFonts w:ascii="MS PGothic" w:cs="MS PGothic" w:eastAsia="MS PGothic" w:hAnsi="MS PGothic"/>
          <w:sz w:val="16"/>
          <w:szCs w:val="16"/>
          <w:color w:val="auto"/>
        </w:rPr>
        <w:t>‑</w:t>
      </w:r>
      <w:r>
        <w:rPr>
          <w:rFonts w:ascii="Arial" w:cs="Arial" w:eastAsia="Arial" w:hAnsi="Arial"/>
          <w:sz w:val="16"/>
          <w:szCs w:val="16"/>
          <w:color w:val="auto"/>
        </w:rPr>
        <w:t>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w:t>
      </w:r>
    </w:p>
    <w:p>
      <w:pPr>
        <w:spacing w:after="0" w:line="162"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17"/>
          <w:szCs w:val="17"/>
          <w:color w:val="auto"/>
        </w:rPr>
        <w:t>In the European Union, orphan drug designation also entitles a party to financial incentives such as reduction of fees or fee waivers and ten years of market exclusivity is granted following drug or biological product approval. This period may be reduced to six years if the orphan drug designation criteria are no longer met, including where it is shown that the product is sufficiently profitable not to justify maintenance of market exclusivity.</w:t>
      </w:r>
    </w:p>
    <w:p>
      <w:pPr>
        <w:spacing w:after="0" w:line="163" w:lineRule="exact"/>
        <w:rPr>
          <w:sz w:val="20"/>
          <w:szCs w:val="20"/>
          <w:color w:val="auto"/>
        </w:rPr>
      </w:pPr>
    </w:p>
    <w:p>
      <w:pPr>
        <w:ind w:right="180" w:firstLine="648"/>
        <w:spacing w:after="0" w:line="289" w:lineRule="auto"/>
        <w:rPr>
          <w:sz w:val="20"/>
          <w:szCs w:val="20"/>
          <w:color w:val="auto"/>
        </w:rPr>
      </w:pPr>
      <w:r>
        <w:rPr>
          <w:rFonts w:ascii="Arial" w:cs="Arial" w:eastAsia="Arial" w:hAnsi="Arial"/>
          <w:sz w:val="16"/>
          <w:szCs w:val="16"/>
          <w:color w:val="auto"/>
        </w:rPr>
        <w:t>Orphan drug designation must be requested before submitting an application for marketing approval. Orphan drug designation does not convey any advantage in, or shorten the duration of, the regulatory review and approval process.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Regulation of Diagnostic Tests</w:t>
      </w:r>
    </w:p>
    <w:p>
      <w:pPr>
        <w:spacing w:after="0" w:line="185" w:lineRule="exact"/>
        <w:rPr>
          <w:sz w:val="20"/>
          <w:szCs w:val="20"/>
          <w:color w:val="auto"/>
        </w:rPr>
      </w:pPr>
    </w:p>
    <w:p>
      <w:pPr>
        <w:ind w:right="160" w:firstLine="648"/>
        <w:spacing w:after="0" w:line="184" w:lineRule="exact"/>
        <w:rPr>
          <w:sz w:val="20"/>
          <w:szCs w:val="20"/>
          <w:color w:val="auto"/>
        </w:rPr>
      </w:pPr>
      <w:r>
        <w:rPr>
          <w:rFonts w:ascii="Arial" w:cs="Arial" w:eastAsia="Arial" w:hAnsi="Arial"/>
          <w:sz w:val="16"/>
          <w:szCs w:val="16"/>
          <w:color w:val="auto"/>
        </w:rPr>
        <w:t xml:space="preserve">We expect that our drug candidates may require use of a diagnostic to identify appropriate patient populations for our products. These diagnostics, often referred to as companion diagnostic tests, are medical devices, often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devices, which provide information that is essential for the safe and effective use of a corresponding drug. For example, we have entered into agreements with third parties to develop and commercialize companion diagnostic tests for avapritinib in order to identify GIST patients with the PDGFRα D842V mutation, BLU</w:t>
      </w:r>
      <w:r>
        <w:rPr>
          <w:rFonts w:ascii="MS PGothic" w:cs="MS PGothic" w:eastAsia="MS PGothic" w:hAnsi="MS PGothic"/>
          <w:sz w:val="16"/>
          <w:szCs w:val="16"/>
          <w:color w:val="auto"/>
        </w:rPr>
        <w:t>‑</w:t>
      </w:r>
      <w:r>
        <w:rPr>
          <w:rFonts w:ascii="Arial" w:cs="Arial" w:eastAsia="Arial" w:hAnsi="Arial"/>
          <w:sz w:val="16"/>
          <w:szCs w:val="16"/>
          <w:color w:val="auto"/>
        </w:rPr>
        <w:t>554 in order to identify HCC patients with FGFR4 pathway activation and BLU-667 in order to identify NSCLC patients with RET fusions. In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w:t>
      </w:r>
      <w:r>
        <w:rPr>
          <w:rFonts w:ascii="MS PGothic" w:cs="MS PGothic" w:eastAsia="MS PGothic" w:hAnsi="MS PGothic"/>
          <w:sz w:val="16"/>
          <w:szCs w:val="16"/>
          <w:color w:val="auto"/>
        </w:rPr>
        <w:t>‑</w:t>
      </w:r>
      <w:r>
        <w:rPr>
          <w:rFonts w:ascii="Arial" w:cs="Arial" w:eastAsia="Arial" w:hAnsi="Arial"/>
          <w:sz w:val="16"/>
          <w:szCs w:val="16"/>
          <w:color w:val="auto"/>
        </w:rPr>
        <w: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and premarket approval, or PMA approval. We expect that any companion diagnostic test developed for our drug candidates will utilize the PMA pathway.</w:t>
      </w:r>
    </w:p>
    <w:p>
      <w:pPr>
        <w:spacing w:after="0" w:line="163" w:lineRule="exact"/>
        <w:rPr>
          <w:sz w:val="20"/>
          <w:szCs w:val="20"/>
          <w:color w:val="auto"/>
        </w:rPr>
      </w:pPr>
    </w:p>
    <w:p>
      <w:pPr>
        <w:ind w:right="20" w:firstLine="648"/>
        <w:spacing w:after="0" w:line="179" w:lineRule="exact"/>
        <w:rPr>
          <w:sz w:val="20"/>
          <w:szCs w:val="20"/>
          <w:color w:val="auto"/>
        </w:rPr>
      </w:pPr>
      <w:r>
        <w:rPr>
          <w:rFonts w:ascii="Arial" w:cs="Arial" w:eastAsia="Arial" w:hAnsi="Arial"/>
          <w:sz w:val="16"/>
          <w:szCs w:val="16"/>
          <w:color w:val="auto"/>
        </w:rPr>
        <w:t>PMA applications must be supported by valid scientific evidence, which typically requires extensive data, including technical, pre-clinical, clinical and manufacturing data, to demonstrate to the FDA’s satisfaction the safety and effectiveness of the device. For diagnostic tests, a PMA application typically includes data regarding analytical and clinical validation studies. As part of its review of the PMA, the FDA will conduct a pre</w:t>
      </w:r>
      <w:r>
        <w:rPr>
          <w:rFonts w:ascii="MS PGothic" w:cs="MS PGothic" w:eastAsia="MS PGothic" w:hAnsi="MS PGothic"/>
          <w:sz w:val="16"/>
          <w:szCs w:val="16"/>
          <w:color w:val="auto"/>
        </w:rPr>
        <w:t>‑</w:t>
      </w:r>
      <w:r>
        <w:rPr>
          <w:rFonts w:ascii="Arial" w:cs="Arial" w:eastAsia="Arial" w:hAnsi="Arial"/>
          <w:sz w:val="16"/>
          <w:szCs w:val="16"/>
          <w:color w:val="auto"/>
        </w:rPr>
        <w:t>approval inspection of the manufacturing facility or facilities to ensure compliance with the Quality System Regulation, or QSR, which requires manufacturers to follow design, testing, control, documentation and other quality assurance procedures. FDA review of an initial PMA may require several years to complete. If the FDA evaluations of both the PMA application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Once granted, PMA approval may be withdrawn by the FDA if compliance with post approval requirements, conditions of approval or other regulatory standards is not maintained or problems are identified following initial marketing.</w:t>
      </w:r>
    </w:p>
    <w:p>
      <w:pPr>
        <w:spacing w:after="0" w:line="170"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On August 6, 2014, the FDA issued a final guidance document addressing the development and approval process for “In Vitro Companion Diagnostic Devices.” According to the guidance, for novel drugs such as our drug candidates, a companion diagnostic test device and its corresponding drug should be approved or cleared contemporaneously by FDA for the use indicated in the therapeutic product labeling. The guidance also explains that a companion diagnostic test device used to make treatment decisions in clinical trials of a drug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or IDE, regulations. Thus, the sponsor of the diagnostic device will be required to comply with the IDE regulations. According to the guidance, if a diagnostic device and a drug are to be studied together to support their respective approvals, both products can be studied in the same investigational study, if the study meets both the requirements of the IDE regulations and the IND regulations. The guidance provides that depending on the details of the study plan and subjects, a sponsor may seek to submit an IND alone, or both an IND and an IDE.</w:t>
      </w:r>
    </w:p>
    <w:p>
      <w:pPr>
        <w:spacing w:after="0" w:line="170" w:lineRule="exact"/>
        <w:rPr>
          <w:sz w:val="20"/>
          <w:szCs w:val="20"/>
          <w:color w:val="auto"/>
        </w:rPr>
      </w:pPr>
    </w:p>
    <w:p>
      <w:pPr>
        <w:ind w:right="80" w:firstLine="648"/>
        <w:spacing w:after="0" w:line="184" w:lineRule="exact"/>
        <w:rPr>
          <w:sz w:val="20"/>
          <w:szCs w:val="20"/>
          <w:color w:val="auto"/>
        </w:rPr>
      </w:pPr>
      <w:r>
        <w:rPr>
          <w:rFonts w:ascii="Arial" w:cs="Arial" w:eastAsia="Arial" w:hAnsi="Arial"/>
          <w:sz w:val="16"/>
          <w:szCs w:val="16"/>
          <w:color w:val="auto"/>
        </w:rPr>
        <w:t xml:space="preserve">In the EEA,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medical devices are required to conform with the essential requirements of the E.U. Directive on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medical devices (Directive No 98/79/EC, as amended). To demonstrate compliance with the essential requirements, the manufacturer must undergo a conformity assessment procedure. The conformity assessment varies according to the type of medical device and its classification. For low</w:t>
      </w:r>
      <w:r>
        <w:rPr>
          <w:rFonts w:ascii="MS PGothic" w:cs="MS PGothic" w:eastAsia="MS PGothic" w:hAnsi="MS PGothic"/>
          <w:sz w:val="16"/>
          <w:szCs w:val="16"/>
          <w:color w:val="auto"/>
        </w:rPr>
        <w:t>‑</w:t>
      </w:r>
      <w:r>
        <w:rPr>
          <w:rFonts w:ascii="Arial" w:cs="Arial" w:eastAsia="Arial" w:hAnsi="Arial"/>
          <w:sz w:val="16"/>
          <w:szCs w:val="16"/>
          <w:color w:val="auto"/>
        </w:rPr>
        <w:t>risk devices, the conformity assessment can be carried out internally, but for higher risk devices it requires the intervention of an accredited EEA Notified Body. If successful, the conformity assessment concludes with the drawing up by the manufacturer of an EC Declaration of Conformity entitling the manufacturer to affix the CE mark to its products and to sell them throughout the EEA.</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Drug Development</w:t>
      </w:r>
    </w:p>
    <w:p>
      <w:pPr>
        <w:spacing w:after="0" w:line="185" w:lineRule="exact"/>
        <w:rPr>
          <w:sz w:val="20"/>
          <w:szCs w:val="20"/>
          <w:color w:val="auto"/>
        </w:rPr>
      </w:pPr>
    </w:p>
    <w:p>
      <w:pPr>
        <w:ind w:right="100" w:firstLine="648"/>
        <w:spacing w:after="0" w:line="224" w:lineRule="auto"/>
        <w:rPr>
          <w:sz w:val="20"/>
          <w:szCs w:val="20"/>
          <w:color w:val="auto"/>
        </w:rPr>
      </w:pPr>
      <w:r>
        <w:rPr>
          <w:rFonts w:ascii="Arial" w:cs="Arial" w:eastAsia="Arial" w:hAnsi="Arial"/>
          <w:sz w:val="18"/>
          <w:szCs w:val="18"/>
          <w:color w:val="auto"/>
        </w:rPr>
        <w:t>In the European Union, our future drugs may also be subject to extensive regulatory requirements. As in the United States, medicinal products can only be marketed if a marketing authorization from the competent regulatory agencies has been obtained.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Similar to the United States, the various phases of pre-clinical and clinical research in the European Union are subject to significant regulatory controls. Although the current EU Clinical Trials Directive 2001/20/EC, or Clinical Trials Directive, has sought to harmonize the European Union clinical trials regulatory framework, setting out common rules for the control and authorization of clinical trials in the European Union, the European Union Member States have transposed and applied the provisions of the Directive differently. This has led to significant variations in the member state regimes. Under the current regime, before a clinical trial can be initiated it must be approved in each of the European Union countries where the trial is to be conducted by two distinct bodies: the National Competent Authority, or NCA, and one or more Ethics Committees, or ECs. Under the current regime all suspected unexpected serious adverse reactions to the investigated drug that occur during the clinical trial have to be reported to the NCA and ECs of the Member State where they occurred.</w:t>
      </w:r>
    </w:p>
    <w:p>
      <w:pPr>
        <w:spacing w:after="0" w:line="168" w:lineRule="exact"/>
        <w:rPr>
          <w:sz w:val="20"/>
          <w:szCs w:val="20"/>
          <w:color w:val="auto"/>
        </w:rPr>
      </w:pPr>
    </w:p>
    <w:p>
      <w:pPr>
        <w:ind w:right="60" w:firstLine="648"/>
        <w:spacing w:after="0" w:line="212" w:lineRule="auto"/>
        <w:rPr>
          <w:sz w:val="20"/>
          <w:szCs w:val="20"/>
          <w:color w:val="auto"/>
        </w:rPr>
      </w:pPr>
      <w:r>
        <w:rPr>
          <w:rFonts w:ascii="Arial" w:cs="Arial" w:eastAsia="Arial" w:hAnsi="Arial"/>
          <w:sz w:val="18"/>
          <w:szCs w:val="18"/>
          <w:color w:val="auto"/>
        </w:rPr>
        <w:t>In April 2014, the European Union adopted a new Clinical Trials Regulation (EU) No 536/2014, or the Clinical Trials Regulation, which is set to replace the Clinical Trials Directive. It is expected that the new Clinical Trials Regulation will apply by October 2019. The Clinical Trials Regulation will overhaul the current system of approvals for clinical trials in the European Union. Specifically, the new legislation, which will be directly applicable in all member states, aims at simplifying and streamlining the approval of clinical trials in the European Union. For instance, the new Clinical Trials Regulation provides for a streamlined application procedure via a single entry point and strictly defined deadlines for the assessment of clinical trial applications.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European Drug Review and Approval</w:t>
      </w:r>
    </w:p>
    <w:p>
      <w:pPr>
        <w:spacing w:after="0" w:line="185" w:lineRule="exact"/>
        <w:rPr>
          <w:sz w:val="20"/>
          <w:szCs w:val="20"/>
          <w:color w:val="auto"/>
        </w:rPr>
      </w:pPr>
    </w:p>
    <w:p>
      <w:pPr>
        <w:ind w:right="40" w:firstLine="648"/>
        <w:spacing w:after="0" w:line="224" w:lineRule="auto"/>
        <w:rPr>
          <w:sz w:val="20"/>
          <w:szCs w:val="20"/>
          <w:color w:val="auto"/>
        </w:rPr>
      </w:pPr>
      <w:r>
        <w:rPr>
          <w:rFonts w:ascii="Arial" w:cs="Arial" w:eastAsia="Arial" w:hAnsi="Arial"/>
          <w:sz w:val="18"/>
          <w:szCs w:val="18"/>
          <w:color w:val="auto"/>
        </w:rPr>
        <w:t>In the European Economic Area, or EEA, (which is comprised of the 28 Member States of the European Union plus Norway, Iceland and Liechtenstein), medicinal products can only be commercialized after obtaining a Marketing Authorization, or MA. There are two types of marketing authorizations:</w:t>
      </w:r>
    </w:p>
    <w:p>
      <w:pPr>
        <w:spacing w:after="0" w:line="163"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The Community MA, which is issued by the European Commission through the Centralized Procedure, based on the opinion of the Committee for Medicinal Products for Human Use, or CHMP, of the EMA and which is valid throughout the entire territory of the EEA. The Centralized Procedure is mandatory for certain types of drugs, such as biotechnology medicinal drugs, orphan medicinal drugs, and medicinal drugs containing a new active substance indicated for the treatment of AIDS, cancer, neurodegenerative disorders, diabetes, auto</w:t>
      </w:r>
      <w:r>
        <w:rPr>
          <w:rFonts w:ascii="MS PGothic" w:cs="MS PGothic" w:eastAsia="MS PGothic" w:hAnsi="MS PGothic"/>
          <w:sz w:val="16"/>
          <w:szCs w:val="16"/>
          <w:color w:val="auto"/>
        </w:rPr>
        <w:t>‑</w:t>
      </w:r>
      <w:r>
        <w:rPr>
          <w:rFonts w:ascii="Arial" w:cs="Arial" w:eastAsia="Arial" w:hAnsi="Arial"/>
          <w:sz w:val="16"/>
          <w:szCs w:val="16"/>
          <w:color w:val="auto"/>
        </w:rPr>
        <w:t>immune and viral diseases. The Centralized Procedure is optional for drugs containing a new active substance not yet authorized in the EEA, or for drugs that constitute a significant therapeutic, scientific or technical innovation or which are in the interest of public health in the European Union.</w:t>
      </w:r>
    </w:p>
    <w:p>
      <w:pPr>
        <w:spacing w:after="0" w:line="163" w:lineRule="exact"/>
        <w:rPr>
          <w:sz w:val="20"/>
          <w:szCs w:val="20"/>
          <w:color w:val="auto"/>
        </w:rPr>
      </w:pPr>
    </w:p>
    <w:p>
      <w:pPr>
        <w:ind w:right="40" w:firstLine="648"/>
        <w:spacing w:after="0" w:line="234" w:lineRule="auto"/>
        <w:rPr>
          <w:sz w:val="20"/>
          <w:szCs w:val="20"/>
          <w:color w:val="auto"/>
        </w:rPr>
      </w:pPr>
      <w:r>
        <w:rPr>
          <w:rFonts w:ascii="Arial" w:cs="Arial" w:eastAsia="Arial" w:hAnsi="Arial"/>
          <w:sz w:val="16"/>
          <w:szCs w:val="16"/>
          <w:color w:val="auto"/>
        </w:rPr>
        <w:t>National MAs, which are issued by the competent authorities of the Member States of the EEA and only cover their respective territory, are available for drugs not falling within the mandatory scope of the Centralized Procedure. Where a drug has already been authorized for marketing in a Member State of the EEA, this National MA can be recognized in another Member State through the Mutual Recognition Procedure. If the drug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The competent authority of the RMS prepares a draft assessment report, a draft summary of the drug characteristics, or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drug is subsequently granted a national MA in all the Member States (i.e. in the RMS and the Member States Concerned).</w:t>
      </w:r>
    </w:p>
    <w:p>
      <w:pPr>
        <w:spacing w:after="0" w:line="170" w:lineRule="exact"/>
        <w:rPr>
          <w:sz w:val="20"/>
          <w:szCs w:val="20"/>
          <w:color w:val="auto"/>
        </w:rPr>
      </w:pPr>
    </w:p>
    <w:p>
      <w:pPr>
        <w:jc w:val="both"/>
        <w:ind w:right="500" w:firstLine="648"/>
        <w:spacing w:after="0" w:line="194" w:lineRule="exact"/>
        <w:rPr>
          <w:sz w:val="20"/>
          <w:szCs w:val="20"/>
          <w:color w:val="auto"/>
        </w:rPr>
      </w:pPr>
      <w:r>
        <w:rPr>
          <w:rFonts w:ascii="Arial" w:cs="Arial" w:eastAsia="Arial" w:hAnsi="Arial"/>
          <w:sz w:val="18"/>
          <w:szCs w:val="18"/>
          <w:color w:val="auto"/>
        </w:rPr>
        <w:t>Under the above described procedures, before granting the MA, the EMA or the competent authorities of the Member States of the EEA make an assessment of the risk</w:t>
      </w:r>
      <w:r>
        <w:rPr>
          <w:rFonts w:ascii="MS PGothic" w:cs="MS PGothic" w:eastAsia="MS PGothic" w:hAnsi="MS PGothic"/>
          <w:sz w:val="18"/>
          <w:szCs w:val="18"/>
          <w:color w:val="auto"/>
        </w:rPr>
        <w:t>‑</w:t>
      </w:r>
      <w:r>
        <w:rPr>
          <w:rFonts w:ascii="Arial" w:cs="Arial" w:eastAsia="Arial" w:hAnsi="Arial"/>
          <w:sz w:val="18"/>
          <w:szCs w:val="18"/>
          <w:color w:val="auto"/>
        </w:rPr>
        <w:t>benefit balance of the drug on the basis of scientific criteria concerning its quality, safety and efficacy.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European Chemical Entity Exclusivity</w:t>
      </w:r>
    </w:p>
    <w:p>
      <w:pPr>
        <w:spacing w:after="0" w:line="185"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In the European Union, new chemical entities, sometimes referred to as new active substances, qualify for eight years of data exclusivity upon marketing authorization and an additional two years of market exclusivity. This data exclusivity, if granted, prevents regulatory authorities in the European Union from referencing the innovator’s data to assess a generic application for eight years, after which generic marketing authorization can be submitted, and the innovator’s data may be referenced, but not approved for two years. The overall ten</w:t>
      </w:r>
      <w:r>
        <w:rPr>
          <w:rFonts w:ascii="MS PGothic" w:cs="MS PGothic" w:eastAsia="MS PGothic" w:hAnsi="MS PGothic"/>
          <w:sz w:val="17"/>
          <w:szCs w:val="17"/>
          <w:color w:val="auto"/>
        </w:rPr>
        <w:t>‑</w:t>
      </w:r>
      <w:r>
        <w:rPr>
          <w:rFonts w:ascii="Arial" w:cs="Arial" w:eastAsia="Arial" w:hAnsi="Arial"/>
          <w:sz w:val="17"/>
          <w:szCs w:val="17"/>
          <w:color w:val="auto"/>
        </w:rPr>
        <w:t>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 of the World Regulation</w:t>
      </w:r>
    </w:p>
    <w:p>
      <w:pPr>
        <w:spacing w:after="0" w:line="185" w:lineRule="exact"/>
        <w:rPr>
          <w:sz w:val="20"/>
          <w:szCs w:val="20"/>
          <w:color w:val="auto"/>
        </w:rPr>
      </w:pPr>
    </w:p>
    <w:p>
      <w:pPr>
        <w:ind w:right="80" w:firstLine="648"/>
        <w:spacing w:after="0" w:line="249" w:lineRule="auto"/>
        <w:rPr>
          <w:sz w:val="20"/>
          <w:szCs w:val="20"/>
          <w:color w:val="auto"/>
        </w:rPr>
      </w:pPr>
      <w:r>
        <w:rPr>
          <w:rFonts w:ascii="Arial" w:cs="Arial" w:eastAsia="Arial" w:hAnsi="Arial"/>
          <w:sz w:val="16"/>
          <w:szCs w:val="16"/>
          <w:color w:val="auto"/>
        </w:rPr>
        <w:t>For other countries outside of the European Union and the United States, such as countries in Eastern Europe, Latin America or Asia, the requirements governing the conduct of clinical trials, drug licensing, pricing and reimbursement vary from country to country. In all cases the clinical trials must be conducted in accordance with GCP requirements and the applicable regulatory requirements and the ethical principles that have their origin in the Declaration of Helsinki.</w:t>
      </w:r>
    </w:p>
    <w:p>
      <w:pPr>
        <w:spacing w:after="0" w:line="155" w:lineRule="exact"/>
        <w:rPr>
          <w:sz w:val="20"/>
          <w:szCs w:val="20"/>
          <w:color w:val="auto"/>
        </w:rPr>
      </w:pPr>
    </w:p>
    <w:p>
      <w:pPr>
        <w:ind w:right="360" w:firstLine="648"/>
        <w:spacing w:after="0" w:line="224"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85"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Sales of our drugs will depend, in part, on the extent to which our drugs will be covered by third</w:t>
      </w:r>
      <w:r>
        <w:rPr>
          <w:rFonts w:ascii="MS PGothic" w:cs="MS PGothic" w:eastAsia="MS PGothic" w:hAnsi="MS PGothic"/>
          <w:sz w:val="16"/>
          <w:szCs w:val="16"/>
          <w:color w:val="auto"/>
        </w:rPr>
        <w:t>‑</w:t>
      </w:r>
      <w:r>
        <w:rPr>
          <w:rFonts w:ascii="Arial" w:cs="Arial" w:eastAsia="Arial" w:hAnsi="Arial"/>
          <w:sz w:val="16"/>
          <w:szCs w:val="16"/>
          <w:color w:val="auto"/>
        </w:rPr>
        <w:t>party payors, such as government health programs, commercial insurance and managed healthcare organizations. These third</w:t>
      </w:r>
      <w:r>
        <w:rPr>
          <w:rFonts w:ascii="MS PGothic" w:cs="MS PGothic" w:eastAsia="MS PGothic" w:hAnsi="MS PGothic"/>
          <w:sz w:val="16"/>
          <w:szCs w:val="16"/>
          <w:color w:val="auto"/>
        </w:rPr>
        <w:t>‑</w:t>
      </w:r>
      <w:r>
        <w:rPr>
          <w:rFonts w:ascii="Arial" w:cs="Arial" w:eastAsia="Arial" w:hAnsi="Arial"/>
          <w:sz w:val="16"/>
          <w:szCs w:val="16"/>
          <w:color w:val="auto"/>
        </w:rPr>
        <w:t>party payors are increasingly reducing reimbursements for medical drugs and services. In addition, the containment of healthcare costs has become a priority of federal and state governments, and the prices of drugs have been a focus in this effort. The U.S. government, state legislatures and foreign governments have shown significant interest in implementing cost</w:t>
      </w:r>
      <w:r>
        <w:rPr>
          <w:rFonts w:ascii="MS PGothic" w:cs="MS PGothic" w:eastAsia="MS PGothic" w:hAnsi="MS PGothic"/>
          <w:sz w:val="16"/>
          <w:szCs w:val="16"/>
          <w:color w:val="auto"/>
        </w:rPr>
        <w:t>‑</w:t>
      </w:r>
      <w:r>
        <w:rPr>
          <w:rFonts w:ascii="Arial" w:cs="Arial" w:eastAsia="Arial" w:hAnsi="Arial"/>
          <w:sz w:val="16"/>
          <w:szCs w:val="16"/>
          <w:color w:val="auto"/>
        </w:rPr>
        <w:t>containment programs, including price controls, restrictions on reimbursement and requirements for substitution of generic drugs. Adoption of price controls and cost</w:t>
      </w:r>
      <w:r>
        <w:rPr>
          <w:rFonts w:ascii="MS PGothic" w:cs="MS PGothic" w:eastAsia="MS PGothic" w:hAnsi="MS PGothic"/>
          <w:sz w:val="16"/>
          <w:szCs w:val="16"/>
          <w:color w:val="auto"/>
        </w:rPr>
        <w:t>‑</w:t>
      </w:r>
      <w:r>
        <w:rPr>
          <w:rFonts w:ascii="Arial" w:cs="Arial" w:eastAsia="Arial" w:hAnsi="Arial"/>
          <w:sz w:val="16"/>
          <w:szCs w:val="16"/>
          <w:color w:val="auto"/>
        </w:rPr>
        <w:t>containment measures, and adoption of more restrictive policies in jurisdictions with existing controls and measures, could further limit our net revenue and results. Decreases in third</w:t>
      </w:r>
      <w:r>
        <w:rPr>
          <w:rFonts w:ascii="MS PGothic" w:cs="MS PGothic" w:eastAsia="MS PGothic" w:hAnsi="MS PGothic"/>
          <w:sz w:val="16"/>
          <w:szCs w:val="16"/>
          <w:color w:val="auto"/>
        </w:rPr>
        <w:t>‑</w:t>
      </w:r>
      <w:r>
        <w:rPr>
          <w:rFonts w:ascii="Arial" w:cs="Arial" w:eastAsia="Arial" w:hAnsi="Arial"/>
          <w:sz w:val="16"/>
          <w:szCs w:val="16"/>
          <w:color w:val="auto"/>
        </w:rPr>
        <w:t>party reimbursement for our drug candidates, if approved, or a decision by a third</w:t>
      </w:r>
      <w:r>
        <w:rPr>
          <w:rFonts w:ascii="MS PGothic" w:cs="MS PGothic" w:eastAsia="MS PGothic" w:hAnsi="MS PGothic"/>
          <w:sz w:val="16"/>
          <w:szCs w:val="16"/>
          <w:color w:val="auto"/>
        </w:rPr>
        <w:t>‑</w:t>
      </w:r>
      <w:r>
        <w:rPr>
          <w:rFonts w:ascii="Arial" w:cs="Arial" w:eastAsia="Arial" w:hAnsi="Arial"/>
          <w:sz w:val="16"/>
          <w:szCs w:val="16"/>
          <w:color w:val="auto"/>
        </w:rPr>
        <w:t>party payor to not cover our drug candidates could reduce physician usage of such drugs and have a material adverse effect on our sales, results of operations and financial condition.</w:t>
      </w:r>
    </w:p>
    <w:p>
      <w:pPr>
        <w:spacing w:after="0" w:line="163" w:lineRule="exact"/>
        <w:rPr>
          <w:sz w:val="20"/>
          <w:szCs w:val="20"/>
          <w:color w:val="auto"/>
        </w:rPr>
      </w:pPr>
    </w:p>
    <w:p>
      <w:pPr>
        <w:ind w:right="60" w:firstLine="648"/>
        <w:spacing w:after="0" w:line="180" w:lineRule="exact"/>
        <w:rPr>
          <w:sz w:val="20"/>
          <w:szCs w:val="20"/>
          <w:color w:val="auto"/>
        </w:rPr>
      </w:pPr>
      <w:r>
        <w:rPr>
          <w:rFonts w:ascii="Arial" w:cs="Arial" w:eastAsia="Arial" w:hAnsi="Arial"/>
          <w:sz w:val="17"/>
          <w:szCs w:val="17"/>
          <w:color w:val="auto"/>
        </w:rPr>
        <w:t>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drugs for which we receive marketing approval. However, any negotiated prices for our drugs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w:t>
      </w:r>
      <w:r>
        <w:rPr>
          <w:rFonts w:ascii="MS PGothic" w:cs="MS PGothic" w:eastAsia="MS PGothic" w:hAnsi="MS PGothic"/>
          <w:sz w:val="17"/>
          <w:szCs w:val="17"/>
          <w:color w:val="auto"/>
        </w:rPr>
        <w:t>‑</w:t>
      </w:r>
      <w:r>
        <w:rPr>
          <w:rFonts w:ascii="Arial" w:cs="Arial" w:eastAsia="Arial" w:hAnsi="Arial"/>
          <w:sz w:val="17"/>
          <w:szCs w:val="17"/>
          <w:color w:val="auto"/>
        </w:rPr>
        <w:t>governmental payors.</w:t>
      </w:r>
    </w:p>
    <w:p>
      <w:pPr>
        <w:spacing w:after="0" w:line="165"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The American Recovery and Reinvestment Act of 2009 provides funding for the federal government to compare the effectiveness of different treatments for the same illness. The plan for the research was published in 2012 by the Department of Health and Human Services, the Agency for Healthcare Research and Quality and the National Institutes for Health, and periodic reports on the status of the research and related expenditures will be made to Congress. Although the results of the comparative effectiveness studies are not intended to mandate coverage policies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0"/>
        <w:spacing w:after="0" w:line="185" w:lineRule="exact"/>
        <w:rPr>
          <w:sz w:val="20"/>
          <w:szCs w:val="20"/>
          <w:color w:val="auto"/>
        </w:rPr>
      </w:pPr>
      <w:r>
        <w:rPr>
          <w:rFonts w:ascii="Arial" w:cs="Arial" w:eastAsia="Arial" w:hAnsi="Arial"/>
          <w:sz w:val="18"/>
          <w:szCs w:val="18"/>
          <w:color w:val="auto"/>
        </w:rPr>
        <w:t>for public or private payors, it is not clear what effect, if any, the research will have on the sales of our drug candidates, if any such drug or the condition that they are intended to treat is the subject of a trial. It is also possible that comparative effectiveness research demonstrating benefits in a competitor’s drug could adversely affect the sales of our drug candidate. If third</w:t>
      </w:r>
      <w:r>
        <w:rPr>
          <w:rFonts w:ascii="MS PGothic" w:cs="MS PGothic" w:eastAsia="MS PGothic" w:hAnsi="MS PGothic"/>
          <w:sz w:val="18"/>
          <w:szCs w:val="18"/>
          <w:color w:val="auto"/>
        </w:rPr>
        <w:t>‑</w:t>
      </w:r>
      <w:r>
        <w:rPr>
          <w:rFonts w:ascii="Arial" w:cs="Arial" w:eastAsia="Arial" w:hAnsi="Arial"/>
          <w:sz w:val="18"/>
          <w:szCs w:val="18"/>
          <w:color w:val="auto"/>
        </w:rPr>
        <w:t>party payors do not consider our drugs to be cost</w:t>
      </w:r>
      <w:r>
        <w:rPr>
          <w:rFonts w:ascii="MS PGothic" w:cs="MS PGothic" w:eastAsia="MS PGothic" w:hAnsi="MS PGothic"/>
          <w:sz w:val="18"/>
          <w:szCs w:val="18"/>
          <w:color w:val="auto"/>
        </w:rPr>
        <w:t>‑</w:t>
      </w:r>
      <w:r>
        <w:rPr>
          <w:rFonts w:ascii="Arial" w:cs="Arial" w:eastAsia="Arial" w:hAnsi="Arial"/>
          <w:sz w:val="18"/>
          <w:szCs w:val="18"/>
          <w:color w:val="auto"/>
        </w:rPr>
        <w:t>effective compared to other available therapies, they may not cover our drugs after approval as a benefit under their plans or, if they do, the level of payment may not be sufficient to allow us to sell our drugs on a profitable basis.</w:t>
      </w:r>
    </w:p>
    <w:p>
      <w:pPr>
        <w:spacing w:after="0" w:line="162"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or collectively the Affordable Care Act, enacted in March 2010, has had a significant impact on the health care industry. The Affordable Care Act expanded coverage for the uninsured while at the same time containing overall healthcare costs. With regard to pharmaceutical products, the Affordable Care Act,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a new Medicare Part D coverage gap discount program, in which manufacturers must agree to offer 50% point</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sale discounts off negotiated prices of applicable brand drugs to eligible beneficiaries during their coverage gap period, as a condition for the manufacturer’s outpatient drugs to be covered under Medicare Part D.</w:t>
      </w:r>
    </w:p>
    <w:p>
      <w:pPr>
        <w:spacing w:after="0" w:line="167" w:lineRule="exact"/>
        <w:rPr>
          <w:sz w:val="20"/>
          <w:szCs w:val="20"/>
          <w:color w:val="auto"/>
        </w:rPr>
      </w:pPr>
    </w:p>
    <w:p>
      <w:pPr>
        <w:ind w:firstLine="648"/>
        <w:spacing w:after="0" w:line="231"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Affordable Care Act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started in April 2013, and, due to subsequent legislative amendments, will stay in effect through 2025 unless additional Congressional action is taken. On January 2, 2013, then President Obama signed into law the American Taxpayer Relief Act of 2012, or the ATRA, which among other things, also reduced Medicare payments to several providers, including hospitals, imaging centers and cancer treatment centers, and increased the statute of limitations period for the government to recover overpayments to providers from three to five years. We expect that additional federal healthcare reform measures will be adopted in the future, any of which could limit the amounts that federal and state governments will pay for healthcare drugs and services, and in turn could significantly reduce the projected value of certain development projects and reduce our profitability. In January 2017, Congress voted to adopt a budget resolution for fiscal year 2017, that while not a law, is widely viewed as the first step toward the passage of legislation that would repeal certain aspects of the Affordable Care Act. The 2017 Tax Cuts and Jobs Act, or TJCA, includes a provision repealing the individual mandate, effective January 1, 2019. Further, on January 20, 2017, U.S. President Donald Trump signed an Executive Order directing federal agencies with authorities and responsibilities under the Affordable Care Act to waive, defer, grant exemptions from, or delay the implementation of any provision of the Affordable Care Act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Affordable Care Act. Several state Attorneys General filed suit to stop the administration from terminating these subsidies, but on October 25, 2017, a federal judge in California denied their request for a restraining order. In addition, CMS has recently proposed regulations that would give states greater flexibility in setting benchmarks for insurers in the individual and small group marketplaces, which may have the effect of relaxing the health benefits required under the Affordable Care Act for plans sold through these marketplaces. There may be further action to repeal, replace or modify the Affordable Care Act. While any legislative and regulatory changes will likely take time to develop, and may or may not have an impact on the regulatory regime to which we are subject, we cannot predict the ultimate content, timing or effect of any healthcare reform legislation or the impact of potential legislation on us.</w:t>
      </w:r>
    </w:p>
    <w:p>
      <w:pPr>
        <w:spacing w:after="0" w:line="174" w:lineRule="exact"/>
        <w:rPr>
          <w:sz w:val="20"/>
          <w:szCs w:val="20"/>
          <w:color w:val="auto"/>
        </w:rPr>
      </w:pPr>
    </w:p>
    <w:p>
      <w:pPr>
        <w:ind w:right="140" w:firstLine="648"/>
        <w:spacing w:after="0" w:line="239" w:lineRule="auto"/>
        <w:rPr>
          <w:sz w:val="20"/>
          <w:szCs w:val="20"/>
          <w:color w:val="auto"/>
        </w:rPr>
      </w:pPr>
      <w:r>
        <w:rPr>
          <w:rFonts w:ascii="Arial" w:cs="Arial" w:eastAsia="Arial" w:hAnsi="Arial"/>
          <w:sz w:val="16"/>
          <w:szCs w:val="16"/>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drugs for which their national health insurance systems provide reimbursement and to control the prices of medicinal drugs for human use. A member state may approve a specific price for the medicinal drug or it may instead adopt a system of direct or indirect controls on the profitability of the company placing the medicinal drug on the market. There can be no assurance that any country that has price controls or reimbursement limitations for pharmaceutical drugs will allow favorable reimbursement and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pricing arrangements for any of our drugs. Historically, drugs launched in the European Union do not follow price structures of the United States and generally tend to be significantly lower.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85" w:lineRule="exact"/>
        <w:rPr>
          <w:sz w:val="20"/>
          <w:szCs w:val="20"/>
          <w:color w:val="auto"/>
        </w:rPr>
      </w:pPr>
    </w:p>
    <w:p>
      <w:pPr>
        <w:ind w:right="20" w:firstLine="648"/>
        <w:spacing w:after="0" w:line="194" w:lineRule="exact"/>
        <w:rPr>
          <w:sz w:val="20"/>
          <w:szCs w:val="20"/>
          <w:color w:val="auto"/>
        </w:rPr>
      </w:pPr>
      <w:r>
        <w:rPr>
          <w:rFonts w:ascii="Arial" w:cs="Arial" w:eastAsia="Arial" w:hAnsi="Arial"/>
          <w:sz w:val="16"/>
          <w:szCs w:val="16"/>
          <w:color w:val="auto"/>
        </w:rPr>
        <w:t>We may also be subject to healthcare regulation and enforcement by the federal government and the states and foreign governments where we may market our product candidates, if approved. These laws include, without limitation, state and federal anti</w:t>
      </w:r>
      <w:r>
        <w:rPr>
          <w:rFonts w:ascii="MS PGothic" w:cs="MS PGothic" w:eastAsia="MS PGothic" w:hAnsi="MS PGothic"/>
          <w:sz w:val="16"/>
          <w:szCs w:val="16"/>
          <w:color w:val="auto"/>
        </w:rPr>
        <w:t>‑</w:t>
      </w:r>
      <w:r>
        <w:rPr>
          <w:rFonts w:ascii="Arial" w:cs="Arial" w:eastAsia="Arial" w:hAnsi="Arial"/>
          <w:sz w:val="16"/>
          <w:szCs w:val="16"/>
          <w:color w:val="auto"/>
        </w:rPr>
        <w:t>kickback, fraud and abuse, false claims, privacy and security and physician sunshine laws and regulations.</w:t>
      </w:r>
    </w:p>
    <w:p>
      <w:pPr>
        <w:spacing w:after="0" w:line="163"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The federal Anti</w:t>
      </w:r>
      <w:r>
        <w:rPr>
          <w:rFonts w:ascii="MS PGothic" w:cs="MS PGothic" w:eastAsia="MS PGothic" w:hAnsi="MS PGothic"/>
          <w:sz w:val="16"/>
          <w:szCs w:val="16"/>
          <w:color w:val="auto"/>
        </w:rPr>
        <w:t>‑</w:t>
      </w:r>
      <w:r>
        <w:rPr>
          <w:rFonts w:ascii="Arial" w:cs="Arial" w:eastAsia="Arial" w:hAnsi="Arial"/>
          <w:sz w:val="16"/>
          <w:szCs w:val="16"/>
          <w:color w:val="auto"/>
        </w:rPr>
        <w:t>Kickback Statute prohibits, among other things, any person from knowingly and willfully offering, soliciting, receiving or paying remuneration, directly or indirectly, to induce either the referral of an individual, for an item or service or the purchasing or ordering of a good or service, for which payment may be made under federal healthcare programs such as the Medicare and Medicaid programs. The government has enforced the Anti</w:t>
      </w:r>
      <w:r>
        <w:rPr>
          <w:rFonts w:ascii="MS PGothic" w:cs="MS PGothic" w:eastAsia="MS PGothic" w:hAnsi="MS PGothic"/>
          <w:sz w:val="16"/>
          <w:szCs w:val="16"/>
          <w:color w:val="auto"/>
        </w:rPr>
        <w:t>‑</w:t>
      </w:r>
      <w:r>
        <w:rPr>
          <w:rFonts w:ascii="Arial" w:cs="Arial" w:eastAsia="Arial" w:hAnsi="Arial"/>
          <w:sz w:val="16"/>
          <w:szCs w:val="16"/>
          <w:color w:val="auto"/>
        </w:rPr>
        <w:t>Kickback Statute to reach large settlements with healthcare companies based on sham consulting and other financial arrangements with physicians. A person or entity does not need to have actual knowledge of the statute or specific intent to violate it in order to have committed a violation. In addition, the government may assert that a claim including items or services resulting from a violation of the federal Anti</w:t>
      </w:r>
      <w:r>
        <w:rPr>
          <w:rFonts w:ascii="MS PGothic" w:cs="MS PGothic" w:eastAsia="MS PGothic" w:hAnsi="MS PGothic"/>
          <w:sz w:val="16"/>
          <w:szCs w:val="16"/>
          <w:color w:val="auto"/>
        </w:rPr>
        <w:t>‑</w:t>
      </w:r>
      <w:r>
        <w:rPr>
          <w:rFonts w:ascii="Arial" w:cs="Arial" w:eastAsia="Arial" w:hAnsi="Arial"/>
          <w:sz w:val="16"/>
          <w:szCs w:val="16"/>
          <w:color w:val="auto"/>
        </w:rPr>
        <w:t>Kickback Statute constitutes a false or fraudulent claim for purposes of the federal False Claims Act. The majority of states also have anti</w:t>
      </w:r>
      <w:r>
        <w:rPr>
          <w:rFonts w:ascii="MS PGothic" w:cs="MS PGothic" w:eastAsia="MS PGothic" w:hAnsi="MS PGothic"/>
          <w:sz w:val="16"/>
          <w:szCs w:val="16"/>
          <w:color w:val="auto"/>
        </w:rPr>
        <w:t>‑</w:t>
      </w:r>
      <w:r>
        <w:rPr>
          <w:rFonts w:ascii="Arial" w:cs="Arial" w:eastAsia="Arial" w:hAnsi="Arial"/>
          <w:sz w:val="16"/>
          <w:szCs w:val="16"/>
          <w:color w:val="auto"/>
        </w:rPr>
        <w:t>kickback laws, which establish similar prohibitions and in some cases may apply to items or services reimbursed by any third</w:t>
      </w:r>
      <w:r>
        <w:rPr>
          <w:rFonts w:ascii="MS PGothic" w:cs="MS PGothic" w:eastAsia="MS PGothic" w:hAnsi="MS PGothic"/>
          <w:sz w:val="16"/>
          <w:szCs w:val="16"/>
          <w:color w:val="auto"/>
        </w:rPr>
        <w:t>‑</w:t>
      </w:r>
      <w:r>
        <w:rPr>
          <w:rFonts w:ascii="Arial" w:cs="Arial" w:eastAsia="Arial" w:hAnsi="Arial"/>
          <w:sz w:val="16"/>
          <w:szCs w:val="16"/>
          <w:color w:val="auto"/>
        </w:rPr>
        <w:t>party payor, including commercial insurers.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the civil False Claims Act prohibits, among other things, knowingly presenting or causing the</w:t>
      </w:r>
    </w:p>
    <w:p>
      <w:pPr>
        <w:spacing w:after="0" w:line="229" w:lineRule="auto"/>
        <w:rPr>
          <w:sz w:val="20"/>
          <w:szCs w:val="20"/>
          <w:color w:val="auto"/>
        </w:rPr>
      </w:pPr>
      <w:r>
        <w:rPr>
          <w:rFonts w:ascii="Arial" w:cs="Arial" w:eastAsia="Arial" w:hAnsi="Arial"/>
          <w:sz w:val="16"/>
          <w:szCs w:val="16"/>
          <w:color w:val="auto"/>
        </w:rPr>
        <w:t>presentation of a false, fictitious or fraudulent claim for payment to the U.S. government. Actions under the False Claims Act</w:t>
      </w:r>
    </w:p>
    <w:p>
      <w:pPr>
        <w:spacing w:after="0" w:line="215" w:lineRule="auto"/>
        <w:rPr>
          <w:sz w:val="20"/>
          <w:szCs w:val="20"/>
          <w:color w:val="auto"/>
        </w:rPr>
      </w:pPr>
      <w:r>
        <w:rPr>
          <w:rFonts w:ascii="Arial" w:cs="Arial" w:eastAsia="Arial" w:hAnsi="Arial"/>
          <w:sz w:val="17"/>
          <w:szCs w:val="17"/>
          <w:color w:val="auto"/>
        </w:rPr>
        <w:t>may be brought by the Attorney General or as a qui tam action by a private individual in the name of the government.</w:t>
      </w:r>
    </w:p>
    <w:p>
      <w:pPr>
        <w:spacing w:after="0" w:line="216" w:lineRule="auto"/>
        <w:rPr>
          <w:sz w:val="20"/>
          <w:szCs w:val="20"/>
          <w:color w:val="auto"/>
        </w:rPr>
      </w:pPr>
      <w:r>
        <w:rPr>
          <w:rFonts w:ascii="Arial" w:cs="Arial" w:eastAsia="Arial" w:hAnsi="Arial"/>
          <w:sz w:val="17"/>
          <w:szCs w:val="17"/>
          <w:color w:val="auto"/>
        </w:rPr>
        <w:t>Violations of the False Claims Act can result in very significant monetary penalties and treble damages. The federal</w:t>
      </w:r>
    </w:p>
    <w:p>
      <w:pPr>
        <w:spacing w:after="0" w:line="215" w:lineRule="auto"/>
        <w:rPr>
          <w:sz w:val="20"/>
          <w:szCs w:val="20"/>
          <w:color w:val="auto"/>
        </w:rPr>
      </w:pPr>
      <w:r>
        <w:rPr>
          <w:rFonts w:ascii="Arial" w:cs="Arial" w:eastAsia="Arial" w:hAnsi="Arial"/>
          <w:sz w:val="17"/>
          <w:szCs w:val="17"/>
          <w:color w:val="auto"/>
        </w:rPr>
        <w:t>government is using the False Claims Act, and the accompanying threat of significant liability, in its investigation and</w:t>
      </w:r>
    </w:p>
    <w:p>
      <w:pPr>
        <w:spacing w:after="0" w:line="216" w:lineRule="auto"/>
        <w:rPr>
          <w:sz w:val="20"/>
          <w:szCs w:val="20"/>
          <w:color w:val="auto"/>
        </w:rPr>
      </w:pPr>
      <w:r>
        <w:rPr>
          <w:rFonts w:ascii="Arial" w:cs="Arial" w:eastAsia="Arial" w:hAnsi="Arial"/>
          <w:sz w:val="17"/>
          <w:szCs w:val="17"/>
          <w:color w:val="auto"/>
        </w:rPr>
        <w:t>prosecution of pharmaceutical and biotechnology companies throughout the U.S., for example, in connection with the</w:t>
      </w:r>
    </w:p>
    <w:p>
      <w:pPr>
        <w:spacing w:after="0" w:line="215" w:lineRule="auto"/>
        <w:rPr>
          <w:sz w:val="20"/>
          <w:szCs w:val="20"/>
          <w:color w:val="auto"/>
        </w:rPr>
      </w:pPr>
      <w:r>
        <w:rPr>
          <w:rFonts w:ascii="Arial" w:cs="Arial" w:eastAsia="Arial" w:hAnsi="Arial"/>
          <w:sz w:val="17"/>
          <w:szCs w:val="17"/>
          <w:color w:val="auto"/>
        </w:rPr>
        <w:t>promotion of products for unapproved uses and other sales and marketing practices. The government has obtained</w:t>
      </w:r>
    </w:p>
    <w:p>
      <w:pPr>
        <w:spacing w:after="0" w:line="176" w:lineRule="exact"/>
        <w:rPr>
          <w:sz w:val="20"/>
          <w:szCs w:val="20"/>
          <w:color w:val="auto"/>
        </w:rPr>
      </w:pPr>
      <w:r>
        <w:rPr>
          <w:rFonts w:ascii="Arial" w:cs="Arial" w:eastAsia="Arial" w:hAnsi="Arial"/>
          <w:sz w:val="17"/>
          <w:szCs w:val="17"/>
          <w:color w:val="auto"/>
        </w:rPr>
        <w:t>multi</w:t>
      </w:r>
      <w:r>
        <w:rPr>
          <w:rFonts w:ascii="MS PGothic" w:cs="MS PGothic" w:eastAsia="MS PGothic" w:hAnsi="MS PGothic"/>
          <w:sz w:val="17"/>
          <w:szCs w:val="17"/>
          <w:color w:val="auto"/>
        </w:rPr>
        <w:t>‑</w:t>
      </w:r>
      <w:r>
        <w:rPr>
          <w:rFonts w:ascii="Arial" w:cs="Arial" w:eastAsia="Arial" w:hAnsi="Arial"/>
          <w:sz w:val="17"/>
          <w:szCs w:val="17"/>
          <w:color w:val="auto"/>
        </w:rPr>
        <w:t>million and multi</w:t>
      </w:r>
      <w:r>
        <w:rPr>
          <w:rFonts w:ascii="MS PGothic" w:cs="MS PGothic" w:eastAsia="MS PGothic" w:hAnsi="MS PGothic"/>
          <w:sz w:val="17"/>
          <w:szCs w:val="17"/>
          <w:color w:val="auto"/>
        </w:rPr>
        <w:t>‑</w:t>
      </w:r>
      <w:r>
        <w:rPr>
          <w:rFonts w:ascii="Arial" w:cs="Arial" w:eastAsia="Arial" w:hAnsi="Arial"/>
          <w:sz w:val="17"/>
          <w:szCs w:val="17"/>
          <w:color w:val="auto"/>
        </w:rPr>
        <w:t>billion dollar settlements under the False Claims Act in addition to individual criminal convictions</w:t>
      </w:r>
    </w:p>
    <w:p>
      <w:pPr>
        <w:spacing w:after="0" w:line="215" w:lineRule="auto"/>
        <w:rPr>
          <w:sz w:val="20"/>
          <w:szCs w:val="20"/>
          <w:color w:val="auto"/>
        </w:rPr>
      </w:pPr>
      <w:r>
        <w:rPr>
          <w:rFonts w:ascii="Arial" w:cs="Arial" w:eastAsia="Arial" w:hAnsi="Arial"/>
          <w:sz w:val="17"/>
          <w:szCs w:val="17"/>
          <w:color w:val="auto"/>
        </w:rPr>
        <w:t>under applicable criminal statutes. Given the significant size of actual and potential settlements, it is expected that the</w:t>
      </w:r>
    </w:p>
    <w:p>
      <w:pPr>
        <w:spacing w:after="0" w:line="216" w:lineRule="auto"/>
        <w:rPr>
          <w:sz w:val="20"/>
          <w:szCs w:val="20"/>
          <w:color w:val="auto"/>
        </w:rPr>
      </w:pPr>
      <w:r>
        <w:rPr>
          <w:rFonts w:ascii="Arial" w:cs="Arial" w:eastAsia="Arial" w:hAnsi="Arial"/>
          <w:sz w:val="17"/>
          <w:szCs w:val="17"/>
          <w:color w:val="auto"/>
        </w:rPr>
        <w:t>government will continue to devote substantial resources to investigating healthcare providers’ and manufacturers’</w:t>
      </w:r>
    </w:p>
    <w:p>
      <w:pPr>
        <w:spacing w:after="0"/>
        <w:rPr>
          <w:sz w:val="20"/>
          <w:szCs w:val="20"/>
          <w:color w:val="auto"/>
        </w:rPr>
      </w:pPr>
      <w:r>
        <w:rPr>
          <w:rFonts w:ascii="Arial" w:cs="Arial" w:eastAsia="Arial" w:hAnsi="Arial"/>
          <w:sz w:val="18"/>
          <w:szCs w:val="18"/>
          <w:color w:val="auto"/>
        </w:rPr>
        <w:t>compliance with applicable fraud and abuse laws.</w:t>
      </w:r>
    </w:p>
    <w:p>
      <w:pPr>
        <w:spacing w:after="0" w:line="169" w:lineRule="exact"/>
        <w:rPr>
          <w:sz w:val="20"/>
          <w:szCs w:val="20"/>
          <w:color w:val="auto"/>
        </w:rPr>
      </w:pPr>
    </w:p>
    <w:p>
      <w:pPr>
        <w:ind w:right="40" w:firstLine="648"/>
        <w:spacing w:after="0" w:line="182" w:lineRule="exact"/>
        <w:rPr>
          <w:sz w:val="20"/>
          <w:szCs w:val="20"/>
          <w:color w:val="auto"/>
        </w:rPr>
      </w:pPr>
      <w:r>
        <w:rPr>
          <w:rFonts w:ascii="Arial" w:cs="Arial" w:eastAsia="Arial" w:hAnsi="Arial"/>
          <w:sz w:val="18"/>
          <w:szCs w:val="18"/>
          <w:color w:val="auto"/>
        </w:rPr>
        <w:t>The federal Health Insurance Portability and Accountability Act of 1996, or HIPAA, also created new federal criminal statutes that prohibit among other actions, knowingly and willfully executing, or attempting to execute, a scheme to defraud any healthcare benefit program, including private third</w:t>
      </w:r>
      <w:r>
        <w:rPr>
          <w:rFonts w:ascii="MS PGothic" w:cs="MS PGothic" w:eastAsia="MS PGothic" w:hAnsi="MS PGothic"/>
          <w:sz w:val="18"/>
          <w:szCs w:val="18"/>
          <w:color w:val="auto"/>
        </w:rPr>
        <w:t>‑</w:t>
      </w:r>
      <w:r>
        <w:rPr>
          <w:rFonts w:ascii="Arial" w:cs="Arial" w:eastAsia="Arial" w:hAnsi="Arial"/>
          <w:sz w:val="18"/>
          <w:szCs w:val="18"/>
          <w:color w:val="auto"/>
        </w:rPr>
        <w:t>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w:t>
      </w:r>
      <w:r>
        <w:rPr>
          <w:rFonts w:ascii="MS PGothic" w:cs="MS PGothic" w:eastAsia="MS PGothic" w:hAnsi="MS PGothic"/>
          <w:sz w:val="18"/>
          <w:szCs w:val="18"/>
          <w:color w:val="auto"/>
        </w:rPr>
        <w:t>‑</w:t>
      </w:r>
      <w:r>
        <w:rPr>
          <w:rFonts w:ascii="Arial" w:cs="Arial" w:eastAsia="Arial" w:hAnsi="Arial"/>
          <w:sz w:val="18"/>
          <w:szCs w:val="18"/>
          <w:color w:val="auto"/>
        </w:rPr>
        <w:t>Kickback Statute, a person or entity does not need to have actual knowledge of the statute or specific intent to violate it in order to have committed a violation.</w:t>
      </w:r>
    </w:p>
    <w:p>
      <w:pPr>
        <w:spacing w:after="0" w:line="165"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There has also been a recent trend of increased federal and state regulation of payments made to physicians and other healthcare providers. The Affordable Care Act, among other things, imposes new reporting requirements on drug manufacturers for payments made by them to physicians and teaching hospitals, as well as ownership and investment interests held by physicians and their immediate family members. Failure to submit required information may result in civil monetary penalties of up to an aggregate of $150,000 per year (or up to an aggregate of $1 million per year for “knowing failures”), for all payments, transfers of value or ownership or investment interests that are not timely, accurately and completely reported in an annual submission. Drug manufacturers are required to submit annual reports to the Centers for Medicare &amp; Medicaid Services, which publicly posts the data on its website. Certain states also mandate implementation of compliance programs, impose restrictions on drug manufacturer marketing practices and/or require the tracking and reporting of gifts, compensation and other remuneration to physicians.</w:t>
      </w:r>
    </w:p>
    <w:p>
      <w:pPr>
        <w:spacing w:after="0" w:line="164" w:lineRule="exact"/>
        <w:rPr>
          <w:sz w:val="20"/>
          <w:szCs w:val="20"/>
          <w:color w:val="auto"/>
        </w:rPr>
      </w:pPr>
    </w:p>
    <w:p>
      <w:pPr>
        <w:ind w:right="300" w:firstLine="648"/>
        <w:spacing w:after="0" w:line="249" w:lineRule="auto"/>
        <w:rPr>
          <w:sz w:val="20"/>
          <w:szCs w:val="20"/>
          <w:color w:val="auto"/>
        </w:rPr>
      </w:pPr>
      <w:r>
        <w:rPr>
          <w:rFonts w:ascii="Arial" w:cs="Arial" w:eastAsia="Arial" w:hAnsi="Arial"/>
          <w:sz w:val="16"/>
          <w:szCs w:val="16"/>
          <w:color w:val="auto"/>
        </w:rPr>
        <w:t>We may also be subject to data privacy and security regulation by both the federal government and the states in which we conduct our business. HIPAA, as amended by the Health Information Technology and Clinical Health Act, or HITECH, and their respective implementing regulations, including the final omnibus rule published on January 25, 2013, imposes specified requirements relating to the privacy, security and transmission of individually identifiable health</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222" w:lineRule="auto"/>
        <w:rPr>
          <w:sz w:val="20"/>
          <w:szCs w:val="20"/>
          <w:color w:val="auto"/>
        </w:rPr>
      </w:pPr>
      <w:r>
        <w:rPr>
          <w:rFonts w:ascii="Arial" w:cs="Arial" w:eastAsia="Arial" w:hAnsi="Arial"/>
          <w:sz w:val="17"/>
          <w:szCs w:val="17"/>
          <w:color w:val="auto"/>
        </w:rPr>
        <w:t>information. Among other things, HITECH makes HIPAA’s privacy and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we may be subject to state law equivalents of each of the above federal laws, such as anti-kickback and false claims laws which may apply to items or services reimbursed by any third-party payor, including commercial insurers, and state laws governing the privacy and security of health information in certain circumstances, many of which differ from each other in significant ways, thus complicating compliance efforts.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ind w:right="120" w:firstLine="648"/>
        <w:spacing w:after="0" w:line="189" w:lineRule="exact"/>
        <w:rPr>
          <w:sz w:val="20"/>
          <w:szCs w:val="20"/>
          <w:color w:val="auto"/>
        </w:rPr>
      </w:pPr>
      <w:r>
        <w:rPr>
          <w:rFonts w:ascii="Arial" w:cs="Arial" w:eastAsia="Arial" w:hAnsi="Arial"/>
          <w:sz w:val="18"/>
          <w:szCs w:val="18"/>
          <w:color w:val="auto"/>
        </w:rPr>
        <w:t>As of February 15, 2018, we had 149 full</w:t>
      </w:r>
      <w:r>
        <w:rPr>
          <w:rFonts w:ascii="MS PGothic" w:cs="MS PGothic" w:eastAsia="MS PGothic" w:hAnsi="MS PGothic"/>
          <w:sz w:val="18"/>
          <w:szCs w:val="18"/>
          <w:color w:val="auto"/>
        </w:rPr>
        <w:t>‑</w:t>
      </w:r>
      <w:r>
        <w:rPr>
          <w:rFonts w:ascii="Arial" w:cs="Arial" w:eastAsia="Arial" w:hAnsi="Arial"/>
          <w:sz w:val="18"/>
          <w:szCs w:val="18"/>
          <w:color w:val="auto"/>
        </w:rPr>
        <w:t>time employees, including 58 employees with M.D. or Ph.D. degrees. Of these full</w:t>
      </w:r>
      <w:r>
        <w:rPr>
          <w:rFonts w:ascii="MS PGothic" w:cs="MS PGothic" w:eastAsia="MS PGothic" w:hAnsi="MS PGothic"/>
          <w:sz w:val="18"/>
          <w:szCs w:val="18"/>
          <w:color w:val="auto"/>
        </w:rPr>
        <w:t>‑</w:t>
      </w:r>
      <w:r>
        <w:rPr>
          <w:rFonts w:ascii="Arial" w:cs="Arial" w:eastAsia="Arial" w:hAnsi="Arial"/>
          <w:sz w:val="18"/>
          <w:szCs w:val="18"/>
          <w:color w:val="auto"/>
        </w:rPr>
        <w:t>time employees, 55 employees are engaged in research and development activities, and 3 are engaged in general and administrative activities. None of our employees are represented by a labor union or covered by a collective bargaining agreement. We consider our relationship with our employees to be good.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89" w:lineRule="exact"/>
        <w:rPr>
          <w:sz w:val="20"/>
          <w:szCs w:val="20"/>
          <w:color w:val="auto"/>
        </w:rPr>
      </w:pPr>
    </w:p>
    <w:p>
      <w:pPr>
        <w:ind w:right="160" w:firstLine="648"/>
        <w:spacing w:after="0" w:line="219" w:lineRule="auto"/>
        <w:rPr>
          <w:sz w:val="20"/>
          <w:szCs w:val="20"/>
          <w:color w:val="auto"/>
        </w:rPr>
      </w:pPr>
      <w:r>
        <w:rPr>
          <w:rFonts w:ascii="Arial" w:cs="Arial" w:eastAsia="Arial" w:hAnsi="Arial"/>
          <w:sz w:val="18"/>
          <w:szCs w:val="18"/>
          <w:color w:val="auto"/>
        </w:rPr>
        <w:t>We were incorporated in the State of Delaware in October 2008 under the name ImmunoCo, Inc. In May 2010, we changed our name to Hoyle Pharmaceuticals, Inc., and in June 2011, we changed our name again to Blueprint Medicines Corporation. Our principal executive offices are located at 45 Sidney Street, Cambridge, Massachusetts 02139, and our telephone number is (617) 374-7580.</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Available on the Internet</w:t>
      </w:r>
    </w:p>
    <w:p>
      <w:pPr>
        <w:spacing w:after="0" w:line="189" w:lineRule="exact"/>
        <w:rPr>
          <w:sz w:val="20"/>
          <w:szCs w:val="20"/>
          <w:color w:val="auto"/>
        </w:rPr>
      </w:pPr>
    </w:p>
    <w:p>
      <w:pPr>
        <w:ind w:right="80" w:firstLine="648"/>
        <w:spacing w:after="0" w:line="234" w:lineRule="auto"/>
        <w:rPr>
          <w:sz w:val="20"/>
          <w:szCs w:val="20"/>
          <w:color w:val="auto"/>
        </w:rPr>
      </w:pPr>
      <w:r>
        <w:rPr>
          <w:rFonts w:ascii="Arial" w:cs="Arial" w:eastAsia="Arial" w:hAnsi="Arial"/>
          <w:sz w:val="16"/>
          <w:szCs w:val="16"/>
          <w:color w:val="auto"/>
        </w:rPr>
        <w:t>Our Internet website address is http://www.blueprintmedicines.com. The information contained on, or that can be accessed through, our website is not a part of or incorporated by reference in this Annual Report on Form 10-K. We have included our website address in this in this Annual Report on Form 10-K solely as an inactive textual reference. We make available free of charge through our website our Annual Report on Form 10-K, Quarterly Reports on Form 10-Q, Current Reports on Form 8-K and amendments to those reports filed or furnished pursuant to Sections 13(a) and 15(d) of the Exchange Act. We make these reports available through the “Investors—SEC Filings” section of our website as soon as reasonably practicable after we electronically file such reports with, or furnish such reports to, the Securities and Exchange Commission, or SEC.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You can find, copy and inspect information we file at the SEC’s public reference room, which is located at 100 F Street, N.E., Room 1580, Washington, DC 20549. Please call the SEC at 1-800-SEC-0330 for more information about the operation of the SEC’s public reference room. You can review our electronically filed reports and other information that we file with the SEC on the SEC’s website at http://www.sec.gov.</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60" w:firstLine="648"/>
        <w:spacing w:after="0" w:line="232" w:lineRule="auto"/>
        <w:rPr>
          <w:sz w:val="20"/>
          <w:szCs w:val="20"/>
          <w:color w:val="auto"/>
        </w:rPr>
      </w:pPr>
      <w:r>
        <w:rPr>
          <w:rFonts w:ascii="Arial" w:cs="Arial" w:eastAsia="Arial" w:hAnsi="Arial"/>
          <w:sz w:val="17"/>
          <w:szCs w:val="17"/>
          <w:i w:val="1"/>
          <w:iCs w:val="1"/>
          <w:color w:val="auto"/>
        </w:rPr>
        <w:t>The following risk factors and other information included in this Annual Report on Form 10-K should be carefully considered. The risks and uncertainties described below are not the only ones we face. Additional risks and uncertainties not presently known to us or that we presently deem less significant may also impair our business operations. Please see page 1 of this Annual Report on Form 10-K for a discussion of some of the forward-looking</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235" w:lineRule="auto"/>
        <w:rPr>
          <w:sz w:val="20"/>
          <w:szCs w:val="20"/>
          <w:color w:val="auto"/>
        </w:rPr>
      </w:pPr>
      <w:r>
        <w:rPr>
          <w:rFonts w:ascii="Arial" w:cs="Arial" w:eastAsia="Arial" w:hAnsi="Arial"/>
          <w:sz w:val="18"/>
          <w:szCs w:val="18"/>
          <w:i w:val="1"/>
          <w:iCs w:val="1"/>
          <w:color w:val="auto"/>
        </w:rPr>
        <w:t>statements that are qualified by these risk factors. If any of the following risks occur, our business, financial condition, results of operations and future growth prospects could be materially and adversely affected.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89"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b w:val="1"/>
          <w:bCs w:val="1"/>
          <w:i w:val="1"/>
          <w:iCs w:val="1"/>
          <w:color w:val="auto"/>
        </w:rPr>
        <w:t>We are a biopharmaceutical company with a limited operating history and have not generated any revenue from drug sales. We have incurred significant operating losses since our inception and anticipate that we will incur continued losses for the foreseeable future.</w:t>
      </w:r>
    </w:p>
    <w:p>
      <w:pPr>
        <w:spacing w:after="0" w:line="163" w:lineRule="exact"/>
        <w:rPr>
          <w:sz w:val="20"/>
          <w:szCs w:val="20"/>
          <w:color w:val="auto"/>
        </w:rPr>
      </w:pPr>
    </w:p>
    <w:p>
      <w:pPr>
        <w:ind w:right="20" w:firstLine="648"/>
        <w:spacing w:after="0" w:line="185" w:lineRule="exact"/>
        <w:rPr>
          <w:sz w:val="20"/>
          <w:szCs w:val="20"/>
          <w:color w:val="auto"/>
        </w:rPr>
      </w:pPr>
      <w:r>
        <w:rPr>
          <w:rFonts w:ascii="Arial" w:cs="Arial" w:eastAsia="Arial" w:hAnsi="Arial"/>
          <w:sz w:val="17"/>
          <w:szCs w:val="17"/>
          <w:color w:val="auto"/>
        </w:rPr>
        <w:t>We are a biopharmaceutical company with a limited operating history on which investors can base an investment decision. Biopharmaceutical drug development is a highly speculative undertaking and involves a substantial degree of risk. We commenced operations in April 2011. Our operations to date have been limited primarily to organizing and staffing our company, business planning, raising capital, developing our technology, identifying potential drug candidates and undertaking pre-clinical studies and commencing Phase 1 clinical trials and preparing for additional planned clinical trials for our most advanced drug candidates, avapritinib, BLU</w:t>
      </w:r>
      <w:r>
        <w:rPr>
          <w:rFonts w:ascii="MS PGothic" w:cs="MS PGothic" w:eastAsia="MS PGothic" w:hAnsi="MS PGothic"/>
          <w:sz w:val="17"/>
          <w:szCs w:val="17"/>
          <w:color w:val="auto"/>
        </w:rPr>
        <w:t>‑</w:t>
      </w:r>
      <w:r>
        <w:rPr>
          <w:rFonts w:ascii="Arial" w:cs="Arial" w:eastAsia="Arial" w:hAnsi="Arial"/>
          <w:sz w:val="17"/>
          <w:szCs w:val="17"/>
          <w:color w:val="auto"/>
        </w:rPr>
        <w:t>554 and BLU</w:t>
      </w:r>
      <w:r>
        <w:rPr>
          <w:rFonts w:ascii="MS PGothic" w:cs="MS PGothic" w:eastAsia="MS PGothic" w:hAnsi="MS PGothic"/>
          <w:sz w:val="17"/>
          <w:szCs w:val="17"/>
          <w:color w:val="auto"/>
        </w:rPr>
        <w:t>‑</w:t>
      </w:r>
      <w:r>
        <w:rPr>
          <w:rFonts w:ascii="Arial" w:cs="Arial" w:eastAsia="Arial" w:hAnsi="Arial"/>
          <w:sz w:val="17"/>
          <w:szCs w:val="17"/>
          <w:color w:val="auto"/>
        </w:rPr>
        <w:t>667.</w:t>
      </w:r>
    </w:p>
    <w:p>
      <w:pPr>
        <w:spacing w:after="0" w:line="165" w:lineRule="exact"/>
        <w:rPr>
          <w:sz w:val="20"/>
          <w:szCs w:val="20"/>
          <w:color w:val="auto"/>
        </w:rPr>
      </w:pPr>
    </w:p>
    <w:p>
      <w:pPr>
        <w:ind w:right="60" w:firstLine="648"/>
        <w:spacing w:after="0" w:line="187" w:lineRule="exact"/>
        <w:rPr>
          <w:sz w:val="20"/>
          <w:szCs w:val="20"/>
          <w:color w:val="auto"/>
        </w:rPr>
      </w:pPr>
      <w:r>
        <w:rPr>
          <w:rFonts w:ascii="Arial" w:cs="Arial" w:eastAsia="Arial" w:hAnsi="Arial"/>
          <w:sz w:val="18"/>
          <w:szCs w:val="18"/>
          <w:color w:val="auto"/>
        </w:rPr>
        <w:t>We are currently evaluating avapritinib in an ongoing Phase 1 clinical trial for defined subsets of patients with gastrointestinal stromal tumors, or GIST, avapritinib in an ongoing Phase 1 clinical trial for advanced systemic mastocytosis, or SM, BLU</w:t>
      </w:r>
      <w:r>
        <w:rPr>
          <w:rFonts w:ascii="MS PGothic" w:cs="MS PGothic" w:eastAsia="MS PGothic" w:hAnsi="MS PGothic"/>
          <w:sz w:val="18"/>
          <w:szCs w:val="18"/>
          <w:color w:val="auto"/>
        </w:rPr>
        <w:t>‑</w:t>
      </w:r>
      <w:r>
        <w:rPr>
          <w:rFonts w:ascii="Arial" w:cs="Arial" w:eastAsia="Arial" w:hAnsi="Arial"/>
          <w:sz w:val="18"/>
          <w:szCs w:val="18"/>
          <w:color w:val="auto"/>
        </w:rPr>
        <w:t>554 in an ongoing Phase 1 clinical trial in patients with advanced hepatocellular carcinoma, or HCC, and BLU-667 in an ongoing Phase 1 clinical trial in patients with non-small cell lung cancer, or NSCLC, medullary thyroid cancer, or MTC, and other advanced solid tumors.</w:t>
      </w:r>
    </w:p>
    <w:p>
      <w:pPr>
        <w:spacing w:after="0" w:line="162"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In September 2015, the U.S. Food and Drug Administration, or FDA, granted orphan drug designation to BLU-554 for the treatment of HCC, and in January 2016, the FDA granted orphan drug designation to avapritinib for the treatment of GIST and mastocytosis. In October 2016, the FDA granted fast track designation to avapritinib for the treatment of patients with unresectable or metastatic GIST that progressed following treatment with imatinib and a second tyrosine kinase inhibitor and for the treatment of patients with unresectable or metastatic GIST with the PDGFRα D842V mutation regardless of prior therapy. In addition, in June 2017, the FDA granted breakthrough therapy designation to avapritinib for the treatment of patients with unresectable or metastatic GIST harboring the PDGFRα D842V mutation, and in July 2017, the European Medicines Agency granted orphan drug designation to avapritinib for the treatment of GIST. We have never generated any revenue from drug sales. We have not obtained regulatory approvals for any of our drug candidates.</w:t>
      </w:r>
    </w:p>
    <w:p>
      <w:pPr>
        <w:spacing w:after="0" w:line="168"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We have not yet demonstrated our ability to successfully complete any clinical trials, including large</w:t>
      </w:r>
      <w:r>
        <w:rPr>
          <w:rFonts w:ascii="MS PGothic" w:cs="MS PGothic" w:eastAsia="MS PGothic" w:hAnsi="MS PGothic"/>
          <w:sz w:val="17"/>
          <w:szCs w:val="17"/>
          <w:color w:val="auto"/>
        </w:rPr>
        <w:t>‑</w:t>
      </w:r>
      <w:r>
        <w:rPr>
          <w:rFonts w:ascii="Arial" w:cs="Arial" w:eastAsia="Arial" w:hAnsi="Arial"/>
          <w:sz w:val="17"/>
          <w:szCs w:val="17"/>
          <w:color w:val="auto"/>
        </w:rPr>
        <w:t>scale, pivotal clinical trials, obtain regulatory approvals, manufacture a commercial scale drug, or arrange for a third party to do so on our behalf, or conduct sales and marketing activities necessary for successful commercialization. Typically, it takes many years to develop one new drug from the time it is discovered to when it is available for treating patients. Consequently, any predictions you make about our future success or viability may not be as accurate as they could be if we had a longer operating history. We will need to transition from a company with a research focus to a company capable of supporting commercial activities. We may not be successful in such a transition.</w:t>
      </w:r>
    </w:p>
    <w:p>
      <w:pPr>
        <w:spacing w:after="0" w:line="162" w:lineRule="exact"/>
        <w:rPr>
          <w:sz w:val="20"/>
          <w:szCs w:val="20"/>
          <w:color w:val="auto"/>
        </w:rPr>
      </w:pPr>
    </w:p>
    <w:p>
      <w:pPr>
        <w:ind w:right="140" w:firstLine="648"/>
        <w:spacing w:after="0" w:line="181" w:lineRule="exact"/>
        <w:rPr>
          <w:sz w:val="20"/>
          <w:szCs w:val="20"/>
          <w:color w:val="auto"/>
        </w:rPr>
      </w:pPr>
      <w:r>
        <w:rPr>
          <w:rFonts w:ascii="Arial" w:cs="Arial" w:eastAsia="Arial" w:hAnsi="Arial"/>
          <w:sz w:val="17"/>
          <w:szCs w:val="17"/>
          <w:color w:val="auto"/>
        </w:rPr>
        <w:t>Since inception, we have focused substantially all of our efforts and financial resources on developing our proprietary compound library, novel target discovery engine and initial drug candidates. To date, we have financed our operations primarily through public offerings of our common stock, private placements of our convertible preferred stock, collaborations and a debt financing. Through December 31, 2017, we have received an aggregate of $1.1 billion from such transactions, including $887.4 million in aggregate gross proceeds from the sale of common stock in our May 2015 initial public offering, or IPO, and December 2016, April 2017 and December 2017 follow</w:t>
      </w:r>
      <w:r>
        <w:rPr>
          <w:rFonts w:ascii="MS PGothic" w:cs="MS PGothic" w:eastAsia="MS PGothic" w:hAnsi="MS PGothic"/>
          <w:sz w:val="17"/>
          <w:szCs w:val="17"/>
          <w:color w:val="auto"/>
        </w:rPr>
        <w:t>‑</w:t>
      </w:r>
      <w:r>
        <w:rPr>
          <w:rFonts w:ascii="Arial" w:cs="Arial" w:eastAsia="Arial" w:hAnsi="Arial"/>
          <w:sz w:val="17"/>
          <w:szCs w:val="17"/>
          <w:color w:val="auto"/>
        </w:rPr>
        <w:t>on public offerings, $115.1 million in gross proceeds from the issuance of convertible preferred stock, $18.8 million of upfront and milestone payments under our former collaboration with Alexion Pharma Holding, or Alexion, a $45.0 million upfront payment under our existing collaboration with F. Hoffmann-La Roche Ltd and Hoffmann-La Roche Inc., which we refer to collectively as Roche, and $10.0 million in gross proceeds from the debt financing.</w:t>
      </w:r>
    </w:p>
    <w:p>
      <w:pPr>
        <w:spacing w:after="0" w:line="164"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Since inception, we have incurred significant operating losses. Our net losses were $148.1 million, $72.5 million and $52.8 million for the years ended December 31, 2017, 2016 and 2015, respectively. As of December 31, 2017, we had an accumulated deficit of $355.6 million.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181" w:lineRule="exact"/>
        <w:rPr>
          <w:sz w:val="20"/>
          <w:szCs w:val="20"/>
          <w:color w:val="auto"/>
        </w:rPr>
      </w:pPr>
      <w:r>
        <w:rPr>
          <w:rFonts w:ascii="Arial" w:cs="Arial" w:eastAsia="Arial" w:hAnsi="Arial"/>
          <w:sz w:val="17"/>
          <w:szCs w:val="17"/>
          <w:color w:val="auto"/>
        </w:rPr>
        <w:t>several years and for the foreseeable future. Our prior losses, combined with expected future losses, have had and will continue to have an adverse effect on our stockholders’ deficit and working capital. We expect our research and development expenses to significantly increase in connection with continuing our existing clinical trials and beginning additional clinical trials. In addition, if we obtain marketing approval for our drug candidates, we will incur significant sales, marketing and outsourced</w:t>
      </w:r>
      <w:r>
        <w:rPr>
          <w:rFonts w:ascii="MS PGothic" w:cs="MS PGothic" w:eastAsia="MS PGothic" w:hAnsi="MS PGothic"/>
          <w:sz w:val="17"/>
          <w:szCs w:val="17"/>
          <w:color w:val="auto"/>
        </w:rPr>
        <w:t>‑</w:t>
      </w:r>
      <w:r>
        <w:rPr>
          <w:rFonts w:ascii="Arial" w:cs="Arial" w:eastAsia="Arial" w:hAnsi="Arial"/>
          <w:sz w:val="17"/>
          <w:szCs w:val="17"/>
          <w:color w:val="auto"/>
        </w:rPr>
        <w:t>manufacturing expenses. We have incurred and will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revenue.</w:t>
      </w:r>
    </w:p>
    <w:p>
      <w:pPr>
        <w:spacing w:after="0" w:line="164" w:lineRule="exact"/>
        <w:rPr>
          <w:sz w:val="20"/>
          <w:szCs w:val="20"/>
          <w:color w:val="auto"/>
        </w:rPr>
      </w:pPr>
    </w:p>
    <w:p>
      <w:pPr>
        <w:ind w:right="60" w:firstLine="648"/>
        <w:spacing w:after="0" w:line="187" w:lineRule="exact"/>
        <w:rPr>
          <w:sz w:val="20"/>
          <w:szCs w:val="20"/>
          <w:color w:val="auto"/>
        </w:rPr>
      </w:pPr>
      <w:r>
        <w:rPr>
          <w:rFonts w:ascii="Arial" w:cs="Arial" w:eastAsia="Arial" w:hAnsi="Arial"/>
          <w:sz w:val="18"/>
          <w:szCs w:val="18"/>
          <w:color w:val="auto"/>
        </w:rPr>
        <w:t>To date, we have not generated any revenue from our most advanced drug candidates, avapritinib, BLU</w:t>
      </w:r>
      <w:r>
        <w:rPr>
          <w:rFonts w:ascii="MS PGothic" w:cs="MS PGothic" w:eastAsia="MS PGothic" w:hAnsi="MS PGothic"/>
          <w:sz w:val="18"/>
          <w:szCs w:val="18"/>
          <w:color w:val="auto"/>
        </w:rPr>
        <w:t>‑</w:t>
      </w:r>
      <w:r>
        <w:rPr>
          <w:rFonts w:ascii="Arial" w:cs="Arial" w:eastAsia="Arial" w:hAnsi="Arial"/>
          <w:sz w:val="18"/>
          <w:szCs w:val="18"/>
          <w:color w:val="auto"/>
        </w:rPr>
        <w:t>554 and BLU</w:t>
      </w:r>
      <w:r>
        <w:rPr>
          <w:rFonts w:ascii="MS PGothic" w:cs="MS PGothic" w:eastAsia="MS PGothic" w:hAnsi="MS PGothic"/>
          <w:sz w:val="18"/>
          <w:szCs w:val="18"/>
          <w:color w:val="auto"/>
        </w:rPr>
        <w:t>‑</w:t>
      </w:r>
      <w:r>
        <w:rPr>
          <w:rFonts w:ascii="Arial" w:cs="Arial" w:eastAsia="Arial" w:hAnsi="Arial"/>
          <w:sz w:val="18"/>
          <w:szCs w:val="18"/>
          <w:color w:val="auto"/>
        </w:rPr>
        <w:t>667, and we do not expect to generate any revenue from the sale of drugs in the near future. We do not expect to generate significant revenue unless and until we obtain marketing approval of, and begin to sell, avapritinib, BLU</w:t>
      </w:r>
      <w:r>
        <w:rPr>
          <w:rFonts w:ascii="MS PGothic" w:cs="MS PGothic" w:eastAsia="MS PGothic" w:hAnsi="MS PGothic"/>
          <w:sz w:val="18"/>
          <w:szCs w:val="18"/>
          <w:color w:val="auto"/>
        </w:rPr>
        <w:t>‑</w:t>
      </w:r>
      <w:r>
        <w:rPr>
          <w:rFonts w:ascii="Arial" w:cs="Arial" w:eastAsia="Arial" w:hAnsi="Arial"/>
          <w:sz w:val="18"/>
          <w:szCs w:val="18"/>
          <w:color w:val="auto"/>
        </w:rPr>
        <w:t>554, BLU</w:t>
      </w:r>
      <w:r>
        <w:rPr>
          <w:rFonts w:ascii="MS PGothic" w:cs="MS PGothic" w:eastAsia="MS PGothic" w:hAnsi="MS PGothic"/>
          <w:sz w:val="18"/>
          <w:szCs w:val="18"/>
          <w:color w:val="auto"/>
        </w:rPr>
        <w:t>‑</w:t>
      </w:r>
      <w:r>
        <w:rPr>
          <w:rFonts w:ascii="Arial" w:cs="Arial" w:eastAsia="Arial" w:hAnsi="Arial"/>
          <w:sz w:val="18"/>
          <w:szCs w:val="18"/>
          <w:color w:val="auto"/>
        </w:rPr>
        <w:t>667 or one of our other drug candidates. Our ability to generate revenue depends on a number of factors, including, but not limited to, our ability to:</w:t>
      </w:r>
    </w:p>
    <w:p>
      <w:pPr>
        <w:spacing w:after="0" w:line="162" w:lineRule="exact"/>
        <w:rPr>
          <w:sz w:val="20"/>
          <w:szCs w:val="20"/>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initiate and successfully complete clinical trials that meet their clinical endpoints;</w:t>
      </w:r>
    </w:p>
    <w:p>
      <w:pPr>
        <w:spacing w:after="0" w:line="184" w:lineRule="exact"/>
        <w:rPr>
          <w:rFonts w:ascii="Arial" w:cs="Arial" w:eastAsia="Arial" w:hAnsi="Arial"/>
          <w:sz w:val="18"/>
          <w:szCs w:val="18"/>
          <w:color w:val="auto"/>
        </w:rPr>
      </w:pPr>
    </w:p>
    <w:p>
      <w:pPr>
        <w:ind w:left="1300" w:right="80" w:hanging="325"/>
        <w:spacing w:after="0" w:line="235"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initiate and successfully complete all safety studies required to obtain U.S. and foreign marketing approval for our drug candidates;</w:t>
      </w:r>
    </w:p>
    <w:p>
      <w:pPr>
        <w:spacing w:after="0" w:line="161" w:lineRule="exact"/>
        <w:rPr>
          <w:rFonts w:ascii="Arial" w:cs="Arial" w:eastAsia="Arial" w:hAnsi="Arial"/>
          <w:sz w:val="18"/>
          <w:szCs w:val="18"/>
          <w:color w:val="auto"/>
        </w:rPr>
      </w:pPr>
    </w:p>
    <w:p>
      <w:pPr>
        <w:ind w:left="1300" w:right="120" w:hanging="325"/>
        <w:spacing w:after="0" w:line="235"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commercial manufacturing capabilities or make arrangements with third-party manufacturers for clinical supply and commercial manufacturing;</w:t>
      </w:r>
    </w:p>
    <w:p>
      <w:pPr>
        <w:spacing w:after="0" w:line="161" w:lineRule="exact"/>
        <w:rPr>
          <w:rFonts w:ascii="Arial" w:cs="Arial" w:eastAsia="Arial" w:hAnsi="Arial"/>
          <w:sz w:val="18"/>
          <w:szCs w:val="18"/>
          <w:color w:val="auto"/>
        </w:rPr>
      </w:pPr>
    </w:p>
    <w:p>
      <w:pPr>
        <w:ind w:left="1300" w:right="360" w:hanging="325"/>
        <w:spacing w:after="0" w:line="235"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commercialize our drug candidates, if approved, by developing a sales force or entering into additional collaborations with third parties; and</w:t>
      </w:r>
    </w:p>
    <w:p>
      <w:pPr>
        <w:spacing w:after="0" w:line="161" w:lineRule="exact"/>
        <w:rPr>
          <w:rFonts w:ascii="Arial" w:cs="Arial" w:eastAsia="Arial" w:hAnsi="Arial"/>
          <w:sz w:val="18"/>
          <w:szCs w:val="18"/>
          <w:color w:val="auto"/>
        </w:rPr>
      </w:pPr>
    </w:p>
    <w:p>
      <w:pPr>
        <w:ind w:left="1300" w:hanging="325"/>
        <w:spacing w:after="0" w:line="184" w:lineRule="exact"/>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achieve market acceptance of our drug candidates in the medical community and with third</w:t>
      </w:r>
      <w:r>
        <w:rPr>
          <w:rFonts w:ascii="MS PGothic" w:cs="MS PGothic" w:eastAsia="MS PGothic" w:hAnsi="MS PGothic"/>
          <w:sz w:val="16"/>
          <w:szCs w:val="16"/>
          <w:color w:val="auto"/>
        </w:rPr>
        <w:t>‑</w:t>
      </w:r>
      <w:r>
        <w:rPr>
          <w:rFonts w:ascii="Arial" w:cs="Arial" w:eastAsia="Arial" w:hAnsi="Arial"/>
          <w:sz w:val="16"/>
          <w:szCs w:val="16"/>
          <w:color w:val="auto"/>
        </w:rPr>
        <w:t>party payors.</w:t>
      </w:r>
    </w:p>
    <w:p>
      <w:pPr>
        <w:spacing w:after="0" w:line="208" w:lineRule="exact"/>
        <w:rPr>
          <w:sz w:val="20"/>
          <w:szCs w:val="20"/>
          <w:color w:val="auto"/>
        </w:rPr>
      </w:pPr>
    </w:p>
    <w:p>
      <w:pPr>
        <w:ind w:right="120" w:firstLine="648"/>
        <w:spacing w:after="0" w:line="229" w:lineRule="auto"/>
        <w:rPr>
          <w:sz w:val="20"/>
          <w:szCs w:val="20"/>
          <w:color w:val="auto"/>
        </w:rPr>
      </w:pPr>
      <w:r>
        <w:rPr>
          <w:rFonts w:ascii="Arial" w:cs="Arial" w:eastAsia="Arial" w:hAnsi="Arial"/>
          <w:sz w:val="17"/>
          <w:szCs w:val="17"/>
          <w:color w:val="auto"/>
        </w:rPr>
        <w:t>We expect to incur significant sales and marketing costs as we prepare to commercialize our drug candidates.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drug revenue, we will not become profitable and may be unable to continue operations without continued funding.</w:t>
      </w:r>
    </w:p>
    <w:p>
      <w:pPr>
        <w:spacing w:after="0" w:line="161"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b w:val="1"/>
          <w:bCs w:val="1"/>
          <w:i w:val="1"/>
          <w:iCs w:val="1"/>
          <w:color w:val="auto"/>
        </w:rPr>
        <w:t>We may need to raise substantial additional funding. If we are unable to raise capital when needed, we would be forced to delay, reduce or eliminate some of our drug development programs or commercialization efforts.</w:t>
      </w:r>
    </w:p>
    <w:p>
      <w:pPr>
        <w:spacing w:after="0" w:line="147"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The development of pharmaceuticals is capital</w:t>
      </w:r>
      <w:r>
        <w:rPr>
          <w:rFonts w:ascii="MS PGothic" w:cs="MS PGothic" w:eastAsia="MS PGothic" w:hAnsi="MS PGothic"/>
          <w:sz w:val="16"/>
          <w:szCs w:val="16"/>
          <w:color w:val="auto"/>
        </w:rPr>
        <w:t>‑</w:t>
      </w:r>
      <w:r>
        <w:rPr>
          <w:rFonts w:ascii="Arial" w:cs="Arial" w:eastAsia="Arial" w:hAnsi="Arial"/>
          <w:sz w:val="16"/>
          <w:szCs w:val="16"/>
          <w:color w:val="auto"/>
        </w:rPr>
        <w:t>intensive. We are currently advancing our most advanced drug candidates, avapritinib, BLU</w:t>
      </w:r>
      <w:r>
        <w:rPr>
          <w:rFonts w:ascii="MS PGothic" w:cs="MS PGothic" w:eastAsia="MS PGothic" w:hAnsi="MS PGothic"/>
          <w:sz w:val="16"/>
          <w:szCs w:val="16"/>
          <w:color w:val="auto"/>
        </w:rPr>
        <w:t>‑</w:t>
      </w:r>
      <w:r>
        <w:rPr>
          <w:rFonts w:ascii="Arial" w:cs="Arial" w:eastAsia="Arial" w:hAnsi="Arial"/>
          <w:sz w:val="16"/>
          <w:szCs w:val="16"/>
          <w:color w:val="auto"/>
        </w:rPr>
        <w:t>554 and BLU</w:t>
      </w:r>
      <w:r>
        <w:rPr>
          <w:rFonts w:ascii="MS PGothic" w:cs="MS PGothic" w:eastAsia="MS PGothic" w:hAnsi="MS PGothic"/>
          <w:sz w:val="16"/>
          <w:szCs w:val="16"/>
          <w:color w:val="auto"/>
        </w:rPr>
        <w:t>‑</w:t>
      </w:r>
      <w:r>
        <w:rPr>
          <w:rFonts w:ascii="Arial" w:cs="Arial" w:eastAsia="Arial" w:hAnsi="Arial"/>
          <w:sz w:val="16"/>
          <w:szCs w:val="16"/>
          <w:color w:val="auto"/>
        </w:rPr>
        <w:t>667, through clinical development. We expect our expenses to increase in connection with our ongoing activities, particularly as we continue the research and development of, initiate or continue clinical trials of, and seek marketing approval for, our drug candidates. In addition, depending on the status of regulatory approval or, if we obtain marketing approval for any of our drug candidates, we expect to incur significant commercialization expenses related to drug sales, marketing, manufacturing and distribution to the extent that such sales, marketing, manufacturing and distribution are not the responsibility of Roche or other collaborators. We may also need to raise additional funds sooner if we choose to pursue additional indications or geographies for our drug candidates or otherwise expand more rapidly than we presently anticipate.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16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6"/>
          <w:szCs w:val="16"/>
          <w:color w:val="auto"/>
        </w:rPr>
        <w:t>As of December 31, 2017, we had cash, cash equivalents and investments of $673.4 million. Based on our current plans, we believe our existing cash, cash equivalents and investments, excluding any potential option fees and milestone payments under our existing collaboration with Roche, will be sufficient to enable us to fund our operating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expenses and capital expenditure requirements into the middle of 2020. Our future capital requirements will depend on and could increase significantly as a result of many factors, including:</w:t>
      </w:r>
    </w:p>
    <w:p>
      <w:pPr>
        <w:spacing w:after="0" w:line="162" w:lineRule="exact"/>
        <w:rPr>
          <w:sz w:val="20"/>
          <w:szCs w:val="20"/>
          <w:color w:val="auto"/>
        </w:rPr>
      </w:pPr>
    </w:p>
    <w:p>
      <w:pPr>
        <w:ind w:left="1300" w:right="260" w:hanging="325"/>
        <w:spacing w:after="0" w:line="235"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trials for our drug candidates;</w:t>
      </w:r>
    </w:p>
    <w:p>
      <w:pPr>
        <w:spacing w:after="0" w:line="161" w:lineRule="exact"/>
        <w:rPr>
          <w:rFonts w:ascii="Arial" w:cs="Arial" w:eastAsia="Arial" w:hAnsi="Arial"/>
          <w:sz w:val="18"/>
          <w:szCs w:val="18"/>
          <w:color w:val="auto"/>
        </w:rPr>
      </w:pPr>
    </w:p>
    <w:p>
      <w:pPr>
        <w:ind w:left="1300" w:hanging="325"/>
        <w:spacing w:after="0" w:line="235"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securing and producing drug substance and drug product material for use in pre-clinical studies, clinical trials and for use as commercial supply;</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scope, prioritization and number of our research and development programs;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success of our collaboration with Roche;</w:t>
      </w:r>
    </w:p>
    <w:p>
      <w:pPr>
        <w:spacing w:after="0" w:line="184" w:lineRule="exact"/>
        <w:rPr>
          <w:rFonts w:ascii="Arial" w:cs="Arial" w:eastAsia="Arial" w:hAnsi="Arial"/>
          <w:sz w:val="18"/>
          <w:szCs w:val="18"/>
          <w:color w:val="auto"/>
        </w:rPr>
      </w:pPr>
    </w:p>
    <w:p>
      <w:pPr>
        <w:ind w:left="1300" w:hanging="325"/>
        <w:spacing w:after="0" w:line="219"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success of our current or future collaborations for companion diagnostic tests, including our companion diagnostic tests for avapritinib in order to identify GIST patients with the PDGFRα D842V mutation, BLU-554 in order to identify HCC patients with FGFR4 pathway activation and BLU-667 in order to identify NSCLC patients with RET fusions;</w:t>
      </w:r>
    </w:p>
    <w:p>
      <w:pPr>
        <w:spacing w:after="0" w:line="162" w:lineRule="exact"/>
        <w:rPr>
          <w:rFonts w:ascii="Arial" w:cs="Arial" w:eastAsia="Arial" w:hAnsi="Arial"/>
          <w:sz w:val="18"/>
          <w:szCs w:val="18"/>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drug candidates;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on favorable terms, if at all;</w:t>
      </w:r>
    </w:p>
    <w:p>
      <w:pPr>
        <w:spacing w:after="0" w:line="184" w:lineRule="exact"/>
        <w:rPr>
          <w:rFonts w:ascii="Arial" w:cs="Arial" w:eastAsia="Arial" w:hAnsi="Arial"/>
          <w:sz w:val="18"/>
          <w:szCs w:val="18"/>
          <w:color w:val="auto"/>
        </w:rPr>
      </w:pPr>
    </w:p>
    <w:p>
      <w:pPr>
        <w:ind w:left="1300" w:right="160" w:hanging="325"/>
        <w:spacing w:after="0" w:line="289" w:lineRule="auto"/>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achievement of milestones or occurrence of other developments that trigger payments under our collaboration agreement with Roche or any collaboration agreements that we may enter into in the future;</w:t>
      </w:r>
    </w:p>
    <w:p>
      <w:pPr>
        <w:spacing w:after="0" w:line="124" w:lineRule="exact"/>
        <w:rPr>
          <w:rFonts w:ascii="Arial" w:cs="Arial" w:eastAsia="Arial" w:hAnsi="Arial"/>
          <w:sz w:val="16"/>
          <w:szCs w:val="16"/>
          <w:color w:val="auto"/>
        </w:rPr>
      </w:pPr>
    </w:p>
    <w:p>
      <w:pPr>
        <w:ind w:left="1300" w:right="60" w:hanging="325"/>
        <w:spacing w:after="0" w:line="235"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to which we are obligated to reimburse, or entitled to reimbursement of, clinical trial costs under future collaboration agreements, if any;</w:t>
      </w:r>
    </w:p>
    <w:p>
      <w:pPr>
        <w:spacing w:after="0" w:line="161" w:lineRule="exact"/>
        <w:rPr>
          <w:rFonts w:ascii="Arial" w:cs="Arial" w:eastAsia="Arial" w:hAnsi="Arial"/>
          <w:sz w:val="18"/>
          <w:szCs w:val="18"/>
          <w:color w:val="auto"/>
        </w:rPr>
      </w:pPr>
    </w:p>
    <w:p>
      <w:pPr>
        <w:ind w:left="1300" w:right="20" w:hanging="325"/>
        <w:spacing w:after="0" w:line="235"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drug candidates and technologies; and</w:t>
      </w:r>
    </w:p>
    <w:p>
      <w:pPr>
        <w:spacing w:after="0" w:line="184" w:lineRule="exact"/>
        <w:rPr>
          <w:rFonts w:ascii="Arial" w:cs="Arial" w:eastAsia="Arial" w:hAnsi="Arial"/>
          <w:sz w:val="18"/>
          <w:szCs w:val="18"/>
          <w:color w:val="auto"/>
        </w:rPr>
      </w:pPr>
    </w:p>
    <w:p>
      <w:pPr>
        <w:ind w:left="1300" w:right="560" w:hanging="325"/>
        <w:spacing w:after="0" w:line="235"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marketing and distribution capabilities if we obtain regulatory approvals to market our drug candidates.</w:t>
      </w:r>
    </w:p>
    <w:p>
      <w:pPr>
        <w:spacing w:after="0" w:line="162" w:lineRule="exact"/>
        <w:rPr>
          <w:sz w:val="20"/>
          <w:szCs w:val="20"/>
          <w:color w:val="auto"/>
        </w:rPr>
      </w:pPr>
    </w:p>
    <w:p>
      <w:pPr>
        <w:ind w:firstLine="648"/>
        <w:spacing w:after="0" w:line="185" w:lineRule="exact"/>
        <w:rPr>
          <w:sz w:val="20"/>
          <w:szCs w:val="20"/>
          <w:color w:val="auto"/>
        </w:rPr>
      </w:pPr>
      <w:r>
        <w:rPr>
          <w:rFonts w:ascii="Arial" w:cs="Arial" w:eastAsia="Arial" w:hAnsi="Arial"/>
          <w:sz w:val="18"/>
          <w:szCs w:val="18"/>
          <w:color w:val="auto"/>
        </w:rPr>
        <w:t>Identifying potential drug candidates and conducting pre-clinical development and testing and clinical trials is a time</w:t>
      </w:r>
      <w:r>
        <w:rPr>
          <w:rFonts w:ascii="MS PGothic" w:cs="MS PGothic" w:eastAsia="MS PGothic" w:hAnsi="MS PGothic"/>
          <w:sz w:val="18"/>
          <w:szCs w:val="18"/>
          <w:color w:val="auto"/>
        </w:rPr>
        <w:t>‑</w:t>
      </w:r>
      <w:r>
        <w:rPr>
          <w:rFonts w:ascii="Arial" w:cs="Arial" w:eastAsia="Arial" w:hAnsi="Arial"/>
          <w:sz w:val="18"/>
          <w:szCs w:val="18"/>
          <w:color w:val="auto"/>
        </w:rPr>
        <w:t>consuming, expensive and uncertain process that takes years to complete, and we may never generate the necessary data or results required to obtain marketing approval and achieve drug sales. In addition, our drug candidates, if approved, may not achieve commercial success. Our commercial revenues, if any, will be derived from sales of drugs that we do not expect to be commercially available for many years, if at all. Accordingly, we will need to continue to rely on additional financing to achieve our business objectives.</w:t>
      </w:r>
    </w:p>
    <w:p>
      <w:pPr>
        <w:spacing w:after="0" w:line="162" w:lineRule="exact"/>
        <w:rPr>
          <w:sz w:val="20"/>
          <w:szCs w:val="20"/>
          <w:color w:val="auto"/>
        </w:rPr>
      </w:pPr>
    </w:p>
    <w:p>
      <w:pPr>
        <w:ind w:right="60" w:firstLine="648"/>
        <w:spacing w:after="0" w:line="180" w:lineRule="exact"/>
        <w:rPr>
          <w:sz w:val="20"/>
          <w:szCs w:val="20"/>
          <w:color w:val="auto"/>
        </w:rPr>
      </w:pPr>
      <w:r>
        <w:rPr>
          <w:rFonts w:ascii="Arial" w:cs="Arial" w:eastAsia="Arial" w:hAnsi="Arial"/>
          <w:sz w:val="16"/>
          <w:szCs w:val="16"/>
          <w:color w:val="auto"/>
        </w:rPr>
        <w:t>Any additional fundraising efforts may divert our management from their day</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80"/>
        <w:spacing w:after="0" w:line="258" w:lineRule="auto"/>
        <w:rPr>
          <w:sz w:val="20"/>
          <w:szCs w:val="20"/>
          <w:color w:val="auto"/>
        </w:rPr>
      </w:pPr>
      <w:r>
        <w:rPr>
          <w:rFonts w:ascii="Arial" w:cs="Arial" w:eastAsia="Arial" w:hAnsi="Arial"/>
          <w:sz w:val="17"/>
          <w:szCs w:val="17"/>
          <w:color w:val="auto"/>
        </w:rPr>
        <w:t>required to relinquish rights to some of our technologies or drug candidates or otherwise agree to terms unfavorable to us, any of which may have a material adverse effect on our business, operating results and prospects.</w:t>
      </w:r>
    </w:p>
    <w:p>
      <w:pPr>
        <w:spacing w:after="0" w:line="147"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If we are unable to obtain funding on a timely basis, we may be required to significantly curtail, delay or discontinue one or more of our research or development programs or the commercialization of any drug candidate or be unable to expand our operations or otherwise capitalize on our business opportunities, as desired, which could materially affect our business, financial condition and results of operations.</w:t>
      </w:r>
    </w:p>
    <w:p>
      <w:pPr>
        <w:spacing w:after="0" w:line="16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162" w:lineRule="exact"/>
        <w:rPr>
          <w:sz w:val="20"/>
          <w:szCs w:val="20"/>
          <w:color w:val="auto"/>
        </w:rPr>
      </w:pPr>
    </w:p>
    <w:p>
      <w:pPr>
        <w:ind w:right="20" w:firstLine="648"/>
        <w:spacing w:after="0" w:line="222" w:lineRule="auto"/>
        <w:rPr>
          <w:sz w:val="20"/>
          <w:szCs w:val="20"/>
          <w:color w:val="auto"/>
        </w:rPr>
      </w:pPr>
      <w:r>
        <w:rPr>
          <w:rFonts w:ascii="Arial" w:cs="Arial" w:eastAsia="Arial" w:hAnsi="Arial"/>
          <w:sz w:val="17"/>
          <w:szCs w:val="17"/>
          <w:color w:val="auto"/>
        </w:rPr>
        <w:t>Until such time, if ever, as we can generate substantial drug revenues, we expect to finance our cash needs through a combination of public and private equity offerings, debt financings, collaborations, strategic alliances and licensing arrangements. We do not have any committed external source of funds, other than our collaboration with Roche, which is limited in scope and duration, and funds already borrowed under the loan and security agreement that we entered into with Silicon Valley Bank in May 2013.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64" w:lineRule="exact"/>
        <w:rPr>
          <w:sz w:val="20"/>
          <w:szCs w:val="20"/>
          <w:color w:val="auto"/>
        </w:rPr>
      </w:pPr>
    </w:p>
    <w:p>
      <w:pPr>
        <w:ind w:right="180" w:firstLine="648"/>
        <w:spacing w:after="0" w:line="214"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intellectual property,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Drug Development and Regulatory Approval</w:t>
      </w:r>
    </w:p>
    <w:p>
      <w:pPr>
        <w:spacing w:after="0" w:line="189" w:lineRule="exact"/>
        <w:rPr>
          <w:sz w:val="20"/>
          <w:szCs w:val="20"/>
          <w:color w:val="auto"/>
        </w:rPr>
      </w:pPr>
    </w:p>
    <w:p>
      <w:pPr>
        <w:ind w:right="80"/>
        <w:spacing w:after="0" w:line="187" w:lineRule="exact"/>
        <w:rPr>
          <w:sz w:val="20"/>
          <w:szCs w:val="20"/>
          <w:color w:val="auto"/>
        </w:rPr>
      </w:pPr>
      <w:r>
        <w:rPr>
          <w:rFonts w:ascii="Arial" w:cs="Arial" w:eastAsia="Arial" w:hAnsi="Arial"/>
          <w:sz w:val="15"/>
          <w:szCs w:val="15"/>
          <w:b w:val="1"/>
          <w:bCs w:val="1"/>
          <w:i w:val="1"/>
          <w:iCs w:val="1"/>
          <w:color w:val="auto"/>
        </w:rPr>
        <w:t>We are very early in our development efforts with only three drug candidates, avapritinib, BLU</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554 and BLU</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667, in clinical development. All of our other drug candidates are currently in pre-clinical or earlier stages of development. If we are unable to advance our other drug candidates to clinical development, obtain regulatory approval for our most advanced drug candidates or other drug candidates and ultimately commercialize our most advanced drug candidates or other drug candidates, or experience significant delays in doing so, our business will be materially harmed.</w:t>
      </w:r>
    </w:p>
    <w:p>
      <w:pPr>
        <w:spacing w:after="0" w:line="163" w:lineRule="exact"/>
        <w:rPr>
          <w:sz w:val="20"/>
          <w:szCs w:val="20"/>
          <w:color w:val="auto"/>
        </w:rPr>
      </w:pPr>
    </w:p>
    <w:p>
      <w:pPr>
        <w:ind w:firstLine="648"/>
        <w:spacing w:after="0" w:line="179" w:lineRule="exact"/>
        <w:rPr>
          <w:sz w:val="20"/>
          <w:szCs w:val="20"/>
          <w:color w:val="auto"/>
        </w:rPr>
      </w:pPr>
      <w:r>
        <w:rPr>
          <w:rFonts w:ascii="Arial" w:cs="Arial" w:eastAsia="Arial" w:hAnsi="Arial"/>
          <w:sz w:val="17"/>
          <w:szCs w:val="17"/>
          <w:color w:val="auto"/>
        </w:rPr>
        <w:t>We are very early in our development efforts with only three drug candidates, avapritinib, BLU</w:t>
      </w:r>
      <w:r>
        <w:rPr>
          <w:rFonts w:ascii="MS PGothic" w:cs="MS PGothic" w:eastAsia="MS PGothic" w:hAnsi="MS PGothic"/>
          <w:sz w:val="17"/>
          <w:szCs w:val="17"/>
          <w:color w:val="auto"/>
        </w:rPr>
        <w:t>‑</w:t>
      </w:r>
      <w:r>
        <w:rPr>
          <w:rFonts w:ascii="Arial" w:cs="Arial" w:eastAsia="Arial" w:hAnsi="Arial"/>
          <w:sz w:val="17"/>
          <w:szCs w:val="17"/>
          <w:color w:val="auto"/>
        </w:rPr>
        <w:t>554 and BLU</w:t>
      </w:r>
      <w:r>
        <w:rPr>
          <w:rFonts w:ascii="MS PGothic" w:cs="MS PGothic" w:eastAsia="MS PGothic" w:hAnsi="MS PGothic"/>
          <w:sz w:val="17"/>
          <w:szCs w:val="17"/>
          <w:color w:val="auto"/>
        </w:rPr>
        <w:t>‑</w:t>
      </w:r>
      <w:r>
        <w:rPr>
          <w:rFonts w:ascii="Arial" w:cs="Arial" w:eastAsia="Arial" w:hAnsi="Arial"/>
          <w:sz w:val="17"/>
          <w:szCs w:val="17"/>
          <w:color w:val="auto"/>
        </w:rPr>
        <w:t>667, in clinical development. All of our other drug candidates are currently in pre-clinical or earlier stages of development. We have invested substantially all of our efforts and financial resources in the identification and pre-clinical development of kinase inhibitors, including the development of our drug candidates avapritinib, BLU</w:t>
      </w:r>
      <w:r>
        <w:rPr>
          <w:rFonts w:ascii="MS PGothic" w:cs="MS PGothic" w:eastAsia="MS PGothic" w:hAnsi="MS PGothic"/>
          <w:sz w:val="17"/>
          <w:szCs w:val="17"/>
          <w:color w:val="auto"/>
        </w:rPr>
        <w:t>‑</w:t>
      </w:r>
      <w:r>
        <w:rPr>
          <w:rFonts w:ascii="Arial" w:cs="Arial" w:eastAsia="Arial" w:hAnsi="Arial"/>
          <w:sz w:val="17"/>
          <w:szCs w:val="17"/>
          <w:color w:val="auto"/>
        </w:rPr>
        <w:t>554 and BLU</w:t>
      </w:r>
      <w:r>
        <w:rPr>
          <w:rFonts w:ascii="MS PGothic" w:cs="MS PGothic" w:eastAsia="MS PGothic" w:hAnsi="MS PGothic"/>
          <w:sz w:val="17"/>
          <w:szCs w:val="17"/>
          <w:color w:val="auto"/>
        </w:rPr>
        <w:t>‑</w:t>
      </w:r>
      <w:r>
        <w:rPr>
          <w:rFonts w:ascii="Arial" w:cs="Arial" w:eastAsia="Arial" w:hAnsi="Arial"/>
          <w:sz w:val="17"/>
          <w:szCs w:val="17"/>
          <w:color w:val="auto"/>
        </w:rPr>
        <w:t>667. Our ability to generate drug revenues, which we do not expect will occur for many years, if ever, will depend heavily on the successful development and eventual commercialization of our drug candidates, which may never occur. We currently generate no revenues from sales of any drugs, and we may never be able to develop or commercialize a marketable drug. Each of our drug candidates will require additional pre-clinical or clinical development, management of clinical, pre-clinical and manufacturing activities, regulatory approval in multiple jurisdictions, obtaining manufacturing supply, building of a commercial organization, substantial investment and significant marketing efforts before we generate any revenues from drug sales. In addition, for some of our drug candidates, in order to select patients most likely to respond to treatment and rapidly confirm mechanistic and clinical proof-of-concept, we may seek to develop companion diagnostic tests, which are assays or tests to identify an appropriate patient population. For example, we have entered into agreements with third parties to develop and commercialize companion diagnostics for avapritinib in order to identify GIST patients with the PDGFRα D842V mutation, BLU-554 in order to identify HCC patients with FGFR4 pathway activation and BLU-667 in order to identify NSCLC patients with RET fusions. Companion diagnostic tests are subject to regulation as medical devices and must themselves be approved for marketing by the FDA or certain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other foreign regulatory agencies before we may commercialize our drug candidates. The success of our most advanced drug candidates and other drug candidates will depend on several factors, including the following:</w:t>
      </w:r>
    </w:p>
    <w:p>
      <w:pPr>
        <w:spacing w:after="0" w:line="162" w:lineRule="exact"/>
        <w:rPr>
          <w:sz w:val="20"/>
          <w:szCs w:val="20"/>
          <w:color w:val="auto"/>
        </w:rPr>
      </w:pPr>
    </w:p>
    <w:p>
      <w:pPr>
        <w:ind w:left="1300" w:right="140" w:hanging="325"/>
        <w:spacing w:after="0" w:line="203" w:lineRule="exact"/>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 including our current Phase 1 clinical trials for avapritinib, BLU</w:t>
      </w:r>
      <w:r>
        <w:rPr>
          <w:rFonts w:ascii="MS PGothic" w:cs="MS PGothic" w:eastAsia="MS PGothic" w:hAnsi="MS PGothic"/>
          <w:sz w:val="18"/>
          <w:szCs w:val="18"/>
          <w:color w:val="auto"/>
        </w:rPr>
        <w:t>‑</w:t>
      </w:r>
      <w:r>
        <w:rPr>
          <w:rFonts w:ascii="Arial" w:cs="Arial" w:eastAsia="Arial" w:hAnsi="Arial"/>
          <w:sz w:val="18"/>
          <w:szCs w:val="18"/>
          <w:color w:val="auto"/>
        </w:rPr>
        <w:t>554 and BLU</w:t>
      </w:r>
      <w:r>
        <w:rPr>
          <w:rFonts w:ascii="MS PGothic" w:cs="MS PGothic" w:eastAsia="MS PGothic" w:hAnsi="MS PGothic"/>
          <w:sz w:val="18"/>
          <w:szCs w:val="18"/>
          <w:color w:val="auto"/>
        </w:rPr>
        <w:t>‑</w:t>
      </w:r>
      <w:r>
        <w:rPr>
          <w:rFonts w:ascii="Arial" w:cs="Arial" w:eastAsia="Arial" w:hAnsi="Arial"/>
          <w:sz w:val="18"/>
          <w:szCs w:val="18"/>
          <w:color w:val="auto"/>
        </w:rPr>
        <w:t>667;</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 completion of pre-clinical studies for our other drug candidates;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approval of Investigational New Drug applications for future clinical trials for our other drug candidates;</w:t>
      </w:r>
    </w:p>
    <w:p>
      <w:pPr>
        <w:spacing w:after="0" w:line="196" w:lineRule="exact"/>
        <w:rPr>
          <w:rFonts w:ascii="Arial" w:cs="Arial" w:eastAsia="Arial" w:hAnsi="Arial"/>
          <w:sz w:val="17"/>
          <w:szCs w:val="17"/>
          <w:color w:val="auto"/>
        </w:rPr>
      </w:pPr>
    </w:p>
    <w:p>
      <w:pPr>
        <w:ind w:left="1300" w:right="140" w:hanging="325"/>
        <w:spacing w:after="0" w:line="232"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successful development of any companion diagnostic tests for use with our drug candidates, including the development of a companion diagnostic test for avapritinib in order to identify GIST patients with the PDGFRα D842V mutation, BLU-554 in order to identify HCC patients with FGFR4 pathway activation and BLU-667 in order to identify NSCLC patients with RET fusions;</w:t>
      </w:r>
    </w:p>
    <w:p>
      <w:pPr>
        <w:spacing w:after="0" w:line="162" w:lineRule="exact"/>
        <w:rPr>
          <w:rFonts w:ascii="Arial" w:cs="Arial" w:eastAsia="Arial" w:hAnsi="Arial"/>
          <w:sz w:val="17"/>
          <w:szCs w:val="17"/>
          <w:color w:val="auto"/>
        </w:rPr>
      </w:pPr>
    </w:p>
    <w:p>
      <w:pPr>
        <w:ind w:left="1300" w:hanging="32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w:t>
      </w:r>
    </w:p>
    <w:p>
      <w:pPr>
        <w:spacing w:after="0" w:line="184" w:lineRule="exact"/>
        <w:rPr>
          <w:rFonts w:ascii="Arial" w:cs="Arial" w:eastAsia="Arial" w:hAnsi="Arial"/>
          <w:sz w:val="18"/>
          <w:szCs w:val="18"/>
          <w:color w:val="auto"/>
        </w:rPr>
      </w:pPr>
    </w:p>
    <w:p>
      <w:pPr>
        <w:ind w:left="1300" w:hanging="325"/>
        <w:spacing w:after="0" w:line="235"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 for clinical supply and commercial manufacturing;</w:t>
      </w:r>
    </w:p>
    <w:p>
      <w:pPr>
        <w:spacing w:after="0" w:line="161" w:lineRule="exact"/>
        <w:rPr>
          <w:rFonts w:ascii="Arial" w:cs="Arial" w:eastAsia="Arial" w:hAnsi="Arial"/>
          <w:sz w:val="18"/>
          <w:szCs w:val="18"/>
          <w:color w:val="auto"/>
        </w:rPr>
      </w:pPr>
    </w:p>
    <w:p>
      <w:pPr>
        <w:ind w:left="1300" w:right="700" w:hanging="325"/>
        <w:spacing w:after="0" w:line="235"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drug candidates;</w:t>
      </w:r>
    </w:p>
    <w:p>
      <w:pPr>
        <w:spacing w:after="0" w:line="161" w:lineRule="exact"/>
        <w:rPr>
          <w:rFonts w:ascii="Arial" w:cs="Arial" w:eastAsia="Arial" w:hAnsi="Arial"/>
          <w:sz w:val="18"/>
          <w:szCs w:val="18"/>
          <w:color w:val="auto"/>
        </w:rPr>
      </w:pPr>
    </w:p>
    <w:p>
      <w:pPr>
        <w:ind w:left="1300" w:right="960" w:hanging="325"/>
        <w:spacing w:after="0" w:line="235"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launching commercial sales of our drug candidates, if and when approved, whether alone or in collaboration with others;</w:t>
      </w:r>
    </w:p>
    <w:p>
      <w:pPr>
        <w:spacing w:after="0" w:line="161" w:lineRule="exact"/>
        <w:rPr>
          <w:rFonts w:ascii="Arial" w:cs="Arial" w:eastAsia="Arial" w:hAnsi="Arial"/>
          <w:sz w:val="18"/>
          <w:szCs w:val="18"/>
          <w:color w:val="auto"/>
        </w:rPr>
      </w:pPr>
    </w:p>
    <w:p>
      <w:pPr>
        <w:ind w:left="1300" w:right="260" w:hanging="325"/>
        <w:spacing w:after="0" w:line="235"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acceptance of the drug candidates, if and when approved, by patients, the medical community and third-party payors;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drug candidates following approval.</w:t>
      </w:r>
    </w:p>
    <w:p>
      <w:pPr>
        <w:spacing w:after="0" w:line="185" w:lineRule="exact"/>
        <w:rPr>
          <w:sz w:val="20"/>
          <w:szCs w:val="20"/>
          <w:color w:val="auto"/>
        </w:rPr>
      </w:pPr>
    </w:p>
    <w:p>
      <w:pPr>
        <w:ind w:firstLine="648"/>
        <w:spacing w:after="0" w:line="238" w:lineRule="auto"/>
        <w:rPr>
          <w:sz w:val="20"/>
          <w:szCs w:val="20"/>
          <w:color w:val="auto"/>
        </w:rPr>
      </w:pPr>
      <w:r>
        <w:rPr>
          <w:rFonts w:ascii="Arial" w:cs="Arial" w:eastAsia="Arial" w:hAnsi="Arial"/>
          <w:sz w:val="17"/>
          <w:szCs w:val="17"/>
          <w:color w:val="auto"/>
        </w:rPr>
        <w:t>If we do not achieve one or more of these factors in a timely manner or at all, we could experience significant delays or an inability to successfully commercialize our drug candidates, which would materially harm our business. If we do not receive regulatory approvals for our drug candidates, we may not be able to continue our operations.</w:t>
      </w:r>
    </w:p>
    <w:p>
      <w:pPr>
        <w:spacing w:after="0" w:line="161"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i w:val="1"/>
          <w:iCs w:val="1"/>
          <w:color w:val="auto"/>
        </w:rPr>
        <w:t>Our approach to the discovery and development of drug candidates that inhibit kinases is unproven, and we do not know whether we will be able to develop any drugs of commercial value.</w:t>
      </w:r>
    </w:p>
    <w:p>
      <w:pPr>
        <w:spacing w:after="0" w:line="162" w:lineRule="exact"/>
        <w:rPr>
          <w:sz w:val="20"/>
          <w:szCs w:val="20"/>
          <w:color w:val="auto"/>
        </w:rPr>
      </w:pPr>
    </w:p>
    <w:p>
      <w:pPr>
        <w:jc w:val="both"/>
        <w:ind w:right="80" w:firstLine="648"/>
        <w:spacing w:after="0" w:line="226" w:lineRule="auto"/>
        <w:rPr>
          <w:sz w:val="20"/>
          <w:szCs w:val="20"/>
          <w:color w:val="auto"/>
        </w:rPr>
      </w:pPr>
      <w:r>
        <w:rPr>
          <w:rFonts w:ascii="Arial" w:cs="Arial" w:eastAsia="Arial" w:hAnsi="Arial"/>
          <w:sz w:val="17"/>
          <w:szCs w:val="17"/>
          <w:color w:val="auto"/>
        </w:rPr>
        <w:t>Our scientific approach focuses on using our novel target discovery engine and our proprietary compound library to identify new kinase targets in disease indications. Our focus on using our novel target discovery engine to identify potential kinase targets in disease indications may not result in the discovery and development of commercially viable drugs for these diseases. The use of our proprietary compound library may not lead to the development of commercially viable drugs. Even if we are able to develop a drug candidate that successfully targets these kinases in pre-clinical studies, we may not succeed in demonstrating safety and efficacy of the drug candidate in clinical trials.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drug candidates.</w:t>
      </w:r>
    </w:p>
    <w:p>
      <w:pPr>
        <w:spacing w:after="0" w:line="163" w:lineRule="exact"/>
        <w:rPr>
          <w:sz w:val="20"/>
          <w:szCs w:val="20"/>
          <w:color w:val="auto"/>
        </w:rPr>
      </w:pPr>
    </w:p>
    <w:p>
      <w:pPr>
        <w:ind w:right="40" w:firstLine="648"/>
        <w:spacing w:after="0" w:line="180" w:lineRule="exact"/>
        <w:rPr>
          <w:sz w:val="20"/>
          <w:szCs w:val="20"/>
          <w:color w:val="auto"/>
        </w:rPr>
      </w:pPr>
      <w:r>
        <w:rPr>
          <w:rFonts w:ascii="Arial" w:cs="Arial" w:eastAsia="Arial" w:hAnsi="Arial"/>
          <w:sz w:val="16"/>
          <w:szCs w:val="16"/>
          <w:color w:val="auto"/>
        </w:rPr>
        <w:t>Our drug candidates avapritinib, BLU</w:t>
      </w:r>
      <w:r>
        <w:rPr>
          <w:rFonts w:ascii="MS PGothic" w:cs="MS PGothic" w:eastAsia="MS PGothic" w:hAnsi="MS PGothic"/>
          <w:sz w:val="16"/>
          <w:szCs w:val="16"/>
          <w:color w:val="auto"/>
        </w:rPr>
        <w:t>‑</w:t>
      </w:r>
      <w:r>
        <w:rPr>
          <w:rFonts w:ascii="Arial" w:cs="Arial" w:eastAsia="Arial" w:hAnsi="Arial"/>
          <w:sz w:val="16"/>
          <w:szCs w:val="16"/>
          <w:color w:val="auto"/>
        </w:rPr>
        <w:t>554 and BLU</w:t>
      </w:r>
      <w:r>
        <w:rPr>
          <w:rFonts w:ascii="MS PGothic" w:cs="MS PGothic" w:eastAsia="MS PGothic" w:hAnsi="MS PGothic"/>
          <w:sz w:val="16"/>
          <w:szCs w:val="16"/>
          <w:color w:val="auto"/>
        </w:rPr>
        <w:t>‑</w:t>
      </w:r>
      <w:r>
        <w:rPr>
          <w:rFonts w:ascii="Arial" w:cs="Arial" w:eastAsia="Arial" w:hAnsi="Arial"/>
          <w:sz w:val="16"/>
          <w:szCs w:val="16"/>
          <w:color w:val="auto"/>
        </w:rPr>
        <w:t>667 are in clinical development, and all of our other drug candidates, including BLU-782, are in pre-clinical development. The risk of failure for our drug candidates is high. It is impossible to predict when or if any of our drug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drug candidates in humans. Clinical testing is expensive, difficult to design and implement, can take many years to complete and is uncertain as to outcome.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drug candidates performed satisfactorily in pre-clinical studies and clinical trials have nonetheless failed to obtain marketing approval of their drug candidates. Our pre-clinical studies, current Phase 1 clinical trials and future clinical trials may not be successful.</w:t>
      </w:r>
    </w:p>
    <w:p>
      <w:pPr>
        <w:spacing w:after="0" w:line="157"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We are currently evaluating avapritinib in an ongoing Phase 1 clinical trial for patients with PDGFRα-driven GIST and KIT-driven GIST, avapritinib in an ongoing Phase 1 clinical trial for advanced SM, BLU</w:t>
      </w:r>
      <w:r>
        <w:rPr>
          <w:rFonts w:ascii="MS PGothic" w:cs="MS PGothic" w:eastAsia="MS PGothic" w:hAnsi="MS PGothic"/>
          <w:sz w:val="16"/>
          <w:szCs w:val="16"/>
          <w:color w:val="auto"/>
        </w:rPr>
        <w:t>‑</w:t>
      </w:r>
      <w:r>
        <w:rPr>
          <w:rFonts w:ascii="Arial" w:cs="Arial" w:eastAsia="Arial" w:hAnsi="Arial"/>
          <w:sz w:val="16"/>
          <w:szCs w:val="16"/>
          <w:color w:val="auto"/>
        </w:rPr>
        <w:t>554 in an ongoing Phase 1 clinical trial in patients with advanced HCC and BLU-667 in an ongoing Phase 1 clinical trial in patients with RET-altered NSCLC, MTC and other advanced solid tumors. In addition, we plan to initiate a global, randomized Phase 3 clinical trial for avapritinib compared to regorafenib in third line GIST in the first half of 2018, a registration</w:t>
      </w:r>
      <w:r>
        <w:rPr>
          <w:rFonts w:ascii="MS PGothic" w:cs="MS PGothic" w:eastAsia="MS PGothic" w:hAnsi="MS PGothic"/>
          <w:sz w:val="16"/>
          <w:szCs w:val="16"/>
          <w:color w:val="auto"/>
        </w:rPr>
        <w:t>‑</w:t>
      </w:r>
      <w:r>
        <w:rPr>
          <w:rFonts w:ascii="Arial" w:cs="Arial" w:eastAsia="Arial" w:hAnsi="Arial"/>
          <w:sz w:val="16"/>
          <w:szCs w:val="16"/>
          <w:color w:val="auto"/>
        </w:rPr>
        <w:t>enabling Phase 2 clinical trial of avapritinib in patients with advanced SM in the first half of 2018 and a Phase 2 dose escalation and proof</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concept clinical trial of avapritinib in patients with indolent SM and smoldering SM in the second half of 2018.</w:t>
      </w:r>
    </w:p>
    <w:p>
      <w:pPr>
        <w:spacing w:after="0" w:line="136" w:lineRule="exact"/>
        <w:rPr>
          <w:sz w:val="20"/>
          <w:szCs w:val="20"/>
          <w:color w:val="auto"/>
        </w:rPr>
      </w:pPr>
    </w:p>
    <w:p>
      <w:pPr>
        <w:ind w:right="40" w:firstLine="648"/>
        <w:spacing w:after="0" w:line="189" w:lineRule="exact"/>
        <w:rPr>
          <w:sz w:val="20"/>
          <w:szCs w:val="20"/>
          <w:color w:val="auto"/>
        </w:rPr>
      </w:pPr>
      <w:r>
        <w:rPr>
          <w:rFonts w:ascii="Arial" w:cs="Arial" w:eastAsia="Arial" w:hAnsi="Arial"/>
          <w:sz w:val="16"/>
          <w:szCs w:val="16"/>
          <w:color w:val="auto"/>
        </w:rPr>
        <w:t>Successful completion of our clinical trials is a prerequisite to submitting a new drug application, or NDA, to the FDA and a Marketing Authorization Application, or MAA, in the European Union for each drug candidate and, consequently, the ultimate approval and commercial marketing of avapritinib, BLU</w:t>
      </w:r>
      <w:r>
        <w:rPr>
          <w:rFonts w:ascii="MS PGothic" w:cs="MS PGothic" w:eastAsia="MS PGothic" w:hAnsi="MS PGothic"/>
          <w:sz w:val="16"/>
          <w:szCs w:val="16"/>
          <w:color w:val="auto"/>
        </w:rPr>
        <w:t>‑</w:t>
      </w:r>
      <w:r>
        <w:rPr>
          <w:rFonts w:ascii="Arial" w:cs="Arial" w:eastAsia="Arial" w:hAnsi="Arial"/>
          <w:sz w:val="16"/>
          <w:szCs w:val="16"/>
          <w:color w:val="auto"/>
        </w:rPr>
        <w:t>554, BLU</w:t>
      </w:r>
      <w:r>
        <w:rPr>
          <w:rFonts w:ascii="MS PGothic" w:cs="MS PGothic" w:eastAsia="MS PGothic" w:hAnsi="MS PGothic"/>
          <w:sz w:val="16"/>
          <w:szCs w:val="16"/>
          <w:color w:val="auto"/>
        </w:rPr>
        <w:t>‑</w:t>
      </w:r>
      <w:r>
        <w:rPr>
          <w:rFonts w:ascii="Arial" w:cs="Arial" w:eastAsia="Arial" w:hAnsi="Arial"/>
          <w:sz w:val="16"/>
          <w:szCs w:val="16"/>
          <w:color w:val="auto"/>
        </w:rPr>
        <w:t>667 and our other drug candidates. We do not know whether any of our clinical trials for our drug candidates will be completed on schedule, if at all.</w:t>
      </w:r>
    </w:p>
    <w:p>
      <w:pPr>
        <w:spacing w:after="0" w:line="151"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We may experience delays in completing our pre-clinical studies and initiating or completing clinical trials, and we may experience numerous unforeseen events during, or as a result of, any current or future clinical trials that we could conduct that could delay or prevent our ability to receive marketing approval or commercialize our drug candidates, including:</w:t>
      </w:r>
    </w:p>
    <w:p>
      <w:pPr>
        <w:spacing w:after="0" w:line="149" w:lineRule="exact"/>
        <w:rPr>
          <w:sz w:val="20"/>
          <w:szCs w:val="20"/>
          <w:color w:val="auto"/>
        </w:rPr>
      </w:pPr>
    </w:p>
    <w:p>
      <w:pPr>
        <w:ind w:left="1300" w:right="620" w:hanging="325"/>
        <w:spacing w:after="0" w:line="258" w:lineRule="auto"/>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regulators or institutional review boards, or IRBs, or ethics committees may not authorize us or our investigators to commence a clinical trial or conduct a clinical trial at a prospective trial site;</w:t>
      </w:r>
    </w:p>
    <w:p>
      <w:pPr>
        <w:spacing w:after="0" w:line="133" w:lineRule="exact"/>
        <w:rPr>
          <w:rFonts w:ascii="Arial" w:cs="Arial" w:eastAsia="Arial" w:hAnsi="Arial"/>
          <w:sz w:val="17"/>
          <w:szCs w:val="17"/>
          <w:color w:val="auto"/>
        </w:rPr>
      </w:pPr>
    </w:p>
    <w:p>
      <w:pPr>
        <w:ind w:left="1300" w:right="240" w:hanging="325"/>
        <w:spacing w:after="0" w:line="259" w:lineRule="auto"/>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experience delays in reaching, or fail to reach, agreement on acceptable terms with prospective trial sites and prospective contract research organizations, or CROs, the terms of which can be subject to extensive negotiation and may vary significantly among different CROs and trial sites;</w:t>
      </w:r>
    </w:p>
    <w:p>
      <w:pPr>
        <w:spacing w:after="0" w:line="133" w:lineRule="exact"/>
        <w:rPr>
          <w:rFonts w:ascii="Arial" w:cs="Arial" w:eastAsia="Arial" w:hAnsi="Arial"/>
          <w:sz w:val="16"/>
          <w:szCs w:val="16"/>
          <w:color w:val="auto"/>
        </w:rPr>
      </w:pPr>
    </w:p>
    <w:p>
      <w:pPr>
        <w:ind w:left="1300" w:right="160" w:hanging="325"/>
        <w:spacing w:after="0" w:line="224"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clinical trials of our drug candidates may produce negative or inconclusive results, and we may decide, or regulators may require us, to conduct additional pre-clinical studies or clinical trials or we may decide to abandon drug development programs;</w:t>
      </w:r>
    </w:p>
    <w:p>
      <w:pPr>
        <w:spacing w:after="0" w:line="149" w:lineRule="exact"/>
        <w:rPr>
          <w:rFonts w:ascii="Arial" w:cs="Arial" w:eastAsia="Arial" w:hAnsi="Arial"/>
          <w:sz w:val="18"/>
          <w:szCs w:val="18"/>
          <w:color w:val="auto"/>
        </w:rPr>
      </w:pPr>
    </w:p>
    <w:p>
      <w:pPr>
        <w:ind w:left="1300" w:right="180" w:hanging="325"/>
        <w:spacing w:after="0" w:line="259" w:lineRule="auto"/>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number of patients required for clinical trials of our drug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300" w:right="120" w:hanging="325"/>
        <w:spacing w:after="0" w:line="238" w:lineRule="auto"/>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47" w:lineRule="exact"/>
        <w:rPr>
          <w:rFonts w:ascii="Arial" w:cs="Arial" w:eastAsia="Arial" w:hAnsi="Arial"/>
          <w:sz w:val="17"/>
          <w:szCs w:val="17"/>
          <w:color w:val="auto"/>
        </w:rPr>
      </w:pPr>
    </w:p>
    <w:p>
      <w:pPr>
        <w:jc w:val="both"/>
        <w:ind w:left="1300" w:right="560" w:hanging="325"/>
        <w:spacing w:after="0" w:line="259" w:lineRule="auto"/>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may elect to, or regulators or IRBs or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133" w:lineRule="exact"/>
        <w:rPr>
          <w:rFonts w:ascii="Arial" w:cs="Arial" w:eastAsia="Arial" w:hAnsi="Arial"/>
          <w:sz w:val="16"/>
          <w:szCs w:val="16"/>
          <w:color w:val="auto"/>
        </w:rPr>
      </w:pPr>
    </w:p>
    <w:p>
      <w:pPr>
        <w:ind w:left="1300" w:hanging="325"/>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clinical trials of our drug candidates may be greater than we anticipate;</w:t>
      </w:r>
    </w:p>
    <w:p>
      <w:pPr>
        <w:spacing w:after="0" w:line="171" w:lineRule="exact"/>
        <w:rPr>
          <w:rFonts w:ascii="Arial" w:cs="Arial" w:eastAsia="Arial" w:hAnsi="Arial"/>
          <w:sz w:val="18"/>
          <w:szCs w:val="18"/>
          <w:color w:val="auto"/>
        </w:rPr>
      </w:pPr>
    </w:p>
    <w:p>
      <w:pPr>
        <w:ind w:left="1300" w:right="300" w:hanging="325"/>
        <w:spacing w:after="0" w:line="235"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supply or quality of our drug candidates or other materials necessary to conduct clinical trials of our drug candidates may be insufficient or inadequate;</w:t>
      </w:r>
    </w:p>
    <w:p>
      <w:pPr>
        <w:spacing w:after="0" w:line="148" w:lineRule="exact"/>
        <w:rPr>
          <w:rFonts w:ascii="Arial" w:cs="Arial" w:eastAsia="Arial" w:hAnsi="Arial"/>
          <w:sz w:val="18"/>
          <w:szCs w:val="18"/>
          <w:color w:val="auto"/>
        </w:rPr>
      </w:pPr>
    </w:p>
    <w:p>
      <w:pPr>
        <w:ind w:left="1300" w:hanging="325"/>
        <w:spacing w:after="0" w:line="219"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drug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drug candidates; and</w:t>
      </w:r>
    </w:p>
    <w:p>
      <w:pPr>
        <w:spacing w:after="0" w:line="149" w:lineRule="exact"/>
        <w:rPr>
          <w:rFonts w:ascii="Arial" w:cs="Arial" w:eastAsia="Arial" w:hAnsi="Arial"/>
          <w:sz w:val="18"/>
          <w:szCs w:val="18"/>
          <w:color w:val="auto"/>
        </w:rPr>
      </w:pPr>
    </w:p>
    <w:p>
      <w:pPr>
        <w:ind w:left="1300" w:right="820" w:hanging="325"/>
        <w:spacing w:after="0" w:line="235"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or other regulatory authorities may require us to submit additional data or impose other requirements before permitting us to initiate a clinical trial.</w:t>
      </w:r>
    </w:p>
    <w:p>
      <w:pPr>
        <w:spacing w:after="0" w:line="148" w:lineRule="exact"/>
        <w:rPr>
          <w:sz w:val="20"/>
          <w:szCs w:val="20"/>
          <w:color w:val="auto"/>
        </w:rPr>
      </w:pPr>
    </w:p>
    <w:p>
      <w:pPr>
        <w:ind w:right="60" w:firstLine="648"/>
        <w:spacing w:after="0" w:line="221" w:lineRule="auto"/>
        <w:rPr>
          <w:sz w:val="20"/>
          <w:szCs w:val="20"/>
          <w:color w:val="auto"/>
        </w:rPr>
      </w:pPr>
      <w:r>
        <w:rPr>
          <w:rFonts w:ascii="Arial" w:cs="Arial" w:eastAsia="Arial" w:hAnsi="Arial"/>
          <w:sz w:val="17"/>
          <w:szCs w:val="17"/>
          <w:color w:val="auto"/>
        </w:rPr>
        <w:t>We could encounter delays if a clinical trial is suspended or terminated by us, by the IRBs of the 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drug candidates. Further, the FDA may disagree with our clinical trial design and our interpretation of data from clinical trials, or may change the requirements for approval even after it has reviewed and commented on the design for our clinical trials.</w:t>
      </w:r>
    </w:p>
    <w:p>
      <w:pPr>
        <w:spacing w:after="0" w:line="154"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6"/>
          <w:szCs w:val="16"/>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20" w:lineRule="exact"/>
        <w:rPr>
          <w:sz w:val="20"/>
          <w:szCs w:val="20"/>
          <w:color w:val="auto"/>
        </w:rPr>
      </w:pPr>
    </w:p>
    <w:p>
      <w:pPr>
        <w:ind w:left="1300" w:hanging="32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drug candidates;</w:t>
      </w:r>
    </w:p>
    <w:p>
      <w:pPr>
        <w:spacing w:after="0" w:line="171" w:lineRule="exact"/>
        <w:rPr>
          <w:rFonts w:ascii="Arial" w:cs="Arial" w:eastAsia="Arial" w:hAnsi="Arial"/>
          <w:sz w:val="18"/>
          <w:szCs w:val="18"/>
          <w:color w:val="auto"/>
        </w:rPr>
      </w:pPr>
    </w:p>
    <w:p>
      <w:pPr>
        <w:ind w:left="1300" w:hanging="32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71" w:lineRule="exact"/>
        <w:rPr>
          <w:rFonts w:ascii="Arial" w:cs="Arial" w:eastAsia="Arial" w:hAnsi="Arial"/>
          <w:sz w:val="18"/>
          <w:szCs w:val="18"/>
          <w:color w:val="auto"/>
        </w:rPr>
      </w:pPr>
    </w:p>
    <w:p>
      <w:pPr>
        <w:ind w:left="1300" w:hanging="32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71" w:lineRule="exact"/>
        <w:rPr>
          <w:rFonts w:ascii="Arial" w:cs="Arial" w:eastAsia="Arial" w:hAnsi="Arial"/>
          <w:sz w:val="18"/>
          <w:szCs w:val="18"/>
          <w:color w:val="auto"/>
        </w:rPr>
      </w:pPr>
    </w:p>
    <w:p>
      <w:pPr>
        <w:ind w:left="1300" w:hanging="32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 subject to post-marketing testing requirements; or</w:t>
      </w:r>
    </w:p>
    <w:p>
      <w:pPr>
        <w:spacing w:after="0" w:line="171" w:lineRule="exact"/>
        <w:rPr>
          <w:rFonts w:ascii="Arial" w:cs="Arial" w:eastAsia="Arial" w:hAnsi="Arial"/>
          <w:sz w:val="18"/>
          <w:szCs w:val="18"/>
          <w:color w:val="auto"/>
        </w:rPr>
      </w:pPr>
    </w:p>
    <w:p>
      <w:pPr>
        <w:ind w:left="1300" w:hanging="32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have the drug removed from the market after obtaining marketing approval.</w:t>
      </w:r>
    </w:p>
    <w:p>
      <w:pPr>
        <w:spacing w:after="0" w:line="171" w:lineRule="exact"/>
        <w:rPr>
          <w:sz w:val="20"/>
          <w:szCs w:val="20"/>
          <w:color w:val="auto"/>
        </w:rPr>
      </w:pPr>
    </w:p>
    <w:p>
      <w:pPr>
        <w:ind w:right="80" w:firstLine="648"/>
        <w:spacing w:after="0" w:line="212" w:lineRule="auto"/>
        <w:rPr>
          <w:sz w:val="20"/>
          <w:szCs w:val="20"/>
          <w:color w:val="auto"/>
        </w:rPr>
      </w:pPr>
      <w:r>
        <w:rPr>
          <w:rFonts w:ascii="Arial" w:cs="Arial" w:eastAsia="Arial" w:hAnsi="Arial"/>
          <w:sz w:val="18"/>
          <w:szCs w:val="18"/>
          <w:color w:val="auto"/>
        </w:rPr>
        <w:t>Our drug development costs will also increase if we experience delays in testing or regulatory approvals. We do not know whether any of our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allow our competitors to bring products to market before we do and impair our ability to successfully commercialize our drug candidates and may harm our business and results of operations. Any delays in our pre-clinical or future clinical development programs may harm our business, financial condition and prospects significantly.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b w:val="1"/>
          <w:bCs w:val="1"/>
          <w:i w:val="1"/>
          <w:iCs w:val="1"/>
          <w:color w:val="auto"/>
        </w:rPr>
        <w:t>We may choose not to develop a potential drug candidate, or we may suspend, deprioritize or terminate one or more discovery programs or pre-clinical drug candidates or programs.</w:t>
      </w:r>
    </w:p>
    <w:p>
      <w:pPr>
        <w:spacing w:after="0" w:line="162"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At any time and for any reason, we may determine that one or more of our discovery programs or pre-clinical drug candidates or programs does not have sufficient potential to warrant the allocation of resources toward such program or drug candidate. Accordingly, we may choose not to develop a potential drug candidate or elect to suspend, deprioritize or terminate one or more of our discovery programs or pre-clinical drug candidates or programs. For example, we have previously determined to suspend our discovery program for inhibitors of neurotrophic tyrosine receptor kinase, or NTRK, and predicted NTRK resistant mutants, and to deprioritize our discovery program targeting protein kinase cAMP-activated catalytic subunit alpha fusions for the treatment of fibrolamellar carcinoma. If we suspend, deprioritize or terminate a program or drug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drug candidates.</w:t>
      </w:r>
    </w:p>
    <w:p>
      <w:pPr>
        <w:spacing w:after="0" w:line="149"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62" w:lineRule="exact"/>
        <w:rPr>
          <w:sz w:val="20"/>
          <w:szCs w:val="20"/>
          <w:color w:val="auto"/>
        </w:rPr>
      </w:pPr>
    </w:p>
    <w:p>
      <w:pPr>
        <w:ind w:right="40" w:firstLine="648"/>
        <w:spacing w:after="0" w:line="212" w:lineRule="auto"/>
        <w:rPr>
          <w:sz w:val="20"/>
          <w:szCs w:val="20"/>
          <w:color w:val="auto"/>
        </w:rPr>
      </w:pPr>
      <w:r>
        <w:rPr>
          <w:rFonts w:ascii="Arial" w:cs="Arial" w:eastAsia="Arial" w:hAnsi="Arial"/>
          <w:sz w:val="18"/>
          <w:szCs w:val="18"/>
          <w:color w:val="auto"/>
        </w:rPr>
        <w:t>We may not be able to initiate or continue clinical trials for our drug candidates if we are unable to locate and enroll a sufficient number of eligible patients to participate in these trials as required by the FDA or similar regulatory authorities outside the United States. In particular, because we are focused on diseases in genomically defined patient populations, our ability to enroll eligible patients may be limited or may result in slower enrollment than we anticipate. In addition, some of our competitors have ongoing clinical trials for drug candidates that treat the same indications as our drug candidates, and patients who would otherwise be eligible for our clinical trials may instead enroll in clinical trials of our competitors’ drug candidates.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Patient enrollment may be affected by other factors including:</w:t>
      </w:r>
    </w:p>
    <w:p>
      <w:pPr>
        <w:spacing w:after="0" w:line="185" w:lineRule="exact"/>
        <w:rPr>
          <w:sz w:val="20"/>
          <w:szCs w:val="20"/>
          <w:color w:val="auto"/>
        </w:rPr>
      </w:pPr>
    </w:p>
    <w:p>
      <w:pPr>
        <w:ind w:left="1300" w:hanging="325"/>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size of the target patient population;</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eligibility criteria for the clinical trial;</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an appropriate genomic screening test;</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perceived risks and benefits of the drug candidate under study;</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85" w:lineRule="exact"/>
        <w:rPr>
          <w:sz w:val="20"/>
          <w:szCs w:val="20"/>
          <w:color w:val="auto"/>
        </w:rPr>
      </w:pPr>
    </w:p>
    <w:p>
      <w:pPr>
        <w:ind w:right="300"/>
        <w:spacing w:after="0" w:line="284" w:lineRule="auto"/>
        <w:rPr>
          <w:sz w:val="20"/>
          <w:szCs w:val="20"/>
          <w:color w:val="auto"/>
        </w:rPr>
      </w:pPr>
      <w:r>
        <w:rPr>
          <w:rFonts w:ascii="Arial" w:cs="Arial" w:eastAsia="Arial" w:hAnsi="Arial"/>
          <w:sz w:val="15"/>
          <w:szCs w:val="15"/>
          <w:b w:val="1"/>
          <w:bCs w:val="1"/>
          <w:i w:val="1"/>
          <w:iCs w:val="1"/>
          <w:color w:val="auto"/>
        </w:rPr>
        <w:t>Because the target patient populations for our drug candidates are relatively small, it may be difficult to successfully identify patients, could delay enrollment for our trials. If the market opportunities for our drug candidates are smaller than we believe they are, our product revenues may be adversely affected and our business may suffer.</w:t>
      </w:r>
    </w:p>
    <w:p>
      <w:pPr>
        <w:spacing w:after="0" w:line="130"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We focus our research and product development on treatments for cancer and rare genetic diseases, including genomically defined cancer and diseases driven by abnormal kinase activation. Because the target patient populations for our drug candidates are relatively small, it may be difficult to successfully identify patients. We have entered into agreements with third parties to develop a companion diagnostic test for avapritinib in order to identify GIST patients with the PDGFRα D842V mutation, BLU-554 in order to identify HCC patients with FGFR4 pathway activation and BLU-667 in order to identify NSCLC patients with RET fusions. We may engage third parties to develop companion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diagnostic tests for use in some of our other current or future clinical trials. However, third parties may not be successful in developing such companion diagnostic tests, furthering the difficulty in identifying patients for our clinical trials.</w:t>
      </w:r>
    </w:p>
    <w:p>
      <w:pPr>
        <w:spacing w:after="0" w:line="84"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Our inability to enroll a sufficient number of patients in our clinical trials would result in significant delays and could require us to abandon one or more clinical trials altogether. Enrollment delays in our clinical trials may result in increased development costs for our drug candidates, which would cause the value of our company to decline and limit our ability to obtain additional financing. If we are unable to include patients with the driver of the disease, including the applicable genomic alteration for diseases in genomically defined patient populations, this could compromise our ability to seek participation in the FDA’s expedited review and approval programs, including breakthrough therapy designation and fast track designation, or otherwise to seek to accelerate clinical development and regulatory timelines. In addition, our projections of both the number of people who have these diseases, as well as the subset of people with these diseases who have the potential to benefit from treatment with our drug candidates, are based on estimates. These estimates may prove to be incorrect, and new studies may reduce the estimated incidence or prevalence of these diseases. The number of patients in the United States, European Union and elsewhere may turn out to be lower than expected, may not be otherwise amenable to treatment with our drug candidates or patients may become increasingly difficult to identify and access, all of which would adversely affect our business, prospects and ability to achieve or sustain profitability.</w:t>
      </w:r>
    </w:p>
    <w:p>
      <w:pPr>
        <w:spacing w:after="0" w:line="13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b w:val="1"/>
          <w:bCs w:val="1"/>
          <w:i w:val="1"/>
          <w:iCs w:val="1"/>
          <w:color w:val="auto"/>
        </w:rPr>
        <w:t>If we are not able to obtain, or if there are delays in obtaining, required regulatory approvals both for our drug candidates and for any related companion diagnostic tests, we will not be able to commercialize, or will be delayed in commercializing, our drug candidates, and our ability to generate revenue will be materially impaired.</w:t>
      </w:r>
    </w:p>
    <w:p>
      <w:pPr>
        <w:spacing w:after="0" w:line="147" w:lineRule="exact"/>
        <w:rPr>
          <w:sz w:val="20"/>
          <w:szCs w:val="20"/>
          <w:color w:val="auto"/>
        </w:rPr>
      </w:pPr>
    </w:p>
    <w:p>
      <w:pPr>
        <w:ind w:right="40" w:firstLine="648"/>
        <w:spacing w:after="0" w:line="232" w:lineRule="auto"/>
        <w:rPr>
          <w:sz w:val="20"/>
          <w:szCs w:val="20"/>
          <w:color w:val="auto"/>
        </w:rPr>
      </w:pPr>
      <w:r>
        <w:rPr>
          <w:rFonts w:ascii="Arial" w:cs="Arial" w:eastAsia="Arial" w:hAnsi="Arial"/>
          <w:sz w:val="16"/>
          <w:szCs w:val="16"/>
          <w:color w:val="auto"/>
        </w:rPr>
        <w:t>Our drug candidates and any related companion diagnostic tests, including the companion diagnostic tests that we are developing for avapritinib in order to identify GIST patients with the PDGFRα D842V mutation, BLU-554 in order to identify HCC patients with FGFR4 pathway activation and BLU-667 in order to identify NSCLC patients with RET fusions,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drug candidates, we must obtain marketing approval. We may also need marketing approval for any related companion diagnostic tests, including the companion diagnostic tests that we are developing for avapritinib, BLU-554 and BLU-667. We have not received approval to market any of our drug candidates or related companion diagnostic tests from regulatory authorities in any jurisdiction, and it is possible that none of our current or future drug candidates or related companion diagnostic tests will ever obtain regulatory approval. 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Our drug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73" w:lineRule="exact"/>
        <w:rPr>
          <w:sz w:val="20"/>
          <w:szCs w:val="20"/>
          <w:color w:val="auto"/>
        </w:rPr>
      </w:pPr>
    </w:p>
    <w:p>
      <w:pPr>
        <w:ind w:right="20" w:firstLine="648"/>
        <w:spacing w:after="0" w:line="181" w:lineRule="exact"/>
        <w:rPr>
          <w:sz w:val="20"/>
          <w:szCs w:val="20"/>
          <w:color w:val="auto"/>
        </w:rPr>
      </w:pPr>
      <w:r>
        <w:rPr>
          <w:rFonts w:ascii="Arial" w:cs="Arial" w:eastAsia="Arial" w:hAnsi="Arial"/>
          <w:sz w:val="18"/>
          <w:szCs w:val="18"/>
          <w:color w:val="auto"/>
        </w:rPr>
        <w:t>The process of obtaining regulatory approvals, if approval is obtained at all, both in the United States and abroad is expensive, may take many years if additional clinical trials are required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NDA for a drug candidate, Pre</w:t>
      </w:r>
      <w:r>
        <w:rPr>
          <w:rFonts w:ascii="MS PGothic" w:cs="MS PGothic" w:eastAsia="MS PGothic" w:hAnsi="MS PGothic"/>
          <w:sz w:val="18"/>
          <w:szCs w:val="18"/>
          <w:color w:val="auto"/>
        </w:rPr>
        <w:t>‑</w:t>
      </w:r>
      <w:r>
        <w:rPr>
          <w:rFonts w:ascii="Arial" w:cs="Arial" w:eastAsia="Arial" w:hAnsi="Arial"/>
          <w:sz w:val="18"/>
          <w:szCs w:val="18"/>
          <w:color w:val="auto"/>
        </w:rPr>
        <w:t>Market Approval, or PMA, application for a companion diagnostic test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Our drug candidates could be delayed in receiving, or fail to receive, regulatory approval for many reasons, including the following:</w:t>
      </w:r>
    </w:p>
    <w:p>
      <w:pPr>
        <w:spacing w:after="0" w:line="169" w:lineRule="exact"/>
        <w:rPr>
          <w:sz w:val="20"/>
          <w:szCs w:val="20"/>
          <w:color w:val="auto"/>
        </w:rPr>
      </w:pPr>
    </w:p>
    <w:p>
      <w:pPr>
        <w:ind w:left="1300" w:right="200" w:hanging="325"/>
        <w:spacing w:after="0" w:line="235"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300" w:right="340" w:hanging="325"/>
        <w:spacing w:after="0" w:line="224"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drug candidate is safe and effective for its proposed indication or a related companion diagnostic test is suitable to identify appropriate patient populations;</w:t>
      </w:r>
    </w:p>
    <w:p>
      <w:pPr>
        <w:spacing w:after="0" w:line="163" w:lineRule="exact"/>
        <w:rPr>
          <w:rFonts w:ascii="Arial" w:cs="Arial" w:eastAsia="Arial" w:hAnsi="Arial"/>
          <w:sz w:val="18"/>
          <w:szCs w:val="18"/>
          <w:color w:val="auto"/>
        </w:rPr>
      </w:pPr>
    </w:p>
    <w:p>
      <w:pPr>
        <w:ind w:left="1300" w:right="600" w:hanging="325"/>
        <w:spacing w:after="0" w:line="235"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61" w:lineRule="exact"/>
        <w:rPr>
          <w:rFonts w:ascii="Arial" w:cs="Arial" w:eastAsia="Arial" w:hAnsi="Arial"/>
          <w:sz w:val="18"/>
          <w:szCs w:val="18"/>
          <w:color w:val="auto"/>
        </w:rPr>
      </w:pPr>
    </w:p>
    <w:p>
      <w:pPr>
        <w:ind w:left="1300" w:right="360" w:hanging="325"/>
        <w:spacing w:after="0" w:line="235"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unable to demonstrate that a drug candidate’s clinical and other benefits outweigh its safety risks;</w:t>
      </w:r>
    </w:p>
    <w:p>
      <w:pPr>
        <w:spacing w:after="0" w:line="161" w:lineRule="exact"/>
        <w:rPr>
          <w:rFonts w:ascii="Arial" w:cs="Arial" w:eastAsia="Arial" w:hAnsi="Arial"/>
          <w:sz w:val="18"/>
          <w:szCs w:val="18"/>
          <w:color w:val="auto"/>
        </w:rPr>
      </w:pPr>
    </w:p>
    <w:p>
      <w:pPr>
        <w:ind w:left="1300" w:right="300" w:hanging="325"/>
        <w:spacing w:after="0" w:line="235"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161" w:lineRule="exact"/>
        <w:rPr>
          <w:rFonts w:ascii="Arial" w:cs="Arial" w:eastAsia="Arial" w:hAnsi="Arial"/>
          <w:sz w:val="18"/>
          <w:szCs w:val="18"/>
          <w:color w:val="auto"/>
        </w:rPr>
      </w:pPr>
    </w:p>
    <w:p>
      <w:pPr>
        <w:ind w:left="1300" w:right="20" w:hanging="325"/>
        <w:spacing w:after="0" w:line="289" w:lineRule="auto"/>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data collected from clinical trials of our drug candidates may not be sufficient to support the submission of an NDA or other submission or to obtain regulatory approval in the United States or elsewhere;</w:t>
      </w:r>
    </w:p>
    <w:p>
      <w:pPr>
        <w:spacing w:after="0" w:line="124" w:lineRule="exact"/>
        <w:rPr>
          <w:rFonts w:ascii="Arial" w:cs="Arial" w:eastAsia="Arial" w:hAnsi="Arial"/>
          <w:sz w:val="16"/>
          <w:szCs w:val="16"/>
          <w:color w:val="auto"/>
        </w:rPr>
      </w:pPr>
    </w:p>
    <w:p>
      <w:pPr>
        <w:ind w:left="1300" w:right="160" w:hanging="325"/>
        <w:spacing w:after="0" w:line="289" w:lineRule="auto"/>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or facilities of third-party manufacturers with which we contract for clinical and commercial supplies; and</w:t>
      </w:r>
    </w:p>
    <w:p>
      <w:pPr>
        <w:spacing w:after="0" w:line="124" w:lineRule="exact"/>
        <w:rPr>
          <w:rFonts w:ascii="Arial" w:cs="Arial" w:eastAsia="Arial" w:hAnsi="Arial"/>
          <w:sz w:val="16"/>
          <w:szCs w:val="16"/>
          <w:color w:val="auto"/>
        </w:rPr>
      </w:pPr>
    </w:p>
    <w:p>
      <w:pPr>
        <w:ind w:left="1300" w:right="760" w:hanging="325"/>
        <w:spacing w:after="0" w:line="258" w:lineRule="auto"/>
        <w:tabs>
          <w:tab w:leader="none" w:pos="1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w:t>
      </w:r>
    </w:p>
    <w:p>
      <w:pPr>
        <w:spacing w:after="0" w:line="147" w:lineRule="exact"/>
        <w:rPr>
          <w:sz w:val="20"/>
          <w:szCs w:val="20"/>
          <w:color w:val="auto"/>
        </w:rPr>
      </w:pPr>
    </w:p>
    <w:p>
      <w:pPr>
        <w:ind w:firstLine="648"/>
        <w:spacing w:after="0" w:line="185" w:lineRule="exact"/>
        <w:rPr>
          <w:sz w:val="20"/>
          <w:szCs w:val="20"/>
          <w:color w:val="auto"/>
        </w:rPr>
      </w:pPr>
      <w:r>
        <w:rPr>
          <w:rFonts w:ascii="Arial" w:cs="Arial" w:eastAsia="Arial" w:hAnsi="Arial"/>
          <w:sz w:val="18"/>
          <w:szCs w:val="18"/>
          <w:color w:val="auto"/>
        </w:rPr>
        <w:t>In addition, even if we were to obtain approval, regulatory authorities may approve any of our drug candidates for fewer or more limited indications than we request, may not approve the price we intend to charge for our drugs and related companion diagnostic tests, may grant approval contingent on the performance of costly post</w:t>
      </w:r>
      <w:r>
        <w:rPr>
          <w:rFonts w:ascii="MS PGothic" w:cs="MS PGothic" w:eastAsia="MS PGothic" w:hAnsi="MS PGothic"/>
          <w:sz w:val="18"/>
          <w:szCs w:val="18"/>
          <w:color w:val="auto"/>
        </w:rPr>
        <w:t>‑</w:t>
      </w:r>
      <w:r>
        <w:rPr>
          <w:rFonts w:ascii="Arial" w:cs="Arial" w:eastAsia="Arial" w:hAnsi="Arial"/>
          <w:sz w:val="18"/>
          <w:szCs w:val="18"/>
          <w:color w:val="auto"/>
        </w:rPr>
        <w: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162" w:lineRule="exact"/>
        <w:rPr>
          <w:sz w:val="20"/>
          <w:szCs w:val="20"/>
          <w:color w:val="auto"/>
        </w:rPr>
      </w:pPr>
    </w:p>
    <w:p>
      <w:pPr>
        <w:jc w:val="both"/>
        <w:ind w:right="360" w:firstLine="648"/>
        <w:spacing w:after="0" w:line="224" w:lineRule="auto"/>
        <w:rPr>
          <w:sz w:val="20"/>
          <w:szCs w:val="20"/>
          <w:color w:val="auto"/>
        </w:rPr>
      </w:pPr>
      <w:r>
        <w:rPr>
          <w:rFonts w:ascii="Arial" w:cs="Arial" w:eastAsia="Arial" w:hAnsi="Arial"/>
          <w:sz w:val="18"/>
          <w:szCs w:val="18"/>
          <w:color w:val="auto"/>
        </w:rPr>
        <w:t>If we experience delays in obtaining approval or if we fail to obtain approval of our drug candidates and related companion diagnostic tests, the commercial prospects for our drug candidates may be harmed and our ability to generate revenues will be materially impaired.</w:t>
      </w:r>
    </w:p>
    <w:p>
      <w:pPr>
        <w:spacing w:after="0" w:line="163"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b w:val="1"/>
          <w:bCs w:val="1"/>
          <w:i w:val="1"/>
          <w:iCs w:val="1"/>
          <w:color w:val="auto"/>
        </w:rPr>
        <w:t>Our drug candidates may cause undesirable side effects that could delay or prevent their regulatory approval, limit the commercial profile of an approved label, or result in significant negative consequences following marketing approval, if any.</w:t>
      </w:r>
    </w:p>
    <w:p>
      <w:pPr>
        <w:spacing w:after="0" w:line="163" w:lineRule="exact"/>
        <w:rPr>
          <w:sz w:val="20"/>
          <w:szCs w:val="20"/>
          <w:color w:val="auto"/>
        </w:rPr>
      </w:pPr>
    </w:p>
    <w:p>
      <w:pPr>
        <w:ind w:right="120" w:firstLine="648"/>
        <w:spacing w:after="0" w:line="181" w:lineRule="exact"/>
        <w:rPr>
          <w:sz w:val="20"/>
          <w:szCs w:val="20"/>
          <w:color w:val="auto"/>
        </w:rPr>
      </w:pPr>
      <w:r>
        <w:rPr>
          <w:rFonts w:ascii="Arial" w:cs="Arial" w:eastAsia="Arial" w:hAnsi="Arial"/>
          <w:sz w:val="16"/>
          <w:szCs w:val="16"/>
          <w:color w:val="auto"/>
        </w:rPr>
        <w:t>Undesirable side effects caused by our drug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all oncology drugs, it is likely that there may be side effects associated with the use of our drug candidates.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 candidates for any or all targeted indications. The drug</w:t>
      </w:r>
      <w:r>
        <w:rPr>
          <w:rFonts w:ascii="MS PGothic" w:cs="MS PGothic" w:eastAsia="MS PGothic" w:hAnsi="MS PGothic"/>
          <w:sz w:val="16"/>
          <w:szCs w:val="16"/>
          <w:color w:val="auto"/>
        </w:rPr>
        <w:t>‑</w:t>
      </w:r>
      <w:r>
        <w:rPr>
          <w:rFonts w:ascii="Arial" w:cs="Arial" w:eastAsia="Arial" w:hAnsi="Arial"/>
          <w:sz w:val="16"/>
          <w:szCs w:val="16"/>
          <w:color w:val="auto"/>
        </w:rPr>
        <w:t>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68" w:lineRule="exact"/>
        <w:rPr>
          <w:sz w:val="20"/>
          <w:szCs w:val="20"/>
          <w:color w:val="auto"/>
        </w:rPr>
      </w:pPr>
    </w:p>
    <w:p>
      <w:pPr>
        <w:ind w:right="20" w:firstLine="648"/>
        <w:spacing w:after="0" w:line="185" w:lineRule="exact"/>
        <w:rPr>
          <w:sz w:val="20"/>
          <w:szCs w:val="20"/>
          <w:color w:val="auto"/>
        </w:rPr>
      </w:pPr>
      <w:r>
        <w:rPr>
          <w:rFonts w:ascii="Arial" w:cs="Arial" w:eastAsia="Arial" w:hAnsi="Arial"/>
          <w:sz w:val="17"/>
          <w:szCs w:val="17"/>
          <w:color w:val="auto"/>
        </w:rPr>
        <w:t>Further, our drug candidates could cause undesirable side effects in clinical trials related to on</w:t>
      </w:r>
      <w:r>
        <w:rPr>
          <w:rFonts w:ascii="MS PGothic" w:cs="MS PGothic" w:eastAsia="MS PGothic" w:hAnsi="MS PGothic"/>
          <w:sz w:val="17"/>
          <w:szCs w:val="17"/>
          <w:color w:val="auto"/>
        </w:rPr>
        <w:t>‑</w:t>
      </w:r>
      <w:r>
        <w:rPr>
          <w:rFonts w:ascii="Arial" w:cs="Arial" w:eastAsia="Arial" w:hAnsi="Arial"/>
          <w:sz w:val="17"/>
          <w:szCs w:val="17"/>
          <w:color w:val="auto"/>
        </w:rPr>
        <w:t>target toxicity. For example, the FGF19/FGFR4 signaling axis has been shown to play a role in the regulation of de novo bile acid synthesis. Modulation of this signaling axis by treatment with a small molecule FGFR4 inhibitor could lead to the clinical symptoms that were observed with administration of an FGF19 antibody. If on</w:t>
      </w:r>
      <w:r>
        <w:rPr>
          <w:rFonts w:ascii="MS PGothic" w:cs="MS PGothic" w:eastAsia="MS PGothic" w:hAnsi="MS PGothic"/>
          <w:sz w:val="17"/>
          <w:szCs w:val="17"/>
          <w:color w:val="auto"/>
        </w:rPr>
        <w:t>‑</w:t>
      </w:r>
      <w:r>
        <w:rPr>
          <w:rFonts w:ascii="Arial" w:cs="Arial" w:eastAsia="Arial" w:hAnsi="Arial"/>
          <w:sz w:val="17"/>
          <w:szCs w:val="17"/>
          <w:color w:val="auto"/>
        </w:rPr>
        <w:t>target toxicity is observed, or if our drug candidates have characteristics that are unexpected, we may need to abandon their development or limit development to more narrow uses or subpopulations in which the undesirable side effects or other characteristics are less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40"/>
        <w:spacing w:after="0" w:line="194" w:lineRule="exact"/>
        <w:rPr>
          <w:sz w:val="20"/>
          <w:szCs w:val="20"/>
          <w:color w:val="auto"/>
        </w:rPr>
      </w:pPr>
      <w:r>
        <w:rPr>
          <w:rFonts w:ascii="Arial" w:cs="Arial" w:eastAsia="Arial" w:hAnsi="Arial"/>
          <w:sz w:val="18"/>
          <w:szCs w:val="18"/>
          <w:color w:val="auto"/>
        </w:rPr>
        <w:t>prevalent, less severe or more acceptable from a risk</w:t>
      </w:r>
      <w:r>
        <w:rPr>
          <w:rFonts w:ascii="MS PGothic" w:cs="MS PGothic" w:eastAsia="MS PGothic" w:hAnsi="MS PGothic"/>
          <w:sz w:val="18"/>
          <w:szCs w:val="18"/>
          <w:color w:val="auto"/>
        </w:rPr>
        <w:t>‑</w:t>
      </w:r>
      <w:r>
        <w:rPr>
          <w:rFonts w:ascii="Arial" w:cs="Arial" w:eastAsia="Arial" w:hAnsi="Arial"/>
          <w:sz w:val="18"/>
          <w:szCs w:val="18"/>
          <w:color w:val="auto"/>
        </w:rPr>
        <w:t>benefit perspective. Many compounds that initially showed promise in early stage testing for treating cancer have later been found to cause side effects that prevented further development of the compound.</w:t>
      </w:r>
    </w:p>
    <w:p>
      <w:pPr>
        <w:spacing w:after="0" w:line="163"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17"/>
          <w:szCs w:val="17"/>
          <w:color w:val="auto"/>
        </w:rPr>
        <w:t>Further, clinical trials by their nature utilize a sample of the potential patient population. With a limited number of patients and limited duration of exposure, rare and severe side effects of our drug candidates may only be uncovered with a significantly larger number of patients exposed to the drug candidate. If our drug candidates receive marketing approval and we or others identify undesirable side effects caused by such drug candidates (or any other similar drugs) after such approval, a number of potentially significant negative consequences could result, including:</w:t>
      </w:r>
    </w:p>
    <w:p>
      <w:pPr>
        <w:spacing w:after="0" w:line="161" w:lineRule="exact"/>
        <w:rPr>
          <w:sz w:val="20"/>
          <w:szCs w:val="20"/>
          <w:color w:val="auto"/>
        </w:rPr>
      </w:pPr>
    </w:p>
    <w:p>
      <w:pPr>
        <w:ind w:left="1300" w:hanging="325"/>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drug candidates;</w:t>
      </w:r>
    </w:p>
    <w:p>
      <w:pPr>
        <w:spacing w:after="0" w:line="184" w:lineRule="exact"/>
        <w:rPr>
          <w:rFonts w:ascii="Arial" w:cs="Arial" w:eastAsia="Arial" w:hAnsi="Arial"/>
          <w:sz w:val="18"/>
          <w:szCs w:val="18"/>
          <w:color w:val="auto"/>
        </w:rPr>
      </w:pPr>
    </w:p>
    <w:p>
      <w:pPr>
        <w:ind w:left="1300" w:right="440" w:hanging="325"/>
        <w:spacing w:after="0" w:line="235"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“boxed” warning or a contraindication;</w:t>
      </w:r>
    </w:p>
    <w:p>
      <w:pPr>
        <w:spacing w:after="0" w:line="161" w:lineRule="exact"/>
        <w:rPr>
          <w:rFonts w:ascii="Arial" w:cs="Arial" w:eastAsia="Arial" w:hAnsi="Arial"/>
          <w:sz w:val="18"/>
          <w:szCs w:val="18"/>
          <w:color w:val="auto"/>
        </w:rPr>
      </w:pPr>
    </w:p>
    <w:p>
      <w:pPr>
        <w:ind w:left="1300" w:right="180" w:hanging="325"/>
        <w:spacing w:after="0" w:line="235"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61" w:lineRule="exact"/>
        <w:rPr>
          <w:rFonts w:ascii="Arial" w:cs="Arial" w:eastAsia="Arial" w:hAnsi="Arial"/>
          <w:sz w:val="18"/>
          <w:szCs w:val="18"/>
          <w:color w:val="auto"/>
        </w:rPr>
      </w:pPr>
    </w:p>
    <w:p>
      <w:pPr>
        <w:ind w:left="1300" w:right="520" w:hanging="325"/>
        <w:spacing w:after="0" w:line="258" w:lineRule="auto"/>
        <w:tabs>
          <w:tab w:leader="none" w:pos="1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may be required to change the way such drug candidates are distributed or administered, conduct additional clinical trials or change the labeling of the drug candidates;</w:t>
      </w:r>
    </w:p>
    <w:p>
      <w:pPr>
        <w:spacing w:after="0" w:line="146" w:lineRule="exact"/>
        <w:rPr>
          <w:rFonts w:ascii="Arial" w:cs="Arial" w:eastAsia="Arial" w:hAnsi="Arial"/>
          <w:sz w:val="17"/>
          <w:szCs w:val="17"/>
          <w:color w:val="auto"/>
        </w:rPr>
      </w:pPr>
    </w:p>
    <w:p>
      <w:pPr>
        <w:jc w:val="both"/>
        <w:ind w:left="1300" w:right="200" w:hanging="325"/>
        <w:spacing w:after="0" w:line="259" w:lineRule="auto"/>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regulatory authorities may require a Risk Evaluation and Mitigation Strategy, or REMS, plan to mitigate risks, which could include medication guides, physician communication plans, or elements to assure safe use, such as restricted distribution methods, patient registries and other risk minimization tools;</w:t>
      </w:r>
    </w:p>
    <w:p>
      <w:pPr>
        <w:spacing w:after="0" w:line="147" w:lineRule="exact"/>
        <w:rPr>
          <w:rFonts w:ascii="Arial" w:cs="Arial" w:eastAsia="Arial" w:hAnsi="Arial"/>
          <w:sz w:val="16"/>
          <w:szCs w:val="16"/>
          <w:color w:val="auto"/>
        </w:rPr>
      </w:pPr>
    </w:p>
    <w:p>
      <w:pPr>
        <w:ind w:left="1300" w:hanging="325"/>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decide to remove such drug candidates from the marketplace;</w:t>
      </w:r>
    </w:p>
    <w:p>
      <w:pPr>
        <w:spacing w:after="0" w:line="184" w:lineRule="exact"/>
        <w:rPr>
          <w:rFonts w:ascii="Arial" w:cs="Arial" w:eastAsia="Arial" w:hAnsi="Arial"/>
          <w:sz w:val="18"/>
          <w:szCs w:val="18"/>
          <w:color w:val="auto"/>
        </w:rPr>
      </w:pPr>
    </w:p>
    <w:p>
      <w:pPr>
        <w:ind w:left="1300" w:right="100" w:hanging="325"/>
        <w:spacing w:after="0" w:line="235"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drug candidates; and</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8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6"/>
          <w:szCs w:val="16"/>
          <w:color w:val="auto"/>
        </w:rPr>
        <w:t>We believe that any of these events could prevent us from achieving or maintaining market acceptance of the affected drug candidates and could substantially increase the costs of commercializing our drug candidates, if approved, and significantly impact our ability to successfully commercialize our drug candidates and generate revenues.</w:t>
      </w:r>
    </w:p>
    <w:p>
      <w:pPr>
        <w:spacing w:after="0" w:line="147" w:lineRule="exact"/>
        <w:rPr>
          <w:sz w:val="20"/>
          <w:szCs w:val="20"/>
          <w:color w:val="auto"/>
        </w:rPr>
      </w:pPr>
    </w:p>
    <w:p>
      <w:pPr>
        <w:spacing w:after="0" w:line="219" w:lineRule="auto"/>
        <w:rPr>
          <w:sz w:val="20"/>
          <w:szCs w:val="20"/>
          <w:color w:val="auto"/>
        </w:rPr>
      </w:pPr>
      <w:r>
        <w:rPr>
          <w:rFonts w:ascii="Arial" w:cs="Arial" w:eastAsia="Arial" w:hAnsi="Arial"/>
          <w:sz w:val="18"/>
          <w:szCs w:val="18"/>
          <w:b w:val="1"/>
          <w:bCs w:val="1"/>
          <w:i w:val="1"/>
          <w:iCs w:val="1"/>
          <w:color w:val="auto"/>
        </w:rPr>
        <w:t>A breakthrough therapy designation by the FDA for our drug candidates, including avapritinib for the treatment of patients with unresectable or metastatic GIST harboring the PDGFRα D842V mutation, may not lead to a faster development or regulatory review or approval process, and it does not increase the likelihood that our drug candidates will receive marketing approval.</w:t>
      </w:r>
    </w:p>
    <w:p>
      <w:pPr>
        <w:spacing w:after="0" w:line="163" w:lineRule="exact"/>
        <w:rPr>
          <w:sz w:val="20"/>
          <w:szCs w:val="20"/>
          <w:color w:val="auto"/>
        </w:rPr>
      </w:pPr>
    </w:p>
    <w:p>
      <w:pPr>
        <w:ind w:right="100" w:firstLine="648"/>
        <w:spacing w:after="0" w:line="181" w:lineRule="exact"/>
        <w:rPr>
          <w:sz w:val="20"/>
          <w:szCs w:val="20"/>
          <w:color w:val="auto"/>
        </w:rPr>
      </w:pPr>
      <w:r>
        <w:rPr>
          <w:rFonts w:ascii="Arial" w:cs="Arial" w:eastAsia="Arial" w:hAnsi="Arial"/>
          <w:sz w:val="16"/>
          <w:szCs w:val="16"/>
          <w:color w:val="auto"/>
        </w:rPr>
        <w:t>In June 2017, the FDA granted breakthrough therapy designation to avapritinib for the treatment of patients with unresectable or metastatic GIST harboring the PDGFRα D842V mutation. We may also seek breakthrough therapy designation for some of our other drug candidates. A breakthrough therapy is defined as a drug that is intended, alone or in combination with one or more other drugs, to treat a serious or life</w:t>
      </w:r>
      <w:r>
        <w:rPr>
          <w:rFonts w:ascii="MS PGothic" w:cs="MS PGothic" w:eastAsia="MS PGothic" w:hAnsi="MS PGothic"/>
          <w:sz w:val="16"/>
          <w:szCs w:val="16"/>
          <w:color w:val="auto"/>
        </w:rPr>
        <w:t>‑</w:t>
      </w:r>
      <w:r>
        <w:rPr>
          <w:rFonts w:ascii="Arial" w:cs="Arial" w:eastAsia="Arial" w:hAnsi="Arial"/>
          <w:sz w:val="16"/>
          <w:szCs w:val="16"/>
          <w:color w:val="auto"/>
        </w:rPr>
        <w:t>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drug candidates meets the criteria for designation as a breakthrough therapy, the FDA may disagree and instead determine not to make such designation. In any event, the receipt of a breakthrough therapy designation for a drug candidate may not result in a faster development process, review or approval compared to drugs considered for approval under conventional FDA procedures and does not assure ultimate approval by the FDA. In addition, even if one or more of our drug candidates qualify as breakthrough therapies, the FDA may later decide that the drugs no longer meet the conditions for qualification.</w:t>
      </w:r>
    </w:p>
    <w:p>
      <w:pPr>
        <w:spacing w:after="0" w:line="165"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b w:val="1"/>
          <w:bCs w:val="1"/>
          <w:i w:val="1"/>
          <w:iCs w:val="1"/>
          <w:color w:val="auto"/>
        </w:rPr>
        <w:t>A fast track designation by the FDA may not actually lead to a faster development or regulatory review or approval process.</w:t>
      </w:r>
    </w:p>
    <w:p>
      <w:pPr>
        <w:spacing w:after="0" w:line="162" w:lineRule="exact"/>
        <w:rPr>
          <w:sz w:val="20"/>
          <w:szCs w:val="20"/>
          <w:color w:val="auto"/>
        </w:rPr>
      </w:pPr>
    </w:p>
    <w:p>
      <w:pPr>
        <w:ind w:right="20" w:firstLine="648"/>
        <w:spacing w:after="0" w:line="180" w:lineRule="exact"/>
        <w:rPr>
          <w:sz w:val="20"/>
          <w:szCs w:val="20"/>
          <w:color w:val="auto"/>
        </w:rPr>
      </w:pPr>
      <w:r>
        <w:rPr>
          <w:rFonts w:ascii="Arial" w:cs="Arial" w:eastAsia="Arial" w:hAnsi="Arial"/>
          <w:sz w:val="16"/>
          <w:szCs w:val="16"/>
          <w:color w:val="auto"/>
        </w:rPr>
        <w:t>In October 2016, the FDA granted fast track designation to avapritinib for the treatment of patients with unresectable or metastatic GIST that progressed following treatment with imatinib and a second tyrosine kinase inhibitor and for the treatment of patients with unresectable or metastatic GIST with the PDGFRα D842V mutation regardless of prior therapy. We may also seek fast track designation for some of our other drug candidates. If a drug is intended for the treatment of a serious or life</w:t>
      </w:r>
      <w:r>
        <w:rPr>
          <w:rFonts w:ascii="MS PGothic" w:cs="MS PGothic" w:eastAsia="MS PGothic" w:hAnsi="MS PGothic"/>
          <w:sz w:val="16"/>
          <w:szCs w:val="16"/>
          <w:color w:val="auto"/>
        </w:rPr>
        <w:t>‑</w:t>
      </w:r>
      <w:r>
        <w:rPr>
          <w:rFonts w:ascii="Arial" w:cs="Arial" w:eastAsia="Arial" w:hAnsi="Arial"/>
          <w:sz w:val="16"/>
          <w:szCs w:val="16"/>
          <w:color w:val="auto"/>
        </w:rPr>
        <w:t>threatening condition and the drug demonstrates the potential to address unmet medical needs for this condition, the drug sponsor may apply for fast track designation. The FDA has broad discretion whether or not to grant this designation, so even if we believe a particular drug candidate is eligible for this designation, we cannot assure you that the FDA would decide to grant it. Even though we have received fast track designation for avapritinib for treatment of patients with unresectable or metastatic GIST that progressed following treatment with imatinib and a second tyrosine kinase inhibitor and for the treatment of patients with unresectable or metastatic GIST with the PDGFRα D842V mutation regardless of prior therapy, or even if we receive fast track designation for our other drug candidates,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66" w:lineRule="exact"/>
        <w:rPr>
          <w:sz w:val="20"/>
          <w:szCs w:val="20"/>
          <w:color w:val="auto"/>
        </w:rPr>
      </w:pPr>
    </w:p>
    <w:p>
      <w:pPr>
        <w:ind w:right="320"/>
        <w:spacing w:after="0" w:line="189" w:lineRule="exact"/>
        <w:rPr>
          <w:sz w:val="20"/>
          <w:szCs w:val="20"/>
          <w:color w:val="auto"/>
        </w:rPr>
      </w:pPr>
      <w:r>
        <w:rPr>
          <w:rFonts w:ascii="Arial" w:cs="Arial" w:eastAsia="Arial" w:hAnsi="Arial"/>
          <w:sz w:val="17"/>
          <w:szCs w:val="17"/>
          <w:b w:val="1"/>
          <w:bCs w:val="1"/>
          <w:i w:val="1"/>
          <w:iCs w:val="1"/>
          <w:color w:val="auto"/>
        </w:rPr>
        <w:t>While we have received orphan drug designation for two of our most advanced drug candidates, avapritinib and BLU</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554, for specified indications, we may seek orphan drug designation for some of our other drug candidates. However, we may be unsuccessful in obtaining or may be unable to maintain the benefits associated with orphan drug designation, including the potential for market exclusivity.</w:t>
      </w:r>
    </w:p>
    <w:p>
      <w:pPr>
        <w:spacing w:after="0" w:line="163"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In September 2015, the FDA granted orphan drug designation to BLU</w:t>
      </w:r>
      <w:r>
        <w:rPr>
          <w:rFonts w:ascii="MS PGothic" w:cs="MS PGothic" w:eastAsia="MS PGothic" w:hAnsi="MS PGothic"/>
          <w:sz w:val="16"/>
          <w:szCs w:val="16"/>
          <w:color w:val="auto"/>
        </w:rPr>
        <w:t>‑</w:t>
      </w:r>
      <w:r>
        <w:rPr>
          <w:rFonts w:ascii="Arial" w:cs="Arial" w:eastAsia="Arial" w:hAnsi="Arial"/>
          <w:sz w:val="16"/>
          <w:szCs w:val="16"/>
          <w:color w:val="auto"/>
        </w:rPr>
        <w:t>554 for the treatment of HCC, and in January 2016, the FDA granted orphan drug designation to avapritinib for the treatment of GIST and mastocytosis. In addition, in July 2017, the European Medicines Agency granted orphan drug designation to avapritinib for the treatment of GIST. As part of our business strategy, we may seek orphan drug designation for some of our other drug candidates, and we may be unsuccessful. Regulatory authorities in some jurisdictions, including the United States and the European Union,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w:t>
      </w:r>
      <w:r>
        <w:rPr>
          <w:rFonts w:ascii="MS PGothic" w:cs="MS PGothic" w:eastAsia="MS PGothic" w:hAnsi="MS PGothic"/>
          <w:sz w:val="16"/>
          <w:szCs w:val="16"/>
          <w:color w:val="auto"/>
        </w:rPr>
        <w:t>‑</w:t>
      </w:r>
      <w:r>
        <w:rPr>
          <w:rFonts w:ascii="Arial" w:cs="Arial" w:eastAsia="Arial" w:hAnsi="Arial"/>
          <w:sz w:val="16"/>
          <w:szCs w:val="16"/>
          <w:color w:val="auto"/>
        </w:rPr>
        <w:t>fee waivers.</w:t>
      </w:r>
    </w:p>
    <w:p>
      <w:pPr>
        <w:spacing w:after="0" w:line="166" w:lineRule="exact"/>
        <w:rPr>
          <w:sz w:val="20"/>
          <w:szCs w:val="20"/>
          <w:color w:val="auto"/>
        </w:rPr>
      </w:pPr>
    </w:p>
    <w:p>
      <w:pPr>
        <w:ind w:right="140" w:firstLine="648"/>
        <w:spacing w:after="0" w:line="181" w:lineRule="exact"/>
        <w:rPr>
          <w:sz w:val="20"/>
          <w:szCs w:val="20"/>
          <w:color w:val="auto"/>
        </w:rPr>
      </w:pPr>
      <w:r>
        <w:rPr>
          <w:rFonts w:ascii="Arial" w:cs="Arial" w:eastAsia="Arial" w:hAnsi="Arial"/>
          <w:sz w:val="17"/>
          <w:szCs w:val="17"/>
          <w:color w:val="auto"/>
        </w:rPr>
        <w:t>Similarly, in the European Union, the European Commission grants orphan drug designation after receiving the opinion of the European Medicines Agency’s, or EMA, Committee for Orphan Medicinal Products on an orphan drug designation application. Orphan drug designation is intended to promote the development of drugs that are intended for the diagnosis, prevention or treatment of life</w:t>
      </w:r>
      <w:r>
        <w:rPr>
          <w:rFonts w:ascii="MS PGothic" w:cs="MS PGothic" w:eastAsia="MS PGothic" w:hAnsi="MS PGothic"/>
          <w:sz w:val="17"/>
          <w:szCs w:val="17"/>
          <w:color w:val="auto"/>
        </w:rPr>
        <w:t>‑</w:t>
      </w:r>
      <w:r>
        <w:rPr>
          <w:rFonts w:ascii="Arial" w:cs="Arial" w:eastAsia="Arial" w:hAnsi="Arial"/>
          <w:sz w:val="17"/>
          <w:szCs w:val="17"/>
          <w:color w:val="auto"/>
        </w:rPr>
        <w:t>threatening or chronically debilitating conditions affecting not more than 5 in 10,000 persons in the European Union and for which no satisfactory method of diagnosis, prevention, or treatment has been authorized (or the product would be a significant benefit to those affected). In addition, designation is granted for drugs intended for the diagnosis, prevention, or treatment of a life</w:t>
      </w:r>
      <w:r>
        <w:rPr>
          <w:rFonts w:ascii="MS PGothic" w:cs="MS PGothic" w:eastAsia="MS PGothic" w:hAnsi="MS PGothic"/>
          <w:sz w:val="17"/>
          <w:szCs w:val="17"/>
          <w:color w:val="auto"/>
        </w:rPr>
        <w:t>‑</w:t>
      </w:r>
      <w:r>
        <w:rPr>
          <w:rFonts w:ascii="Arial" w:cs="Arial" w:eastAsia="Arial" w:hAnsi="Arial"/>
          <w:sz w:val="17"/>
          <w:szCs w:val="17"/>
          <w:color w:val="auto"/>
        </w:rPr>
        <w:t>threatening, seriously debilitating or serious and chronic condition and when, without incentives, it is unlikely that sales of the drug in the European Union would be sufficient to justify the necessary investment in developing the drug. In the European Union, orphan drug designation entitles a party to financial incentives such as reduction of fees or fee waivers.</w:t>
      </w:r>
    </w:p>
    <w:p>
      <w:pPr>
        <w:spacing w:after="0" w:line="164" w:lineRule="exact"/>
        <w:rPr>
          <w:sz w:val="20"/>
          <w:szCs w:val="20"/>
          <w:color w:val="auto"/>
        </w:rPr>
      </w:pPr>
    </w:p>
    <w:p>
      <w:pPr>
        <w:ind w:right="340" w:firstLine="648"/>
        <w:spacing w:after="0" w:line="289" w:lineRule="auto"/>
        <w:rPr>
          <w:sz w:val="20"/>
          <w:szCs w:val="20"/>
          <w:color w:val="auto"/>
        </w:rPr>
      </w:pPr>
      <w:r>
        <w:rPr>
          <w:rFonts w:ascii="Arial" w:cs="Arial" w:eastAsia="Arial" w:hAnsi="Arial"/>
          <w:sz w:val="16"/>
          <w:szCs w:val="16"/>
          <w:color w:val="auto"/>
        </w:rPr>
        <w:t>Generally, if a drug with an orphan drug designation subsequently receives the first marketing approval for the indication for which it has such designation, the drug is entitled to a period of marketing exclusivity, which precludes the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EMA or the FDA from approving another marketing application for the same drug and indication for that time period, except in limited circumstances. The applicable period is seven years in the United States and ten years in the European Union. The European Union exclusivity period can be reduced to six years if a drug no longer meets the criteria for orphan drug designation or if the drug is sufficiently profitable so that market exclusivity is no longer justified.</w:t>
      </w:r>
    </w:p>
    <w:p>
      <w:pPr>
        <w:spacing w:after="0" w:line="163"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Even if we obtain orphan drug exclusivity for a drug, that exclusivity may not effectively protect the designated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seek orphan drug designation for our other drug candidates in addition to BLU</w:t>
      </w:r>
      <w:r>
        <w:rPr>
          <w:rFonts w:ascii="MS PGothic" w:cs="MS PGothic" w:eastAsia="MS PGothic" w:hAnsi="MS PGothic"/>
          <w:sz w:val="17"/>
          <w:szCs w:val="17"/>
          <w:color w:val="auto"/>
        </w:rPr>
        <w:t>‑</w:t>
      </w:r>
      <w:r>
        <w:rPr>
          <w:rFonts w:ascii="Arial" w:cs="Arial" w:eastAsia="Arial" w:hAnsi="Arial"/>
          <w:sz w:val="17"/>
          <w:szCs w:val="17"/>
          <w:color w:val="auto"/>
        </w:rPr>
        <w:t>554 for the treatment of HCC and avapritinib for the treatment of GIST and mastocytosis, we may never receive such designations. Even if we receive orphan drug designation for any of our drug candidates, there is no guarantee that we will enjoy the benefits of those designations.</w:t>
      </w:r>
    </w:p>
    <w:p>
      <w:pPr>
        <w:spacing w:after="0" w:line="169"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b w:val="1"/>
          <w:bCs w:val="1"/>
          <w:i w:val="1"/>
          <w:iCs w:val="1"/>
          <w:color w:val="auto"/>
        </w:rPr>
        <w:t>Even if we receive regulatory approval for any of our drug candidates, we will be subject to ongoing obligations and continued regulatory review, which may result in significant additional expense. In addition, our drug candidates, if approved, could be subject to labeling and other restrictions and market withdrawal and we may be subject to penalties if we fail to comply with regulatory requirements or experience unanticipated problems with our drugs.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the FDA or a comparable foreign regulatory authority approves any of our drug candidates, the manufacturing</w:t>
      </w:r>
    </w:p>
    <w:p>
      <w:pPr>
        <w:spacing w:after="0" w:line="229" w:lineRule="auto"/>
        <w:rPr>
          <w:sz w:val="20"/>
          <w:szCs w:val="20"/>
          <w:color w:val="auto"/>
        </w:rPr>
      </w:pPr>
      <w:r>
        <w:rPr>
          <w:rFonts w:ascii="Arial" w:cs="Arial" w:eastAsia="Arial" w:hAnsi="Arial"/>
          <w:sz w:val="16"/>
          <w:szCs w:val="16"/>
          <w:color w:val="auto"/>
        </w:rPr>
        <w:t>processes, labeling, packaging, distribution, adverse event reporting, storage, advertising, promotion and recordkeeping for</w:t>
      </w:r>
    </w:p>
    <w:p>
      <w:pPr>
        <w:spacing w:after="0" w:line="229" w:lineRule="auto"/>
        <w:rPr>
          <w:sz w:val="20"/>
          <w:szCs w:val="20"/>
          <w:color w:val="auto"/>
        </w:rPr>
      </w:pPr>
      <w:r>
        <w:rPr>
          <w:rFonts w:ascii="Arial" w:cs="Arial" w:eastAsia="Arial" w:hAnsi="Arial"/>
          <w:sz w:val="16"/>
          <w:szCs w:val="16"/>
          <w:color w:val="auto"/>
        </w:rPr>
        <w:t>the drug will be subject to extensive and ongoing regulatory requirements. These requirements include submissions of safety</w:t>
      </w:r>
    </w:p>
    <w:p>
      <w:pPr>
        <w:spacing w:after="0" w:line="176" w:lineRule="exact"/>
        <w:rPr>
          <w:sz w:val="20"/>
          <w:szCs w:val="20"/>
          <w:color w:val="auto"/>
        </w:rPr>
      </w:pPr>
      <w:r>
        <w:rPr>
          <w:rFonts w:ascii="Arial" w:cs="Arial" w:eastAsia="Arial" w:hAnsi="Arial"/>
          <w:sz w:val="18"/>
          <w:szCs w:val="18"/>
          <w:color w:val="auto"/>
        </w:rPr>
        <w:t>and other post</w:t>
      </w:r>
      <w:r>
        <w:rPr>
          <w:rFonts w:ascii="MS PGothic" w:cs="MS PGothic" w:eastAsia="MS PGothic" w:hAnsi="MS PGothic"/>
          <w:sz w:val="18"/>
          <w:szCs w:val="18"/>
          <w:color w:val="auto"/>
        </w:rPr>
        <w:t>‑</w:t>
      </w:r>
      <w:r>
        <w:rPr>
          <w:rFonts w:ascii="Arial" w:cs="Arial" w:eastAsia="Arial" w:hAnsi="Arial"/>
          <w:sz w:val="18"/>
          <w:szCs w:val="18"/>
          <w:color w:val="auto"/>
        </w:rPr>
        <w:t>marketing information and reports, registration, as well as continued compliance with current Good</w:t>
      </w:r>
    </w:p>
    <w:p>
      <w:pPr>
        <w:spacing w:after="0" w:line="204" w:lineRule="auto"/>
        <w:rPr>
          <w:sz w:val="20"/>
          <w:szCs w:val="20"/>
          <w:color w:val="auto"/>
        </w:rPr>
      </w:pPr>
      <w:r>
        <w:rPr>
          <w:rFonts w:ascii="Arial" w:cs="Arial" w:eastAsia="Arial" w:hAnsi="Arial"/>
          <w:sz w:val="18"/>
          <w:szCs w:val="18"/>
          <w:color w:val="auto"/>
        </w:rPr>
        <w:t>Manufacturing Practices, or cGMPs, and Good Clinical Practices, or GCPs, for any clinical trials that we conduct</w:t>
      </w:r>
    </w:p>
    <w:p>
      <w:pPr>
        <w:spacing w:after="0" w:line="176" w:lineRule="exact"/>
        <w:rPr>
          <w:sz w:val="20"/>
          <w:szCs w:val="20"/>
          <w:color w:val="auto"/>
        </w:rPr>
      </w:pPr>
      <w:r>
        <w:rPr>
          <w:rFonts w:ascii="Arial" w:cs="Arial" w:eastAsia="Arial" w:hAnsi="Arial"/>
          <w:sz w:val="16"/>
          <w:szCs w:val="16"/>
          <w:color w:val="auto"/>
        </w:rPr>
        <w:t>post</w:t>
      </w:r>
      <w:r>
        <w:rPr>
          <w:rFonts w:ascii="MS PGothic" w:cs="MS PGothic" w:eastAsia="MS PGothic" w:hAnsi="MS PGothic"/>
          <w:sz w:val="16"/>
          <w:szCs w:val="16"/>
          <w:color w:val="auto"/>
        </w:rPr>
        <w:t>‑</w:t>
      </w:r>
      <w:r>
        <w:rPr>
          <w:rFonts w:ascii="Arial" w:cs="Arial" w:eastAsia="Arial" w:hAnsi="Arial"/>
          <w:sz w:val="16"/>
          <w:szCs w:val="16"/>
          <w:color w:val="auto"/>
        </w:rPr>
        <w:t>approval. Any regulatory approvals that we receive for our drug candidates may also be subject to limitations on the</w:t>
      </w:r>
    </w:p>
    <w:p>
      <w:pPr>
        <w:spacing w:after="0" w:line="229" w:lineRule="auto"/>
        <w:rPr>
          <w:sz w:val="20"/>
          <w:szCs w:val="20"/>
          <w:color w:val="auto"/>
        </w:rPr>
      </w:pPr>
      <w:r>
        <w:rPr>
          <w:rFonts w:ascii="Arial" w:cs="Arial" w:eastAsia="Arial" w:hAnsi="Arial"/>
          <w:sz w:val="16"/>
          <w:szCs w:val="16"/>
          <w:color w:val="auto"/>
        </w:rPr>
        <w:t>approved indicated uses for which the drug may be marketed or to the conditions of approval, or contain requirements for</w:t>
      </w:r>
    </w:p>
    <w:p>
      <w:pPr>
        <w:spacing w:after="0" w:line="176" w:lineRule="exact"/>
        <w:rPr>
          <w:sz w:val="20"/>
          <w:szCs w:val="20"/>
          <w:color w:val="auto"/>
        </w:rPr>
      </w:pPr>
      <w:r>
        <w:rPr>
          <w:rFonts w:ascii="Arial" w:cs="Arial" w:eastAsia="Arial" w:hAnsi="Arial"/>
          <w:sz w:val="16"/>
          <w:szCs w:val="16"/>
          <w:color w:val="auto"/>
        </w:rPr>
        <w:t>potentially costly post</w:t>
      </w:r>
      <w:r>
        <w:rPr>
          <w:rFonts w:ascii="MS PGothic" w:cs="MS PGothic" w:eastAsia="MS PGothic" w:hAnsi="MS PGothic"/>
          <w:sz w:val="16"/>
          <w:szCs w:val="16"/>
          <w:color w:val="auto"/>
        </w:rPr>
        <w:t>‑</w:t>
      </w:r>
      <w:r>
        <w:rPr>
          <w:rFonts w:ascii="Arial" w:cs="Arial" w:eastAsia="Arial" w:hAnsi="Arial"/>
          <w:sz w:val="16"/>
          <w:szCs w:val="16"/>
          <w:color w:val="auto"/>
        </w:rPr>
        <w:t>marketing testing, including Phase 4 clinical trials, and surveillance to monitor the safety and efficacy</w:t>
      </w:r>
    </w:p>
    <w:p>
      <w:pPr>
        <w:spacing w:after="0" w:line="229" w:lineRule="auto"/>
        <w:rPr>
          <w:sz w:val="20"/>
          <w:szCs w:val="20"/>
          <w:color w:val="auto"/>
        </w:rPr>
      </w:pPr>
      <w:r>
        <w:rPr>
          <w:rFonts w:ascii="Arial" w:cs="Arial" w:eastAsia="Arial" w:hAnsi="Arial"/>
          <w:sz w:val="16"/>
          <w:szCs w:val="16"/>
          <w:color w:val="auto"/>
        </w:rPr>
        <w:t>of the drug. Later discovery of previously unknown problems with a drug, including adverse events of unanticipated severity</w:t>
      </w:r>
    </w:p>
    <w:p>
      <w:pPr>
        <w:spacing w:after="0" w:line="176" w:lineRule="exact"/>
        <w:rPr>
          <w:sz w:val="20"/>
          <w:szCs w:val="20"/>
          <w:color w:val="auto"/>
        </w:rPr>
      </w:pPr>
      <w:r>
        <w:rPr>
          <w:rFonts w:ascii="Arial" w:cs="Arial" w:eastAsia="Arial" w:hAnsi="Arial"/>
          <w:sz w:val="17"/>
          <w:szCs w:val="17"/>
          <w:color w:val="auto"/>
        </w:rPr>
        <w:t>or frequency, or with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or manufacturing processes, or failure to comply with regulatory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requirements, may result in, among other things:</w:t>
      </w:r>
    </w:p>
    <w:p>
      <w:pPr>
        <w:spacing w:after="0" w:line="169" w:lineRule="exact"/>
        <w:rPr>
          <w:sz w:val="20"/>
          <w:szCs w:val="20"/>
          <w:color w:val="auto"/>
        </w:rPr>
      </w:pPr>
    </w:p>
    <w:p>
      <w:pPr>
        <w:ind w:left="1300" w:right="380" w:hanging="325"/>
        <w:spacing w:after="0" w:line="235"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drug, withdrawal of the drug from the market, or voluntary drug recalls;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84" w:lineRule="exact"/>
        <w:rPr>
          <w:rFonts w:ascii="Arial" w:cs="Arial" w:eastAsia="Arial" w:hAnsi="Arial"/>
          <w:sz w:val="18"/>
          <w:szCs w:val="18"/>
          <w:color w:val="auto"/>
        </w:rPr>
      </w:pPr>
    </w:p>
    <w:p>
      <w:pPr>
        <w:ind w:left="1300" w:hanging="325"/>
        <w:spacing w:after="0" w:line="235"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marketing approvals;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drug seizure or detention, or refusal to permit the import or export of drugs;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85"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successful in our efforts to use and expand our discovery platform to build a pipeline of drug candidates.</w:t>
      </w:r>
    </w:p>
    <w:p>
      <w:pPr>
        <w:spacing w:after="0" w:line="219"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A key element of our strategy is to use our novel target discovery engine to identify kinases that are drivers of diseases in genomically defined patient populations with high unmet medical need in order to build a pipeline of drug candidates. Although our research and development efforts to date have resulted in a pipeline of drug candidates, we may not be able to continue to identify novel kinase drivers and develop drug candidates. Even if we are successful in continuing to build our pipeline, the potential drug candidates that we identify may not be suitable for clinical development. For example, they may be shown to have harmful side effects or other characteristics that indicate that they are unlikely to be drugs that will receive marketing approval and achieve market acceptance. If we do not successfully develop and commercialize drug candidates based upon our approach, we will not be able to obtain drug revenues in future periods, which likely would result in significant harm to our financial position and adversely affect our stock price.</w:t>
      </w:r>
    </w:p>
    <w:p>
      <w:pPr>
        <w:spacing w:after="0" w:line="168" w:lineRule="exact"/>
        <w:rPr>
          <w:sz w:val="20"/>
          <w:szCs w:val="20"/>
          <w:color w:val="auto"/>
        </w:rPr>
      </w:pPr>
    </w:p>
    <w:p>
      <w:pPr>
        <w:ind w:right="280"/>
        <w:spacing w:after="0" w:line="289" w:lineRule="auto"/>
        <w:rPr>
          <w:sz w:val="20"/>
          <w:szCs w:val="20"/>
          <w:color w:val="auto"/>
        </w:rPr>
      </w:pPr>
      <w:r>
        <w:rPr>
          <w:rFonts w:ascii="Arial" w:cs="Arial" w:eastAsia="Arial" w:hAnsi="Arial"/>
          <w:sz w:val="16"/>
          <w:szCs w:val="16"/>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24" w:lineRule="exact"/>
        <w:rPr>
          <w:sz w:val="20"/>
          <w:szCs w:val="20"/>
          <w:color w:val="auto"/>
        </w:rPr>
      </w:pPr>
    </w:p>
    <w:p>
      <w:pPr>
        <w:ind w:right="20" w:firstLine="648"/>
        <w:spacing w:after="0" w:line="210" w:lineRule="auto"/>
        <w:rPr>
          <w:sz w:val="20"/>
          <w:szCs w:val="20"/>
          <w:color w:val="auto"/>
        </w:rPr>
      </w:pPr>
      <w:r>
        <w:rPr>
          <w:rFonts w:ascii="Arial" w:cs="Arial" w:eastAsia="Arial" w:hAnsi="Arial"/>
          <w:sz w:val="18"/>
          <w:szCs w:val="18"/>
          <w:color w:val="auto"/>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Commercialization</w:t>
      </w:r>
    </w:p>
    <w:p>
      <w:pPr>
        <w:spacing w:after="0" w:line="189" w:lineRule="exact"/>
        <w:rPr>
          <w:sz w:val="20"/>
          <w:szCs w:val="20"/>
          <w:color w:val="auto"/>
        </w:rPr>
      </w:pPr>
    </w:p>
    <w:p>
      <w:pPr>
        <w:ind w:right="160"/>
        <w:spacing w:after="0" w:line="219" w:lineRule="auto"/>
        <w:rPr>
          <w:sz w:val="20"/>
          <w:szCs w:val="20"/>
          <w:color w:val="auto"/>
        </w:rPr>
      </w:pPr>
      <w:r>
        <w:rPr>
          <w:rFonts w:ascii="Arial" w:cs="Arial" w:eastAsia="Arial" w:hAnsi="Arial"/>
          <w:sz w:val="18"/>
          <w:szCs w:val="18"/>
          <w:b w:val="1"/>
          <w:bCs w:val="1"/>
          <w:i w:val="1"/>
          <w:iCs w:val="1"/>
          <w:color w:val="auto"/>
        </w:rPr>
        <w:t>The incidence and prevalence for target patient populations of our drug candidates have not been established with precision. If the market opportunities for our drug candidates are smaller than we estimate or if any approval that we obtain is based on a narrower definition of the patient population, our revenue and ability to achieve profitability will be adversely affected, possibly materially.</w:t>
      </w:r>
    </w:p>
    <w:p>
      <w:pPr>
        <w:spacing w:after="0" w:line="163" w:lineRule="exact"/>
        <w:rPr>
          <w:sz w:val="20"/>
          <w:szCs w:val="20"/>
          <w:color w:val="auto"/>
        </w:rPr>
      </w:pPr>
    </w:p>
    <w:p>
      <w:pPr>
        <w:ind w:firstLine="648"/>
        <w:spacing w:after="0" w:line="232" w:lineRule="auto"/>
        <w:rPr>
          <w:sz w:val="20"/>
          <w:szCs w:val="20"/>
          <w:color w:val="auto"/>
        </w:rPr>
      </w:pPr>
      <w:r>
        <w:rPr>
          <w:rFonts w:ascii="Arial" w:cs="Arial" w:eastAsia="Arial" w:hAnsi="Arial"/>
          <w:sz w:val="16"/>
          <w:szCs w:val="16"/>
          <w:color w:val="auto"/>
        </w:rPr>
        <w:t>The precise incidence and/or prevalence for SM, GIST, HCC, RET-driven NSCLC, RET-driven MTC and FOP are unknown. Our projections of both the number of people who have these diseases, as well as the subset of people with these diseases who have the potential to benefit from treatment with our drug candidates, are based on estimates. We estimate that in the United States, France, Germany, Italy, Spain, the United Kingdom and Japan, or the Major Markets, there are approximately: (i) 20,700 patients with SM, including 2,600 patients with advanced SM, 1,800 patients with SSM and 16,300 patients with ISM; (ii) 500 patients with PDGFRα D842V-driven GIST; (iii) 24,100 patients with GIST, including approximately 19,300 patients with KIT-driven GIST; (iv) 28,100 first and second line patients with FGFR4-activated HCC;</w:t>
      </w:r>
    </w:p>
    <w:p>
      <w:pPr>
        <w:ind w:right="120" w:firstLine="3"/>
        <w:spacing w:after="0" w:line="226" w:lineRule="auto"/>
        <w:tabs>
          <w:tab w:leader="none" w:pos="2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10,200 patients with RET-driven NSCLC and approximately 780 patients with RET-driven MTC; and (vi) 1,100 patients with FOP.</w:t>
      </w:r>
    </w:p>
    <w:p>
      <w:pPr>
        <w:spacing w:after="0" w:line="161" w:lineRule="exact"/>
        <w:rPr>
          <w:sz w:val="20"/>
          <w:szCs w:val="20"/>
          <w:color w:val="auto"/>
        </w:rPr>
      </w:pPr>
    </w:p>
    <w:p>
      <w:pPr>
        <w:ind w:right="80" w:firstLine="648"/>
        <w:spacing w:after="0" w:line="182" w:lineRule="exact"/>
        <w:rPr>
          <w:sz w:val="20"/>
          <w:szCs w:val="20"/>
          <w:color w:val="auto"/>
        </w:rPr>
      </w:pPr>
      <w:r>
        <w:rPr>
          <w:rFonts w:ascii="Arial" w:cs="Arial" w:eastAsia="Arial" w:hAnsi="Arial"/>
          <w:sz w:val="17"/>
          <w:szCs w:val="17"/>
          <w:color w:val="auto"/>
        </w:rPr>
        <w:t>The total addressable market opportunity for avapritinib for the treatment of patients with GIST and SM, BLU</w:t>
      </w:r>
      <w:r>
        <w:rPr>
          <w:rFonts w:ascii="MS PGothic" w:cs="MS PGothic" w:eastAsia="MS PGothic" w:hAnsi="MS PGothic"/>
          <w:sz w:val="17"/>
          <w:szCs w:val="17"/>
          <w:color w:val="auto"/>
        </w:rPr>
        <w:t>‑</w:t>
      </w:r>
      <w:r>
        <w:rPr>
          <w:rFonts w:ascii="Arial" w:cs="Arial" w:eastAsia="Arial" w:hAnsi="Arial"/>
          <w:sz w:val="17"/>
          <w:szCs w:val="17"/>
          <w:color w:val="auto"/>
        </w:rPr>
        <w:t>554 for the treatment of patients with HCC, BLU</w:t>
      </w:r>
      <w:r>
        <w:rPr>
          <w:rFonts w:ascii="MS PGothic" w:cs="MS PGothic" w:eastAsia="MS PGothic" w:hAnsi="MS PGothic"/>
          <w:sz w:val="17"/>
          <w:szCs w:val="17"/>
          <w:color w:val="auto"/>
        </w:rPr>
        <w:t>‑</w:t>
      </w:r>
      <w:r>
        <w:rPr>
          <w:rFonts w:ascii="Arial" w:cs="Arial" w:eastAsia="Arial" w:hAnsi="Arial"/>
          <w:sz w:val="17"/>
          <w:szCs w:val="17"/>
          <w:color w:val="auto"/>
        </w:rPr>
        <w:t>667 for the treatment of patients with RET-driven NSCLC and RET-driven MTC or BLU-782 for the treatment of patients with FOP will ultimately depend upon, among other things, the diagnosis criteria included in the final label for each of avapritinib, BLU</w:t>
      </w:r>
      <w:r>
        <w:rPr>
          <w:rFonts w:ascii="MS PGothic" w:cs="MS PGothic" w:eastAsia="MS PGothic" w:hAnsi="MS PGothic"/>
          <w:sz w:val="17"/>
          <w:szCs w:val="17"/>
          <w:color w:val="auto"/>
        </w:rPr>
        <w:t>‑</w:t>
      </w:r>
      <w:r>
        <w:rPr>
          <w:rFonts w:ascii="Arial" w:cs="Arial" w:eastAsia="Arial" w:hAnsi="Arial"/>
          <w:sz w:val="17"/>
          <w:szCs w:val="17"/>
          <w:color w:val="auto"/>
        </w:rPr>
        <w:t>554, BLU</w:t>
      </w:r>
      <w:r>
        <w:rPr>
          <w:rFonts w:ascii="MS PGothic" w:cs="MS PGothic" w:eastAsia="MS PGothic" w:hAnsi="MS PGothic"/>
          <w:sz w:val="17"/>
          <w:szCs w:val="17"/>
          <w:color w:val="auto"/>
        </w:rPr>
        <w:t>‑</w:t>
      </w:r>
      <w:r>
        <w:rPr>
          <w:rFonts w:ascii="Arial" w:cs="Arial" w:eastAsia="Arial" w:hAnsi="Arial"/>
          <w:sz w:val="17"/>
          <w:szCs w:val="17"/>
          <w:color w:val="auto"/>
        </w:rPr>
        <w:t>667 and BLU-782, if our drug candidates are approved for sale for these indications, acceptance by the medical community and patient access, drug pricing and reimbursement. The number of patients in the Major Markets and elsewhere, including the number of addressable patients in those markets, may turn out to be lower than expected, patients may not be otherwise amenable to treatment with our drugs, or new patients may become increasingly difficult to identify or gain access to, all of which would adversely affect our results of operations and our business.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drugs before or more successfully than we do.</w:t>
      </w:r>
    </w:p>
    <w:p>
      <w:pPr>
        <w:spacing w:after="0" w:line="162"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The development and commercialization of new drugs is highly competitive. We face competition with respect to our current drug candidates, and will face competition with respect to any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the field of kinase inhibition for cancer and other diseases. Some of these competitive drugs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8" w:lineRule="exact"/>
        <w:rPr>
          <w:sz w:val="20"/>
          <w:szCs w:val="20"/>
          <w:color w:val="auto"/>
        </w:rPr>
      </w:pPr>
    </w:p>
    <w:p>
      <w:pPr>
        <w:ind w:firstLine="648"/>
        <w:spacing w:after="0" w:line="178" w:lineRule="exact"/>
        <w:rPr>
          <w:sz w:val="20"/>
          <w:szCs w:val="20"/>
          <w:color w:val="auto"/>
        </w:rPr>
      </w:pPr>
      <w:r>
        <w:rPr>
          <w:rFonts w:ascii="Arial" w:cs="Arial" w:eastAsia="Arial" w:hAnsi="Arial"/>
          <w:sz w:val="17"/>
          <w:szCs w:val="17"/>
          <w:color w:val="auto"/>
        </w:rPr>
        <w:t>Specifically, there are a large number of companies developing or marketing treatments for cancer, including many major pharmaceutical and biotechnology companies. If avapritinib receives marketing approval for advanced SM, it will face competition from Novartis AG’s midostaurin, a multi-kinase inhibitor with KIT D816V inhibitory activity that was approved in April 2017 by the FDA for the treatment of advanced SM. If avapritinib receives marketing approval for third line advanced GIST, it will face competition from Bayer AG’s regorafenib, and if avapritinib receives marketing approval for second line advanced GIST, it will face competition from Pfizer Inc.’s sunitinib. In addition, if avapritinib receives marketing approval for advanced SM, GIST and/or for GIST patients with the PDGFRα D842V mutation, it may face competition from other drug candidates in development for these indications, including drug candidates in development by AB Science S.A., ARIAD Pharmaceuticals, Inc., a wholly-owned subsidiary of Takeda Pharmaceutical Company Limited, AROG Pharmaceuticals, Inc., Celldex Therapeutics, Inc., Deciphera Pharmaceuticals, LLC and Plexxikon Inc., a wholly-owned subsidiary of Daiichi Sankyo Company, Limited. If BLU-554 receives marketing approval for patients with FGFR4-activated HCC, it will face competition from Bristol-Myers Squibb Company’s nivolumab, an immune checkpoint inhibitor, which was approved in September 2017 by the FDA for the treatment of HCC, as well as sorafenib and regorafenib, multi-kinase inhibitors for the treatment of HCC. In addition, BLU-554 may face competition from other drug candidates in development by Abbisko Therapeutics Co., Ltd, AstraZeneca plc, Bayer AG, Celgene Corporation, Eisai Inc., H3 Biomedicine Inc., Incyte Corporation, Johnson &amp; Johnson, Novartis AG, Sanofi S.A., Taiho Pharmaceutical Co., Ltd., U3 Pharma GmbH, a wholly-owned subsidiary of Daiichi Sankyo Company, Limited, and Xoma Ltd. If BLU</w:t>
      </w:r>
      <w:r>
        <w:rPr>
          <w:rFonts w:ascii="MS PGothic" w:cs="MS PGothic" w:eastAsia="MS PGothic" w:hAnsi="MS PGothic"/>
          <w:sz w:val="17"/>
          <w:szCs w:val="17"/>
          <w:color w:val="auto"/>
        </w:rPr>
        <w:t>‑</w:t>
      </w:r>
      <w:r>
        <w:rPr>
          <w:rFonts w:ascii="Arial" w:cs="Arial" w:eastAsia="Arial" w:hAnsi="Arial"/>
          <w:sz w:val="17"/>
          <w:szCs w:val="17"/>
          <w:color w:val="auto"/>
        </w:rPr>
        <w:t>667 receives marketing approval for patients with RET-driven cancers, it may face competition from other drug candidates in development, including drug candidates in development by ARIAD Pharmaceuticals, Inc., a wholly-owned subsidiary of Takeda Pharmaceutical Company Limited, AstraZeneca plc, Eisai Inc., Exelixis, Inc., GlaxoSmithKline plc, Loxo Oncology, Inc., Mirati Therapeutics, Inc., Novartis AG, Pfizer Inc. and Roche.</w:t>
      </w:r>
    </w:p>
    <w:p>
      <w:pPr>
        <w:spacing w:after="0" w:line="174"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67" w:lineRule="exact"/>
        <w:rPr>
          <w:sz w:val="20"/>
          <w:szCs w:val="20"/>
          <w:color w:val="auto"/>
        </w:rPr>
      </w:pPr>
    </w:p>
    <w:p>
      <w:pPr>
        <w:ind w:right="40" w:firstLine="648"/>
        <w:spacing w:after="0" w:line="211"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any related companion diagnostic tests, the level of generic competition and the availability of reimbursement from government and other third-party payors.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162"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We will face an inherent risk of product liability exposure related to the testing of our drug candidates in human clinical trials and use of our drug candidates through compassionate use programs, and we will face an even greater risk if we commercially sell any drug candidates that we may develop. If we cannot successfully defend ourselves against claims that our drug candidates caused injuries, we could incur substantial liabilities. Regardless of merit or eventual outcome, liability claims may result in:</w:t>
      </w:r>
    </w:p>
    <w:p>
      <w:pPr>
        <w:spacing w:after="0" w:line="162" w:lineRule="exact"/>
        <w:rPr>
          <w:sz w:val="20"/>
          <w:szCs w:val="20"/>
          <w:color w:val="auto"/>
        </w:rPr>
      </w:pP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decreased demand for any drug candidates that we may develop;</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inability to commercialize any drug candidates that we may develop.</w:t>
      </w:r>
    </w:p>
    <w:p>
      <w:pPr>
        <w:spacing w:after="0" w:line="185" w:lineRule="exact"/>
        <w:rPr>
          <w:sz w:val="20"/>
          <w:szCs w:val="20"/>
          <w:color w:val="auto"/>
        </w:rPr>
      </w:pPr>
    </w:p>
    <w:p>
      <w:pPr>
        <w:ind w:right="80" w:firstLine="648"/>
        <w:spacing w:after="0" w:line="249" w:lineRule="auto"/>
        <w:rPr>
          <w:sz w:val="20"/>
          <w:szCs w:val="20"/>
          <w:color w:val="auto"/>
        </w:rPr>
      </w:pPr>
      <w:r>
        <w:rPr>
          <w:rFonts w:ascii="Arial" w:cs="Arial" w:eastAsia="Arial" w:hAnsi="Arial"/>
          <w:sz w:val="16"/>
          <w:szCs w:val="16"/>
          <w:color w:val="auto"/>
        </w:rPr>
        <w:t>Although we maintain product liability insurance coverage, it may not be adequate to cover all liabilities that we may incur. We anticipate that we will need to increase our insurance coverage when we begin later-stage clinical trials and if we successfully commercialize any drug candidate. Insurance coverage is increasingly expensive. We may not be able to maintain insurance coverage at a reasonable cost or in an amount adequate to satisfy any liability that may arise.</w:t>
      </w:r>
    </w:p>
    <w:p>
      <w:pPr>
        <w:spacing w:after="0" w:line="155"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b w:val="1"/>
          <w:bCs w:val="1"/>
          <w:i w:val="1"/>
          <w:iCs w:val="1"/>
          <w:color w:val="auto"/>
        </w:rPr>
        <w:t>If we or our collaborators are unable to successfully develop and commercialize companion diagnostic tests for our drug candidates, or experience significant delays in doing so we may not realize the full commercial potential of our drug candidates.</w:t>
      </w:r>
    </w:p>
    <w:p>
      <w:pPr>
        <w:spacing w:after="0" w:line="163"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Because we are focused on precision medicine, in which predictive biomarkers will be used to identify the right patients for our drug candidates, we believe that our success may depend, in part, on the development and commercialization of companion diagnostic tests. There has been limited success to date industrywide in developing and commercializing these types of companion diagnostic tests. To be successful, we need to address a number of scientific, technical and logistical challenges. We have entered into agreements to develop and commercialize companion diagnostic tests with third parties for avapritinib in order to identify GIST patients with the PDGFRα D842V mutation, BLU</w:t>
      </w:r>
      <w:r>
        <w:rPr>
          <w:rFonts w:ascii="MS PGothic" w:cs="MS PGothic" w:eastAsia="MS PGothic" w:hAnsi="MS PGothic"/>
          <w:sz w:val="16"/>
          <w:szCs w:val="16"/>
          <w:color w:val="auto"/>
        </w:rPr>
        <w:t>‑</w:t>
      </w:r>
      <w:r>
        <w:rPr>
          <w:rFonts w:ascii="Arial" w:cs="Arial" w:eastAsia="Arial" w:hAnsi="Arial"/>
          <w:sz w:val="16"/>
          <w:szCs w:val="16"/>
          <w:color w:val="auto"/>
        </w:rPr>
        <w:t>554 in order to identify HCC patients with FGFR4 pathway activation and BLU-667 in order to identify NSCLC patients with RET fusions. However, we have not yet initiated commercialization of these companion diagnostic tests or development and commercialization of companion diagnostic tests for any of our other programs. We have little experience in the development and commercialization of companion diagnostic tests and may not be successful in developing and commercializing appropriate companion diagnostic tests to pair with any of our drug candidates that receive marketing approval. Companion diagnostic tests are subject to regulation by the FDA and similar regulatory authorities outside the United States as medical devices and require separate regulatory approval prior to commercialization. Given our limited experience in developing and commercializing companion diagnostic tests, we are relying on third parties to design, manufacture, obtain regulatory approval for and commercialize the companion diagnostic tests for avapritinib, BLU-554 and BLU-667, and we expect to rely in whole or in part on third parties to design, manufacture, obtain regulatory approval for and commercialize any other companion diagnostic tests for our drug candidates. We and our collaborators may encounter difficulties in developing and obtaining approval for the companion diagnostic tests, including issues relating to selectivity/specificity, analytical validation, reproducibility, or clinical validation. In addition, our collaborators for any companion diagnostic test that we may seek to develop:</w:t>
      </w:r>
    </w:p>
    <w:p>
      <w:pPr>
        <w:spacing w:after="0" w:line="173" w:lineRule="exact"/>
        <w:rPr>
          <w:sz w:val="20"/>
          <w:szCs w:val="20"/>
          <w:color w:val="auto"/>
        </w:rPr>
      </w:pPr>
    </w:p>
    <w:p>
      <w:pPr>
        <w:ind w:left="4440" w:right="200" w:hanging="3465"/>
        <w:spacing w:after="0" w:line="731" w:lineRule="auto"/>
        <w:tabs>
          <w:tab w:leader="none" w:pos="12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may not perform their respective obligations as expected or as required under our agreements with them;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-216535</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300" w:right="760" w:hanging="325"/>
        <w:spacing w:after="0" w:line="235"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may not pursue commercialization of a companion diagnostic test even if it receives any required regulatory approvals;</w:t>
      </w:r>
    </w:p>
    <w:p>
      <w:pPr>
        <w:spacing w:after="0" w:line="161" w:lineRule="exact"/>
        <w:rPr>
          <w:rFonts w:ascii="Arial" w:cs="Arial" w:eastAsia="Arial" w:hAnsi="Arial"/>
          <w:sz w:val="18"/>
          <w:szCs w:val="18"/>
          <w:color w:val="auto"/>
        </w:rPr>
      </w:pPr>
    </w:p>
    <w:p>
      <w:pPr>
        <w:jc w:val="both"/>
        <w:ind w:left="1300" w:right="400" w:hanging="325"/>
        <w:spacing w:after="0" w:line="224"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may elect not to continue the development of a companion diagnostic test based on changes in their or other third parties’ strategic focus or available funding, or external factors, such as an acquisition, that divert resources or create competing priorities;</w:t>
      </w:r>
    </w:p>
    <w:p>
      <w:pPr>
        <w:spacing w:after="0" w:line="163" w:lineRule="exact"/>
        <w:rPr>
          <w:rFonts w:ascii="Arial" w:cs="Arial" w:eastAsia="Arial" w:hAnsi="Arial"/>
          <w:sz w:val="18"/>
          <w:szCs w:val="18"/>
          <w:color w:val="auto"/>
        </w:rPr>
      </w:pPr>
    </w:p>
    <w:p>
      <w:pPr>
        <w:ind w:left="1300" w:hanging="325"/>
        <w:spacing w:after="0"/>
        <w:tabs>
          <w:tab w:leader="none" w:pos="13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may not commit sufficient resources to the marketing and distribution of a companion diagnostic test; and</w:t>
      </w:r>
    </w:p>
    <w:p>
      <w:pPr>
        <w:spacing w:after="0" w:line="207" w:lineRule="exact"/>
        <w:rPr>
          <w:rFonts w:ascii="Arial" w:cs="Arial" w:eastAsia="Arial" w:hAnsi="Arial"/>
          <w:sz w:val="16"/>
          <w:szCs w:val="16"/>
          <w:color w:val="auto"/>
        </w:rPr>
      </w:pPr>
    </w:p>
    <w:p>
      <w:pPr>
        <w:ind w:left="1300" w:hanging="325"/>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may terminate their relationship with us.</w:t>
      </w:r>
    </w:p>
    <w:p>
      <w:pPr>
        <w:spacing w:after="0" w:line="185"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Any delay or failure by us or our collaborators to develop or obtain regulatory approval of the companion diagnostic tests could delay or prevent approval of our drug candidates. If we, or any third parties that we have engaged or may in the future engage to assist us are unable to successfully develop and commercialize companion diagnostic tests for our drug candidates, or experience delays in doing so:</w:t>
      </w:r>
    </w:p>
    <w:p>
      <w:pPr>
        <w:spacing w:after="0" w:line="163" w:lineRule="exact"/>
        <w:rPr>
          <w:sz w:val="20"/>
          <w:szCs w:val="20"/>
          <w:color w:val="auto"/>
        </w:rPr>
      </w:pPr>
    </w:p>
    <w:p>
      <w:pPr>
        <w:ind w:left="1300" w:right="140" w:hanging="325"/>
        <w:spacing w:after="0" w:line="235"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development of our drug candidates may be adversely affected if we are unable to appropriately select patients for enrollment in our clinical trials;</w:t>
      </w:r>
    </w:p>
    <w:p>
      <w:pPr>
        <w:spacing w:after="0" w:line="161" w:lineRule="exact"/>
        <w:rPr>
          <w:rFonts w:ascii="Arial" w:cs="Arial" w:eastAsia="Arial" w:hAnsi="Arial"/>
          <w:sz w:val="18"/>
          <w:szCs w:val="18"/>
          <w:color w:val="auto"/>
        </w:rPr>
      </w:pPr>
    </w:p>
    <w:p>
      <w:pPr>
        <w:ind w:left="1300" w:right="400" w:hanging="325"/>
        <w:spacing w:after="0" w:line="235"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our drug candidates may not receive marketing approval if safe and effective use of a therapeutic drug candidate depends on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and</w:t>
      </w:r>
    </w:p>
    <w:p>
      <w:pPr>
        <w:spacing w:after="0" w:line="161" w:lineRule="exact"/>
        <w:rPr>
          <w:rFonts w:ascii="Arial" w:cs="Arial" w:eastAsia="Arial" w:hAnsi="Arial"/>
          <w:sz w:val="18"/>
          <w:szCs w:val="18"/>
          <w:color w:val="auto"/>
        </w:rPr>
      </w:pPr>
    </w:p>
    <w:p>
      <w:pPr>
        <w:jc w:val="both"/>
        <w:ind w:left="1300" w:hanging="325"/>
        <w:spacing w:after="0" w:line="224"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not realize the full commercial potential of any drug candidates that receive marketing approval if, among other reasons, we are unable to appropriately select patients who are likely to benefit from treatment with our drugs.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result, our business would be harmed, possibly materially.</w:t>
      </w:r>
    </w:p>
    <w:p>
      <w:pPr>
        <w:spacing w:after="0" w:line="185"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In addition, third party collaborators may encounter production difficulties that could constrain the supply of the companion diagnostic tests, and both they and we may have difficulties gaining acceptance of the use of the companion diagnostic tests in the clinical community. If such companion diagnostic tests fail to gain market acceptance, it would have an adverse effect on our ability to derive revenues from sales of our drug candidates, if approved. In addition, the diagnostic company with whom we contract may decide to discontinue selling or manufacturing the companion diagnostic test that we anticipate using in connection with development and commercialization of our drug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drug candidates or do so on commercially reasonable terms, which could adversely affect and/or delay the development or commercialization of our drug candidates.</w:t>
      </w:r>
    </w:p>
    <w:p>
      <w:pPr>
        <w:spacing w:after="0" w:line="164" w:lineRule="exact"/>
        <w:rPr>
          <w:sz w:val="20"/>
          <w:szCs w:val="20"/>
          <w:color w:val="auto"/>
        </w:rPr>
      </w:pPr>
    </w:p>
    <w:p>
      <w:pPr>
        <w:ind w:right="660"/>
        <w:spacing w:after="0" w:line="289" w:lineRule="auto"/>
        <w:rPr>
          <w:sz w:val="20"/>
          <w:szCs w:val="20"/>
          <w:color w:val="auto"/>
        </w:rPr>
      </w:pPr>
      <w:r>
        <w:rPr>
          <w:rFonts w:ascii="Arial" w:cs="Arial" w:eastAsia="Arial" w:hAnsi="Arial"/>
          <w:sz w:val="16"/>
          <w:szCs w:val="16"/>
          <w:b w:val="1"/>
          <w:bCs w:val="1"/>
          <w:i w:val="1"/>
          <w:iCs w:val="1"/>
          <w:color w:val="auto"/>
        </w:rPr>
        <w:t>Even if we are able to commercialize any drug candidates, such drugs may become subject to unfavorable pricing regulations or third-party coverage and reimbursement policies, which would harm our business.</w:t>
      </w:r>
    </w:p>
    <w:p>
      <w:pPr>
        <w:spacing w:after="0" w:line="124"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w:t>
      </w:r>
    </w:p>
    <w:p>
      <w:pPr>
        <w:spacing w:after="0" w:line="167" w:lineRule="exact"/>
        <w:rPr>
          <w:sz w:val="20"/>
          <w:szCs w:val="20"/>
          <w:color w:val="auto"/>
        </w:rPr>
      </w:pPr>
    </w:p>
    <w:p>
      <w:pPr>
        <w:ind w:right="120" w:firstLine="648"/>
        <w:spacing w:after="0" w:line="238" w:lineRule="auto"/>
        <w:rPr>
          <w:sz w:val="20"/>
          <w:szCs w:val="20"/>
          <w:color w:val="auto"/>
        </w:rPr>
      </w:pPr>
      <w:r>
        <w:rPr>
          <w:rFonts w:ascii="Arial" w:cs="Arial" w:eastAsia="Arial" w:hAnsi="Arial"/>
          <w:sz w:val="17"/>
          <w:szCs w:val="17"/>
          <w:color w:val="auto"/>
        </w:rPr>
        <w:t>Our ability to commercialize any drug candidates successfully also will depend in part on the extent to which coverage and reimbursement for these drug candidates and related treatments will be available from government authorities, private health insurers and other organizations. Government authorities and third-party payors, such as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80"/>
        <w:spacing w:after="0" w:line="223" w:lineRule="auto"/>
        <w:rPr>
          <w:sz w:val="20"/>
          <w:szCs w:val="20"/>
          <w:color w:val="auto"/>
        </w:rPr>
      </w:pPr>
      <w:r>
        <w:rPr>
          <w:rFonts w:ascii="Arial" w:cs="Arial" w:eastAsia="Arial" w:hAnsi="Arial"/>
          <w:sz w:val="17"/>
          <w:szCs w:val="17"/>
          <w:color w:val="auto"/>
        </w:rPr>
        <w:t>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162"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Healthcare legislative reform measures may have a material adverse effect on our business and results of operations.</w:t>
      </w:r>
    </w:p>
    <w:p>
      <w:pPr>
        <w:spacing w:after="0" w:line="208" w:lineRule="exact"/>
        <w:rPr>
          <w:sz w:val="20"/>
          <w:szCs w:val="20"/>
          <w:color w:val="auto"/>
        </w:rPr>
      </w:pPr>
    </w:p>
    <w:p>
      <w:pPr>
        <w:ind w:right="40" w:firstLine="648"/>
        <w:spacing w:after="0" w:line="234"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or the Affordable Care Act, was passed, which substantially changes the way health care is financed by both governmental and private insurers, and significantly impacts the U.S. pharmaceutical industry. The Affordable Care Act, among other things, subjects biologic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170"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Affordable Care Act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will remain in effect through 2025 unless additional Congressional action is taken. On January 2, 2013, the American Taxpayer Relief Act of 2012 was signed into law, which, among other things, further reduced Medicare payments to several types of providers.</w:t>
      </w:r>
    </w:p>
    <w:p>
      <w:pPr>
        <w:spacing w:after="0" w:line="162"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Moreover, payment methodologies may be subject to changes in healthcare legislation and regulatory initiatives. For example, the Middle Class Tax Relief and Job Creation Act of 2012 required that the Centers for Medicare &amp; Medicaid Services, the agency responsible for administering the Medicare program, or CMS, reduce the Medicare clinical laboratory fee schedule by 2% in 2013, which served as a base for 2014 and subsequent years. In addition, effective January 1, 2014, CMS also began bundling the Medicare payments for certain laboratory tests ordered while a patient received services in a hospital outpatient setting. We expect that additional state and federal healthcare reform measures will be adopted in the future, any of which could limit the amounts that federal and state governments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will pay for healthcare products and services, which could result in reduced demand for our drug candidates or companion diagnostic tests or additional pricing pressures.</w:t>
      </w:r>
    </w:p>
    <w:p>
      <w:pPr>
        <w:spacing w:after="0" w:line="162"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U.S. President Donald Trump and his administration have indicated that enacting changes to or repealing and replacing the Affordable Care Act is a legislative priority. While Congress has not passed repeal legislation to date, the TJCA includes a provision repealing the individual mandate, effective January 1, 2019. Further, on January 20, 2017, U.S. President Donald Trump signed an Executive Order directing federal agencies with authorities and responsibilities under the Affordable Care Act to waive, defer, grant exemptions from, or delay the implementation of any provision of the Affordable Care Act that would impose a fiscal burden on states or a cost, fee, tax, penalty or regulatory burden on individuals, healthcare providers, health insurers, or manufacturers of pharmaceuticals or medical devices.</w:t>
      </w:r>
    </w:p>
    <w:p>
      <w:pPr>
        <w:spacing w:after="0" w:line="162"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On October 13, 2017, President Trump signed an Executive Order terminating the cost-sharing subsidies that reimburse insurers under the Affordable Care Act. Several state Attorneys General filed suit to stop the administration from terminating these subsidies, but on October 25, 2017, a federal judge in California denied their request for a restraining order. In addition, CMS has recently proposed regulations that would give states greater flexibility in setting benchmarks for insurers in the individual and small group marketplaces, which may have the effect of relaxing the health benefits required under the Affordable Care Act for plans sold through these marketplaces. There may be further action to repeal, replace or modify the Affordable Care Act. It is unclear what impact any changes to the Affordable Care Act will have on the availability of healthcare and containing or lowering the cost of healthcare. We plan to continue to evaluate the effect that the Affordable Care Act and its possible repeal and replacement may have on our business.</w:t>
      </w:r>
    </w:p>
    <w:p>
      <w:pPr>
        <w:spacing w:after="0" w:line="162" w:lineRule="exact"/>
        <w:rPr>
          <w:sz w:val="20"/>
          <w:szCs w:val="20"/>
          <w:color w:val="auto"/>
        </w:rPr>
      </w:pPr>
    </w:p>
    <w:p>
      <w:pPr>
        <w:ind w:right="40" w:firstLine="648"/>
        <w:spacing w:after="0" w:line="241" w:lineRule="auto"/>
        <w:rPr>
          <w:sz w:val="20"/>
          <w:szCs w:val="20"/>
          <w:color w:val="auto"/>
        </w:rPr>
      </w:pPr>
      <w:r>
        <w:rPr>
          <w:rFonts w:ascii="Arial" w:cs="Arial" w:eastAsia="Arial" w:hAnsi="Arial"/>
          <w:sz w:val="16"/>
          <w:szCs w:val="16"/>
          <w:color w:val="auto"/>
        </w:rPr>
        <w:t>Healthcare reforms stemming from the repeal of, and potential replacement for, the Affordable Care Act may result in more rigorous coverage criteria and lower reimbursement among regulated third-party payors, and in additional downward pressure on the prices that we receive for sales of our products, if approved. Any reduction in reimbursement from Medicare or other government-funded federal programs, including the Veterans Health Administration, or state healthcare programs could lead to a similar reduction in payments from private commercial payors. The implementation of cost containment measures or other healthcare reforms may thus prevent us from being able to generate revenue or attain profitability.</w:t>
      </w:r>
    </w:p>
    <w:p>
      <w:pPr>
        <w:spacing w:after="0" w:line="161" w:lineRule="exact"/>
        <w:rPr>
          <w:sz w:val="20"/>
          <w:szCs w:val="20"/>
          <w:color w:val="auto"/>
        </w:rPr>
      </w:pPr>
    </w:p>
    <w:p>
      <w:pPr>
        <w:ind w:right="80" w:firstLine="648"/>
        <w:spacing w:after="0" w:line="237" w:lineRule="auto"/>
        <w:rPr>
          <w:sz w:val="20"/>
          <w:szCs w:val="20"/>
          <w:color w:val="auto"/>
        </w:rPr>
      </w:pPr>
      <w:r>
        <w:rPr>
          <w:rFonts w:ascii="Arial" w:cs="Arial" w:eastAsia="Arial" w:hAnsi="Arial"/>
          <w:sz w:val="16"/>
          <w:szCs w:val="16"/>
          <w:color w:val="auto"/>
        </w:rPr>
        <w:t>The delivery of healthcare in the European Union,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spacing w:after="0" w:line="167" w:lineRule="exact"/>
        <w:rPr>
          <w:sz w:val="20"/>
          <w:szCs w:val="20"/>
          <w:color w:val="auto"/>
        </w:rPr>
      </w:pPr>
    </w:p>
    <w:p>
      <w:pPr>
        <w:ind w:right="140" w:firstLine="648"/>
        <w:spacing w:after="0" w:line="216" w:lineRule="auto"/>
        <w:rPr>
          <w:sz w:val="20"/>
          <w:szCs w:val="20"/>
          <w:color w:val="auto"/>
        </w:rPr>
      </w:pPr>
      <w:r>
        <w:rPr>
          <w:rFonts w:ascii="Arial" w:cs="Arial" w:eastAsia="Arial" w:hAnsi="Arial"/>
          <w:sz w:val="18"/>
          <w:szCs w:val="18"/>
          <w:color w:val="auto"/>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our stock price or limit our ability to raise capital or to enter into collaboration agreements for the further development and potential commercialization of our products.</w:t>
      </w:r>
    </w:p>
    <w:p>
      <w:pPr>
        <w:spacing w:after="0" w:line="162" w:lineRule="exact"/>
        <w:rPr>
          <w:sz w:val="20"/>
          <w:szCs w:val="20"/>
          <w:color w:val="auto"/>
        </w:rPr>
      </w:pPr>
    </w:p>
    <w:p>
      <w:pPr>
        <w:jc w:val="both"/>
        <w:ind w:right="120"/>
        <w:spacing w:after="0" w:line="224" w:lineRule="auto"/>
        <w:rPr>
          <w:sz w:val="20"/>
          <w:szCs w:val="20"/>
          <w:color w:val="auto"/>
        </w:rPr>
      </w:pPr>
      <w:r>
        <w:rPr>
          <w:rFonts w:ascii="Arial" w:cs="Arial" w:eastAsia="Arial" w:hAnsi="Arial"/>
          <w:sz w:val="18"/>
          <w:szCs w:val="18"/>
          <w:b w:val="1"/>
          <w:bCs w:val="1"/>
          <w:i w:val="1"/>
          <w:iCs w:val="1"/>
          <w:color w:val="auto"/>
        </w:rPr>
        <w:t>If, in the future, we are unable to establish sales and marketing capabilities or enter into agreements with third parties to sell and market our drug candidates, we may not be successful in commercializing our drug candidates if and when they are approved, and we may not be able to generate any revenue.</w:t>
      </w:r>
    </w:p>
    <w:p>
      <w:pPr>
        <w:spacing w:after="0" w:line="163" w:lineRule="exact"/>
        <w:rPr>
          <w:sz w:val="20"/>
          <w:szCs w:val="20"/>
          <w:color w:val="auto"/>
        </w:rPr>
      </w:pPr>
    </w:p>
    <w:p>
      <w:pPr>
        <w:ind w:right="40" w:firstLine="648"/>
        <w:spacing w:after="0" w:line="185" w:lineRule="exact"/>
        <w:rPr>
          <w:sz w:val="20"/>
          <w:szCs w:val="20"/>
          <w:color w:val="auto"/>
        </w:rPr>
      </w:pPr>
      <w:r>
        <w:rPr>
          <w:rFonts w:ascii="Arial" w:cs="Arial" w:eastAsia="Arial" w:hAnsi="Arial"/>
          <w:sz w:val="18"/>
          <w:szCs w:val="18"/>
          <w:color w:val="auto"/>
        </w:rPr>
        <w:t>We do not currently have a sales or marketing infrastructure and have limited experience in the sale, marketing or distribution of drugs. To achieve commercial success for any approved drug candidate for which we retain sales and marketing responsibilities, we must build our sales, marketing, managerial, and other non</w:t>
      </w:r>
      <w:r>
        <w:rPr>
          <w:rFonts w:ascii="MS PGothic" w:cs="MS PGothic" w:eastAsia="MS PGothic" w:hAnsi="MS PGothic"/>
          <w:sz w:val="18"/>
          <w:szCs w:val="18"/>
          <w:color w:val="auto"/>
        </w:rPr>
        <w:t>‑</w:t>
      </w:r>
      <w:r>
        <w:rPr>
          <w:rFonts w:ascii="Arial" w:cs="Arial" w:eastAsia="Arial" w:hAnsi="Arial"/>
          <w:sz w:val="18"/>
          <w:szCs w:val="18"/>
          <w:color w:val="auto"/>
        </w:rPr>
        <w:t>technical capabilities or make arrangements with third parties to perform these services. In the future, we may choose to build a focused sales and marketing infrastructure to sell, or participate in sales activities with our collaborators for, some of our drug candidates if and when they are approved.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80" w:firstLine="648"/>
        <w:spacing w:after="0" w:line="214" w:lineRule="auto"/>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drug launch.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may inhibit our efforts to commercialize our drug candidates on our own include:</w:t>
      </w:r>
    </w:p>
    <w:p>
      <w:pPr>
        <w:spacing w:after="0" w:line="185" w:lineRule="exact"/>
        <w:rPr>
          <w:sz w:val="20"/>
          <w:szCs w:val="20"/>
          <w:color w:val="auto"/>
        </w:rPr>
      </w:pPr>
    </w:p>
    <w:p>
      <w:pPr>
        <w:ind w:left="1300" w:hanging="325"/>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84" w:lineRule="exact"/>
        <w:rPr>
          <w:rFonts w:ascii="Arial" w:cs="Arial" w:eastAsia="Arial" w:hAnsi="Arial"/>
          <w:sz w:val="18"/>
          <w:szCs w:val="18"/>
          <w:color w:val="auto"/>
        </w:rPr>
      </w:pPr>
    </w:p>
    <w:p>
      <w:pPr>
        <w:ind w:left="1300" w:right="160" w:hanging="325"/>
        <w:spacing w:after="0" w:line="235"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future drugs;</w:t>
      </w:r>
    </w:p>
    <w:p>
      <w:pPr>
        <w:spacing w:after="0" w:line="161" w:lineRule="exact"/>
        <w:rPr>
          <w:rFonts w:ascii="Arial" w:cs="Arial" w:eastAsia="Arial" w:hAnsi="Arial"/>
          <w:sz w:val="18"/>
          <w:szCs w:val="18"/>
          <w:color w:val="auto"/>
        </w:rPr>
      </w:pPr>
    </w:p>
    <w:p>
      <w:pPr>
        <w:ind w:left="1300" w:right="500" w:hanging="325"/>
        <w:spacing w:after="0" w:line="235"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product lines; and</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unforeseen costs and expenses associated with creating an independent sales and marketing organization.</w:t>
      </w:r>
    </w:p>
    <w:p>
      <w:pPr>
        <w:spacing w:after="0" w:line="208" w:lineRule="exact"/>
        <w:rPr>
          <w:sz w:val="20"/>
          <w:szCs w:val="20"/>
          <w:color w:val="auto"/>
        </w:rPr>
      </w:pPr>
    </w:p>
    <w:p>
      <w:pPr>
        <w:ind w:right="140" w:firstLine="648"/>
        <w:spacing w:after="0" w:line="237" w:lineRule="auto"/>
        <w:rPr>
          <w:sz w:val="20"/>
          <w:szCs w:val="20"/>
          <w:color w:val="auto"/>
        </w:rPr>
      </w:pPr>
      <w:r>
        <w:rPr>
          <w:rFonts w:ascii="Arial" w:cs="Arial" w:eastAsia="Arial" w:hAnsi="Arial"/>
          <w:sz w:val="16"/>
          <w:szCs w:val="16"/>
          <w:color w:val="auto"/>
        </w:rPr>
        <w:t>If we enter into arrangements with third parties to perform sales, marketing and distribution services, our drug revenues or the profitability of these drug revenues to us are likely to be lower than if we were to market and sell any drug candidates that we develop ourselves. In addition, we may not be successful in entering into arrangements with third parties to sell and market our drug candidates or may be unable to do so on terms that are favorable to us. We likely will have little control over such third parties, and any of them may fail to devote the necessary resources and attention to sell and market our drug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167" w:lineRule="exact"/>
        <w:rPr>
          <w:sz w:val="20"/>
          <w:szCs w:val="20"/>
          <w:color w:val="auto"/>
        </w:rPr>
      </w:pPr>
    </w:p>
    <w:p>
      <w:pPr>
        <w:ind w:right="120"/>
        <w:spacing w:after="0" w:line="284" w:lineRule="auto"/>
        <w:rPr>
          <w:sz w:val="20"/>
          <w:szCs w:val="20"/>
          <w:color w:val="auto"/>
        </w:rPr>
      </w:pPr>
      <w:r>
        <w:rPr>
          <w:rFonts w:ascii="Arial" w:cs="Arial" w:eastAsia="Arial" w:hAnsi="Arial"/>
          <w:sz w:val="15"/>
          <w:szCs w:val="15"/>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30" w:lineRule="exact"/>
        <w:rPr>
          <w:sz w:val="20"/>
          <w:szCs w:val="20"/>
          <w:color w:val="auto"/>
        </w:rPr>
      </w:pPr>
    </w:p>
    <w:p>
      <w:pPr>
        <w:ind w:right="40" w:firstLine="648"/>
        <w:spacing w:after="0" w:line="237" w:lineRule="auto"/>
        <w:rPr>
          <w:sz w:val="20"/>
          <w:szCs w:val="20"/>
          <w:color w:val="auto"/>
        </w:rPr>
      </w:pPr>
      <w:r>
        <w:rPr>
          <w:rFonts w:ascii="Arial" w:cs="Arial" w:eastAsia="Arial" w:hAnsi="Arial"/>
          <w:sz w:val="16"/>
          <w:szCs w:val="16"/>
          <w:color w:val="auto"/>
        </w:rPr>
        <w:t>Although we do not currently have any drugs on the market, once we begin commercializing our drug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drug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drug candidates for which we obtain marketing approval. Restrictions under applicable federal and state healthcare laws and regulations include the following:</w:t>
      </w:r>
    </w:p>
    <w:p>
      <w:pPr>
        <w:spacing w:after="0" w:line="167" w:lineRule="exact"/>
        <w:rPr>
          <w:sz w:val="20"/>
          <w:szCs w:val="20"/>
          <w:color w:val="auto"/>
        </w:rPr>
      </w:pPr>
    </w:p>
    <w:p>
      <w:pPr>
        <w:ind w:left="980" w:hanging="329"/>
        <w:spacing w:after="0" w:line="214"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62" w:lineRule="exact"/>
        <w:rPr>
          <w:rFonts w:ascii="Arial" w:cs="Arial" w:eastAsia="Arial" w:hAnsi="Arial"/>
          <w:sz w:val="18"/>
          <w:szCs w:val="18"/>
          <w:color w:val="auto"/>
        </w:rPr>
      </w:pPr>
    </w:p>
    <w:p>
      <w:pPr>
        <w:ind w:left="980" w:right="120" w:hanging="329"/>
        <w:spacing w:after="0" w:line="249" w:lineRule="auto"/>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federal False Claims Act imposes civil penalties, including through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 In addition,</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980" w:right="280"/>
        <w:spacing w:after="0" w:line="289" w:lineRule="auto"/>
        <w:rPr>
          <w:sz w:val="20"/>
          <w:szCs w:val="20"/>
          <w:color w:val="auto"/>
        </w:rPr>
      </w:pPr>
      <w:r>
        <w:rPr>
          <w:rFonts w:ascii="Arial" w:cs="Arial" w:eastAsia="Arial" w:hAnsi="Arial"/>
          <w:sz w:val="16"/>
          <w:szCs w:val="16"/>
          <w:color w:val="auto"/>
        </w:rPr>
        <w:t>the government may assert that a claim including items and services resulting from a violation of the federal Anti-Kickback Statute constitutes a false or fraudulent claim for purposes of the False Claims Act;</w:t>
      </w:r>
    </w:p>
    <w:p>
      <w:pPr>
        <w:spacing w:after="0" w:line="124" w:lineRule="exact"/>
        <w:rPr>
          <w:sz w:val="20"/>
          <w:szCs w:val="20"/>
          <w:color w:val="auto"/>
        </w:rPr>
      </w:pPr>
    </w:p>
    <w:p>
      <w:pPr>
        <w:ind w:left="980" w:right="20" w:hanging="329"/>
        <w:spacing w:after="0" w:line="214"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62" w:lineRule="exact"/>
        <w:rPr>
          <w:rFonts w:ascii="Arial" w:cs="Arial" w:eastAsia="Arial" w:hAnsi="Arial"/>
          <w:sz w:val="18"/>
          <w:szCs w:val="18"/>
          <w:color w:val="auto"/>
        </w:rPr>
      </w:pPr>
    </w:p>
    <w:p>
      <w:pPr>
        <w:ind w:left="980" w:right="200" w:hanging="329"/>
        <w:spacing w:after="0" w:line="244" w:lineRule="auto"/>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federal physician payment transparency requirements, sometimes referred to as the “Sunshine Act” under the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the ownership and investment interests of such physicians and their immediate family members;</w:t>
      </w:r>
    </w:p>
    <w:p>
      <w:pPr>
        <w:spacing w:after="0" w:line="158" w:lineRule="exact"/>
        <w:rPr>
          <w:rFonts w:ascii="Arial" w:cs="Arial" w:eastAsia="Arial" w:hAnsi="Arial"/>
          <w:sz w:val="16"/>
          <w:szCs w:val="16"/>
          <w:color w:val="auto"/>
        </w:rPr>
      </w:pPr>
    </w:p>
    <w:p>
      <w:pPr>
        <w:ind w:left="980" w:right="80" w:hanging="329"/>
        <w:spacing w:after="0" w:line="214"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162" w:lineRule="exact"/>
        <w:rPr>
          <w:rFonts w:ascii="Arial" w:cs="Arial" w:eastAsia="Arial" w:hAnsi="Arial"/>
          <w:sz w:val="18"/>
          <w:szCs w:val="18"/>
          <w:color w:val="auto"/>
        </w:rPr>
      </w:pPr>
    </w:p>
    <w:p>
      <w:pPr>
        <w:ind w:left="980" w:right="320" w:hanging="329"/>
        <w:spacing w:after="0" w:line="235"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161" w:lineRule="exact"/>
        <w:rPr>
          <w:rFonts w:ascii="Arial" w:cs="Arial" w:eastAsia="Arial" w:hAnsi="Arial"/>
          <w:sz w:val="18"/>
          <w:szCs w:val="18"/>
          <w:color w:val="auto"/>
        </w:rPr>
      </w:pPr>
    </w:p>
    <w:p>
      <w:pPr>
        <w:ind w:left="980" w:right="20" w:hanging="329"/>
        <w:spacing w:after="0" w:line="237" w:lineRule="auto"/>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spacing w:after="0" w:line="167" w:lineRule="exact"/>
        <w:rPr>
          <w:sz w:val="20"/>
          <w:szCs w:val="20"/>
          <w:color w:val="auto"/>
        </w:rPr>
      </w:pPr>
    </w:p>
    <w:p>
      <w:pPr>
        <w:ind w:right="80" w:firstLine="648"/>
        <w:spacing w:after="0" w:line="222"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government-funded healthcare programs.</w:t>
      </w:r>
    </w:p>
    <w:p>
      <w:pPr>
        <w:spacing w:after="0" w:line="164" w:lineRule="exact"/>
        <w:rPr>
          <w:sz w:val="20"/>
          <w:szCs w:val="20"/>
          <w:color w:val="auto"/>
        </w:rPr>
      </w:pPr>
    </w:p>
    <w:p>
      <w:pPr>
        <w:ind w:right="680"/>
        <w:spacing w:after="0" w:line="235"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62"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Our future profitability may depend, in part, on our ability to commercialize our drug candidates in foreign markets for which we may rely on collaboration with third parties. We are not permitted to market or promote any of our drug candidates before we receive regulatory approval from the applicable regulatory authority in that foreign market, and we may never receive such regulatory approval for any of our drug candidates. To obtain separate regulatory approval in many other countries we must comply with numerous and varying regulatory requirements of such countries regarding safety and efficacy and governing, among other things, clinical trials and commercial sales, pricing and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distribution of our drug candidates, and we cannot predict success in these jurisdictions. If we obtain approval of our drug candidates and ultimately commercialize our drug candidates in foreign markets, we would be subject to additional risks and uncertainties, including:</w:t>
      </w:r>
    </w:p>
    <w:p>
      <w:pPr>
        <w:spacing w:after="0" w:line="163" w:lineRule="exact"/>
        <w:rPr>
          <w:sz w:val="20"/>
          <w:szCs w:val="20"/>
          <w:color w:val="auto"/>
        </w:rPr>
      </w:pPr>
    </w:p>
    <w:p>
      <w:pPr>
        <w:ind w:left="1300" w:hanging="325"/>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drug candidates in foreign markets;</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144" w:lineRule="exact"/>
        <w:rPr>
          <w:rFonts w:ascii="Arial" w:cs="Arial" w:eastAsia="Arial" w:hAnsi="Arial"/>
          <w:sz w:val="18"/>
          <w:szCs w:val="18"/>
          <w:color w:val="auto"/>
        </w:rPr>
      </w:pPr>
    </w:p>
    <w:p>
      <w:pPr>
        <w:ind w:left="1300" w:right="700" w:hanging="325"/>
        <w:spacing w:after="0" w:line="235"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121" w:lineRule="exact"/>
        <w:rPr>
          <w:rFonts w:ascii="Arial" w:cs="Arial" w:eastAsia="Arial" w:hAnsi="Arial"/>
          <w:sz w:val="18"/>
          <w:szCs w:val="18"/>
          <w:color w:val="auto"/>
        </w:rPr>
      </w:pPr>
    </w:p>
    <w:p>
      <w:pPr>
        <w:ind w:left="1300" w:hanging="325"/>
        <w:spacing w:after="0"/>
        <w:tabs>
          <w:tab w:leader="none" w:pos="13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different medical practices and customs in foreign countries affecting acceptance in the marketplace;</w:t>
      </w:r>
    </w:p>
    <w:p>
      <w:pPr>
        <w:spacing w:after="0" w:line="155" w:lineRule="exact"/>
        <w:rPr>
          <w:rFonts w:ascii="Arial" w:cs="Arial" w:eastAsia="Arial" w:hAnsi="Arial"/>
          <w:sz w:val="17"/>
          <w:szCs w:val="17"/>
          <w:color w:val="auto"/>
        </w:rPr>
      </w:pPr>
    </w:p>
    <w:p>
      <w:pPr>
        <w:ind w:left="1300" w:hanging="325"/>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third-party intellectual property rights;</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interpretation of contractual provisions governed by foreign laws in the event of a contract dispute.</w:t>
      </w:r>
    </w:p>
    <w:p>
      <w:pPr>
        <w:spacing w:after="0" w:line="156" w:lineRule="exact"/>
        <w:rPr>
          <w:sz w:val="20"/>
          <w:szCs w:val="20"/>
          <w:color w:val="auto"/>
        </w:rPr>
      </w:pPr>
    </w:p>
    <w:p>
      <w:pPr>
        <w:ind w:right="220" w:firstLine="648"/>
        <w:spacing w:after="0" w:line="235" w:lineRule="auto"/>
        <w:rPr>
          <w:sz w:val="20"/>
          <w:szCs w:val="20"/>
          <w:color w:val="auto"/>
        </w:rPr>
      </w:pPr>
      <w:r>
        <w:rPr>
          <w:rFonts w:ascii="Arial" w:cs="Arial" w:eastAsia="Arial" w:hAnsi="Arial"/>
          <w:sz w:val="18"/>
          <w:szCs w:val="18"/>
          <w:color w:val="auto"/>
        </w:rPr>
        <w:t>Foreign sales of our drug candidates could also be adversely affected by the imposition of governmental controls, political and economic instability, trade restrictions and changes in tariffs.</w:t>
      </w:r>
    </w:p>
    <w:p>
      <w:pPr>
        <w:spacing w:after="0" w:line="162"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62"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In some countries, particularly countries in the European Union,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drug candidate to other available therapies. If reimbursement of our drugs is unavailable or limited in scope or amount, or if pricing is set at unsatisfactory levels, our business could be materially harmed. In addition, in 2016, the United Kingdom referendum on its membership in the European Union resulted in a majority of United Kingdom voters voting to exit the European Union, often referred to as Brexit. Brexit has already and may continue to adversely affect European and/or worldwide regulatory conditions. Brexit could lead to legal uncertainty and potentially divergent national laws and regulations, including those related to the pricing of prescription pharmaceuticals, as the United Kingdom determines which European Union laws to replicate or replace. If the United Kingdom were to significantly alter its regulations affecting the pricing of prescription pharmaceuticals, we could face significant new costs. As a result, Brexit could impair our ability to transact business in the European Union and the United Kingdom.</w:t>
      </w:r>
    </w:p>
    <w:p>
      <w:pPr>
        <w:spacing w:after="0" w:line="169" w:lineRule="exact"/>
        <w:rPr>
          <w:sz w:val="20"/>
          <w:szCs w:val="20"/>
          <w:color w:val="auto"/>
        </w:rPr>
      </w:pPr>
    </w:p>
    <w:p>
      <w:pPr>
        <w:ind w:right="460"/>
        <w:spacing w:after="0" w:line="289" w:lineRule="auto"/>
        <w:rPr>
          <w:sz w:val="20"/>
          <w:szCs w:val="20"/>
          <w:color w:val="auto"/>
        </w:rPr>
      </w:pPr>
      <w:r>
        <w:rPr>
          <w:rFonts w:ascii="Arial" w:cs="Arial" w:eastAsia="Arial" w:hAnsi="Arial"/>
          <w:sz w:val="16"/>
          <w:szCs w:val="16"/>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24" w:lineRule="exact"/>
        <w:rPr>
          <w:sz w:val="20"/>
          <w:szCs w:val="20"/>
          <w:color w:val="auto"/>
        </w:rPr>
      </w:pPr>
    </w:p>
    <w:p>
      <w:pPr>
        <w:ind w:right="60" w:firstLine="648"/>
        <w:spacing w:after="0" w:line="226"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resulting damages, and any liability could exceed our resources. We also could incur significant costs associated with civil or criminal fines and penalties.</w:t>
      </w:r>
    </w:p>
    <w:p>
      <w:pPr>
        <w:spacing w:after="0" w:line="162" w:lineRule="exact"/>
        <w:rPr>
          <w:sz w:val="20"/>
          <w:szCs w:val="20"/>
          <w:color w:val="auto"/>
        </w:rPr>
      </w:pPr>
    </w:p>
    <w:p>
      <w:pPr>
        <w:ind w:right="40" w:firstLine="648"/>
        <w:spacing w:after="0" w:line="232"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89"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62" w:lineRule="exact"/>
        <w:rPr>
          <w:sz w:val="20"/>
          <w:szCs w:val="20"/>
          <w:color w:val="auto"/>
        </w:rPr>
      </w:pPr>
    </w:p>
    <w:p>
      <w:pPr>
        <w:ind w:right="40" w:firstLine="648"/>
        <w:spacing w:after="0" w:line="259" w:lineRule="auto"/>
        <w:rPr>
          <w:sz w:val="20"/>
          <w:szCs w:val="20"/>
          <w:color w:val="auto"/>
        </w:rPr>
      </w:pPr>
      <w:r>
        <w:rPr>
          <w:rFonts w:ascii="Arial" w:cs="Arial" w:eastAsia="Arial" w:hAnsi="Arial"/>
          <w:sz w:val="16"/>
          <w:szCs w:val="16"/>
          <w:color w:val="auto"/>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w:t>
      </w:r>
    </w:p>
    <w:p>
      <w:pPr>
        <w:spacing w:after="0" w:line="147"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The terms of any additional collaborations or other arrangements that we may establish may not be favorable to us.</w:t>
      </w:r>
    </w:p>
    <w:p>
      <w:pPr>
        <w:spacing w:after="0" w:line="167" w:lineRule="exact"/>
        <w:rPr>
          <w:sz w:val="20"/>
          <w:szCs w:val="20"/>
          <w:color w:val="auto"/>
        </w:rPr>
      </w:pPr>
    </w:p>
    <w:p>
      <w:pPr>
        <w:ind w:right="140" w:firstLine="648"/>
        <w:spacing w:after="0" w:line="232" w:lineRule="auto"/>
        <w:rPr>
          <w:sz w:val="20"/>
          <w:szCs w:val="20"/>
          <w:color w:val="auto"/>
        </w:rPr>
      </w:pPr>
      <w:r>
        <w:rPr>
          <w:rFonts w:ascii="Arial" w:cs="Arial" w:eastAsia="Arial" w:hAnsi="Arial"/>
          <w:sz w:val="17"/>
          <w:szCs w:val="17"/>
          <w:color w:val="auto"/>
        </w:rPr>
        <w:t>We may also be restricted under our collaboration agreement with Roche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3" w:lineRule="exact"/>
        <w:rPr>
          <w:sz w:val="20"/>
          <w:szCs w:val="20"/>
          <w:color w:val="auto"/>
        </w:rPr>
      </w:pPr>
    </w:p>
    <w:p>
      <w:pPr>
        <w:ind w:right="140" w:firstLine="648"/>
        <w:spacing w:after="0" w:line="223" w:lineRule="auto"/>
        <w:rPr>
          <w:sz w:val="20"/>
          <w:szCs w:val="20"/>
          <w:color w:val="auto"/>
        </w:rPr>
      </w:pPr>
      <w:r>
        <w:rPr>
          <w:rFonts w:ascii="Arial" w:cs="Arial" w:eastAsia="Arial" w:hAnsi="Arial"/>
          <w:sz w:val="17"/>
          <w:szCs w:val="17"/>
          <w:color w:val="auto"/>
        </w:rPr>
        <w:t>We may not be able to negotiate additional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drug revenue.</w:t>
      </w:r>
    </w:p>
    <w:p>
      <w:pPr>
        <w:spacing w:after="0" w:line="168"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In addition, our collaboration with Roche, as well as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For example, in the fourth quarter of 2017, Alexion terminated our collaboration related to fibrodysplasia ossificans progressive for convenience following a strategic review by Alexion of its research and development portfolio. Any termination or expiration of our collaboration agreement with Roche or any future collaboration agreement could adversely affect us financially or harm our business reputation.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60"/>
        <w:spacing w:after="0" w:line="284" w:lineRule="auto"/>
        <w:rPr>
          <w:sz w:val="20"/>
          <w:szCs w:val="20"/>
          <w:color w:val="auto"/>
        </w:rPr>
      </w:pPr>
      <w:r>
        <w:rPr>
          <w:rFonts w:ascii="Arial" w:cs="Arial" w:eastAsia="Arial" w:hAnsi="Arial"/>
          <w:sz w:val="15"/>
          <w:szCs w:val="15"/>
          <w:b w:val="1"/>
          <w:bCs w:val="1"/>
          <w:i w:val="1"/>
          <w:iCs w:val="1"/>
          <w:color w:val="auto"/>
        </w:rPr>
        <w:t>We rely on third parties to conduct our clinical trials for our drug candidates.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30" w:lineRule="exact"/>
        <w:rPr>
          <w:sz w:val="20"/>
          <w:szCs w:val="20"/>
          <w:color w:val="auto"/>
        </w:rPr>
      </w:pPr>
    </w:p>
    <w:p>
      <w:pPr>
        <w:ind w:right="160" w:firstLine="648"/>
        <w:spacing w:after="0" w:line="223" w:lineRule="auto"/>
        <w:rPr>
          <w:sz w:val="20"/>
          <w:szCs w:val="20"/>
          <w:color w:val="auto"/>
        </w:rPr>
      </w:pPr>
      <w:r>
        <w:rPr>
          <w:rFonts w:ascii="Arial" w:cs="Arial" w:eastAsia="Arial" w:hAnsi="Arial"/>
          <w:sz w:val="17"/>
          <w:szCs w:val="17"/>
          <w:color w:val="auto"/>
        </w:rPr>
        <w:t>We do not have the ability to independently conduct clinical trials. We rely on medical institutions, clinical investigators, CROs, contract laboratories and other third parties to conduct or otherwise support clinical trials for our drug candidates. We rely heavily on these parties for execution of clinical trials for our drug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68"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We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62" w:lineRule="exact"/>
        <w:rPr>
          <w:sz w:val="20"/>
          <w:szCs w:val="20"/>
          <w:color w:val="auto"/>
        </w:rPr>
      </w:pPr>
    </w:p>
    <w:p>
      <w:pPr>
        <w:ind w:right="100" w:firstLine="648"/>
        <w:spacing w:after="0" w:line="214" w:lineRule="auto"/>
        <w:rPr>
          <w:sz w:val="20"/>
          <w:szCs w:val="20"/>
          <w:color w:val="auto"/>
        </w:rPr>
      </w:pPr>
      <w:r>
        <w:rPr>
          <w:rFonts w:ascii="Arial" w:cs="Arial" w:eastAsia="Arial" w:hAnsi="Arial"/>
          <w:sz w:val="18"/>
          <w:szCs w:val="18"/>
          <w:color w:val="auto"/>
        </w:rPr>
        <w:t>Although we intend to design the clinical trials for our drug candidates, CROs will conduct all of the clinical trials.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62" w:lineRule="exact"/>
        <w:rPr>
          <w:sz w:val="20"/>
          <w:szCs w:val="20"/>
          <w:color w:val="auto"/>
        </w:rPr>
      </w:pPr>
    </w:p>
    <w:p>
      <w:pPr>
        <w:ind w:left="1300" w:hanging="325"/>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185" w:lineRule="exact"/>
        <w:rPr>
          <w:sz w:val="20"/>
          <w:szCs w:val="20"/>
          <w:color w:val="auto"/>
        </w:rPr>
      </w:pPr>
    </w:p>
    <w:p>
      <w:pPr>
        <w:ind w:right="120" w:firstLine="648"/>
        <w:spacing w:after="0" w:line="211"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80" w:firstLine="648"/>
        <w:spacing w:after="0" w:line="223"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candidates. As a result, we believe that our financial results and the commercial prospects for our drug candidates in the subject indication would be harmed, our costs could increase and our ability to generate revenue could be delayed.</w:t>
      </w:r>
    </w:p>
    <w:p>
      <w:pPr>
        <w:spacing w:after="0" w:line="168"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b w:val="1"/>
          <w:bCs w:val="1"/>
          <w:i w:val="1"/>
          <w:iCs w:val="1"/>
          <w:color w:val="auto"/>
        </w:rPr>
        <w:t>We contract with third parties for the manufacture of our drug candidates for pre-clinical development and clinical trials, and we expect to continue to do so for commercialization. This reliance on third parties increases the risk that we will not have sufficient quantities of our drug candidates or drugs or such quantities at an acceptable cost, which could delay, prevent or impair our development or commercialization efforts.</w:t>
      </w:r>
    </w:p>
    <w:p>
      <w:pPr>
        <w:spacing w:after="0" w:line="163"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We do not currently own or operate, nor do we have any plans to establish in the future, any manufacturing facilities or personnel. We rely, and expect to continue to rely, on third parties for the manufacture of our drug candidates for pre-clinical development and clinical testing, as well as for the commercial manufacture of our drugs if any of our drug candidates receive marketing approval. This reliance on third parties increases the risk that we will not have sufficient quantities of our drug candidates or drugs or such quantities at an acceptable cost or quality, which could delay, prevent or impair our development or commercialization efforts.</w:t>
      </w:r>
    </w:p>
    <w:p>
      <w:pPr>
        <w:spacing w:after="0" w:line="162"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The facilities used by our contract manufacturers to manufacture our drug candidates must be approved by the FDA pursuant to inspections that will be conducted after we submit our marketing applications to the FDA. We do not control the manufacturing process of, and will be completely dependent on, our contract manufacturers for compliance with cGMPs in connection with the manufacture of our drug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 candidates.</w:t>
      </w:r>
    </w:p>
    <w:p>
      <w:pPr>
        <w:spacing w:after="0" w:line="163" w:lineRule="exact"/>
        <w:rPr>
          <w:sz w:val="20"/>
          <w:szCs w:val="20"/>
          <w:color w:val="auto"/>
        </w:rPr>
      </w:pPr>
    </w:p>
    <w:p>
      <w:pPr>
        <w:ind w:right="80" w:firstLine="648"/>
        <w:spacing w:after="0" w:line="229" w:lineRule="auto"/>
        <w:rPr>
          <w:sz w:val="20"/>
          <w:szCs w:val="20"/>
          <w:color w:val="auto"/>
        </w:rPr>
      </w:pPr>
      <w:r>
        <w:rPr>
          <w:rFonts w:ascii="Arial" w:cs="Arial" w:eastAsia="Arial" w:hAnsi="Arial"/>
          <w:sz w:val="17"/>
          <w:szCs w:val="17"/>
          <w:color w:val="auto"/>
        </w:rPr>
        <w:t>We do not have any long-term supply agreements with our contract manufacturers, and we purchase our required drug supply, including the drug product and drug substance used in our most advanced drug candidates, on a purchase order basis. In addition, we may be unable to establish or maintain any agreements with third-party manufacturers or to do so on acceptable terms. Even if we are able to establish and maintain agreements with third-party manufacturers, reliance on third-party manufacturers entails additional risks, including:</w:t>
      </w:r>
    </w:p>
    <w:p>
      <w:pPr>
        <w:spacing w:after="0" w:line="161" w:lineRule="exact"/>
        <w:rPr>
          <w:sz w:val="20"/>
          <w:szCs w:val="20"/>
          <w:color w:val="auto"/>
        </w:rPr>
      </w:pPr>
    </w:p>
    <w:p>
      <w:pPr>
        <w:ind w:left="1300" w:hanging="325"/>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84" w:lineRule="exact"/>
        <w:rPr>
          <w:rFonts w:ascii="Arial" w:cs="Arial" w:eastAsia="Arial" w:hAnsi="Arial"/>
          <w:sz w:val="18"/>
          <w:szCs w:val="18"/>
          <w:color w:val="auto"/>
        </w:rPr>
      </w:pPr>
    </w:p>
    <w:p>
      <w:pPr>
        <w:ind w:left="1300" w:right="240" w:hanging="325"/>
        <w:spacing w:after="0" w:line="235"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61" w:lineRule="exact"/>
        <w:rPr>
          <w:rFonts w:ascii="Arial" w:cs="Arial" w:eastAsia="Arial" w:hAnsi="Arial"/>
          <w:sz w:val="18"/>
          <w:szCs w:val="18"/>
          <w:color w:val="auto"/>
        </w:rPr>
      </w:pPr>
    </w:p>
    <w:p>
      <w:pPr>
        <w:ind w:left="1300" w:right="600" w:hanging="325"/>
        <w:spacing w:after="0" w:line="235"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62" w:lineRule="exact"/>
        <w:rPr>
          <w:sz w:val="20"/>
          <w:szCs w:val="20"/>
          <w:color w:val="auto"/>
        </w:rPr>
      </w:pPr>
    </w:p>
    <w:p>
      <w:pPr>
        <w:ind w:right="360" w:firstLine="648"/>
        <w:spacing w:after="0" w:line="224" w:lineRule="auto"/>
        <w:rPr>
          <w:sz w:val="20"/>
          <w:szCs w:val="20"/>
          <w:color w:val="auto"/>
        </w:rPr>
      </w:pPr>
      <w:r>
        <w:rPr>
          <w:rFonts w:ascii="Arial" w:cs="Arial" w:eastAsia="Arial" w:hAnsi="Arial"/>
          <w:sz w:val="18"/>
          <w:szCs w:val="18"/>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jc w:val="both"/>
        <w:ind w:right="160" w:firstLine="648"/>
        <w:spacing w:after="0" w:line="229"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currently have arrangements in place for redundant supply for bulk drug substances. If our current contract manufacturers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w:t>
      </w:r>
    </w:p>
    <w:p>
      <w:pPr>
        <w:spacing w:after="0" w:line="161" w:lineRule="exact"/>
        <w:rPr>
          <w:sz w:val="20"/>
          <w:szCs w:val="20"/>
          <w:color w:val="auto"/>
        </w:rPr>
      </w:pPr>
    </w:p>
    <w:p>
      <w:pPr>
        <w:ind w:right="60" w:firstLine="648"/>
        <w:spacing w:after="0" w:line="259" w:lineRule="auto"/>
        <w:rPr>
          <w:sz w:val="20"/>
          <w:szCs w:val="20"/>
          <w:color w:val="auto"/>
        </w:rPr>
      </w:pPr>
      <w:r>
        <w:rPr>
          <w:rFonts w:ascii="Arial" w:cs="Arial" w:eastAsia="Arial" w:hAnsi="Arial"/>
          <w:sz w:val="16"/>
          <w:szCs w:val="16"/>
          <w:color w:val="auto"/>
        </w:rPr>
        <w:t>Our current and anticipated future dependence upon others for the manufacture of our drug candidates or drugs could result in significant delays or gaps in availability of such drug candidates or drugs and may adversely affect our future profit margins and our ability to commercialize any drugs that receive marketing approval on a timely and competitive basis.</w:t>
      </w:r>
    </w:p>
    <w:p>
      <w:pPr>
        <w:spacing w:after="0" w:line="147" w:lineRule="exact"/>
        <w:rPr>
          <w:sz w:val="20"/>
          <w:szCs w:val="20"/>
          <w:color w:val="auto"/>
        </w:rPr>
      </w:pPr>
    </w:p>
    <w:p>
      <w:pPr>
        <w:jc w:val="both"/>
        <w:ind w:right="340"/>
        <w:spacing w:after="0" w:line="224" w:lineRule="auto"/>
        <w:rPr>
          <w:sz w:val="20"/>
          <w:szCs w:val="20"/>
          <w:color w:val="auto"/>
        </w:rPr>
      </w:pPr>
      <w:r>
        <w:rPr>
          <w:rFonts w:ascii="Arial" w:cs="Arial" w:eastAsia="Arial" w:hAnsi="Arial"/>
          <w:sz w:val="18"/>
          <w:szCs w:val="18"/>
          <w:b w:val="1"/>
          <w:bCs w:val="1"/>
          <w:i w:val="1"/>
          <w:iCs w:val="1"/>
          <w:color w:val="auto"/>
        </w:rPr>
        <w:t>The third parties upon whom we rely for the supply of the active pharmaceutical ingredient, or API, drug product and drug substance used in our most advanced drug candidates are our sole source of supply, and the loss of any of these suppliers could significantly harm our business.</w:t>
      </w:r>
    </w:p>
    <w:p>
      <w:pPr>
        <w:spacing w:after="0" w:line="163"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The API, drug product and drug substance used in our most advanced drug candidates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the API, drug product and drug substance for these drugs in accordance with regulatory requirements and in sufficient quantities for clinical testing and commercialization. Although we have entered into arrangements to establish redundant or second-source supply of some of the API, drug product or drug substance for our most advanced drug candidates, if any of our suppliers ceases its operations for any reason or is unable or unwilling to supply API, drug product or drug substance in sufficient quantities or on the timelines necessary to meet our needs, it could significantly and adversely affect our business, the supply of our drug candidates and our financial condition.</w:t>
      </w:r>
    </w:p>
    <w:p>
      <w:pPr>
        <w:spacing w:after="0" w:line="162" w:lineRule="exact"/>
        <w:rPr>
          <w:sz w:val="20"/>
          <w:szCs w:val="20"/>
          <w:color w:val="auto"/>
        </w:rPr>
      </w:pPr>
    </w:p>
    <w:p>
      <w:pPr>
        <w:ind w:right="80" w:firstLine="648"/>
        <w:spacing w:after="0" w:line="225" w:lineRule="auto"/>
        <w:rPr>
          <w:sz w:val="20"/>
          <w:szCs w:val="20"/>
          <w:color w:val="auto"/>
        </w:rPr>
      </w:pPr>
      <w:r>
        <w:rPr>
          <w:rFonts w:ascii="Arial" w:cs="Arial" w:eastAsia="Arial" w:hAnsi="Arial"/>
          <w:sz w:val="17"/>
          <w:szCs w:val="17"/>
          <w:color w:val="auto"/>
        </w:rPr>
        <w:t>For all of our drug candidates, we intend to identify and qualify additional manufacturers to provide such API, drug product and drug substance prior to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62" w:lineRule="exact"/>
        <w:rPr>
          <w:sz w:val="20"/>
          <w:szCs w:val="20"/>
          <w:color w:val="auto"/>
        </w:rPr>
      </w:pPr>
    </w:p>
    <w:p>
      <w:pPr>
        <w:jc w:val="both"/>
        <w:ind w:right="340" w:firstLine="648"/>
        <w:spacing w:after="0" w:line="235" w:lineRule="auto"/>
        <w:rPr>
          <w:sz w:val="20"/>
          <w:szCs w:val="20"/>
          <w:color w:val="auto"/>
        </w:rPr>
      </w:pPr>
      <w:r>
        <w:rPr>
          <w:rFonts w:ascii="Arial" w:cs="Arial" w:eastAsia="Arial" w:hAnsi="Arial"/>
          <w:sz w:val="16"/>
          <w:szCs w:val="16"/>
          <w:color w:val="auto"/>
        </w:rPr>
        <w:t>Establishing additional or replacement suppliers for the API, drug product and drug substance used in our drug candidates, if required, may not be accomplished quickly. If we are able to find a replacement supplier, such replacement supplier would need to be qualified and may require additional regulatory approval, which could result in further delay.</w:t>
      </w:r>
    </w:p>
    <w:p>
      <w:pPr>
        <w:spacing w:after="0" w:line="2" w:lineRule="exact"/>
        <w:rPr>
          <w:sz w:val="20"/>
          <w:szCs w:val="20"/>
          <w:color w:val="auto"/>
        </w:rPr>
      </w:pPr>
    </w:p>
    <w:p>
      <w:pPr>
        <w:ind w:right="100"/>
        <w:spacing w:after="0" w:line="242" w:lineRule="auto"/>
        <w:rPr>
          <w:sz w:val="20"/>
          <w:szCs w:val="20"/>
          <w:color w:val="auto"/>
        </w:rPr>
      </w:pPr>
      <w:r>
        <w:rPr>
          <w:rFonts w:ascii="Arial" w:cs="Arial" w:eastAsia="Arial" w:hAnsi="Arial"/>
          <w:sz w:val="16"/>
          <w:szCs w:val="16"/>
          <w:color w:val="auto"/>
        </w:rPr>
        <w:t>While we seek to maintain adequate inventory of the API, drug product and drug substance used in our drug candidates, any interruption or delay in the supply of components or materials, or our inability to obtain such API, drug product and drug substance from alternate sources at acceptable prices in a timely manner could impede, delay, limit or prevent our development efforts, which could harm our business, results of operations, financial condition and prospects.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89" w:lineRule="exact"/>
        <w:rPr>
          <w:sz w:val="20"/>
          <w:szCs w:val="20"/>
          <w:color w:val="auto"/>
        </w:rPr>
      </w:pPr>
    </w:p>
    <w:p>
      <w:pPr>
        <w:ind w:right="400"/>
        <w:spacing w:after="0" w:line="232" w:lineRule="auto"/>
        <w:rPr>
          <w:sz w:val="20"/>
          <w:szCs w:val="20"/>
          <w:color w:val="auto"/>
        </w:rPr>
      </w:pPr>
      <w:r>
        <w:rPr>
          <w:rFonts w:ascii="Arial" w:cs="Arial" w:eastAsia="Arial" w:hAnsi="Arial"/>
          <w:sz w:val="17"/>
          <w:szCs w:val="17"/>
          <w:b w:val="1"/>
          <w:bCs w:val="1"/>
          <w:i w:val="1"/>
          <w:iCs w:val="1"/>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63" w:lineRule="exact"/>
        <w:rPr>
          <w:sz w:val="20"/>
          <w:szCs w:val="20"/>
          <w:color w:val="auto"/>
        </w:rPr>
      </w:pPr>
    </w:p>
    <w:p>
      <w:pPr>
        <w:ind w:right="220" w:firstLine="648"/>
        <w:spacing w:after="0" w:line="182" w:lineRule="exact"/>
        <w:rPr>
          <w:sz w:val="20"/>
          <w:szCs w:val="20"/>
          <w:color w:val="auto"/>
        </w:rPr>
      </w:pPr>
      <w:r>
        <w:rPr>
          <w:rFonts w:ascii="Arial" w:cs="Arial" w:eastAsia="Arial" w:hAnsi="Arial"/>
          <w:sz w:val="17"/>
          <w:szCs w:val="17"/>
          <w:color w:val="auto"/>
        </w:rPr>
        <w:t>Our commercial success depends in part on our ability to obtain and maintain proprietary or intellectual property protection in the United States and other countries for our lead drug candidate, avapritinib, as well as our other most advanced drug candidates, BLU</w:t>
      </w:r>
      <w:r>
        <w:rPr>
          <w:rFonts w:ascii="MS PGothic" w:cs="MS PGothic" w:eastAsia="MS PGothic" w:hAnsi="MS PGothic"/>
          <w:sz w:val="17"/>
          <w:szCs w:val="17"/>
          <w:color w:val="auto"/>
        </w:rPr>
        <w:t>‑</w:t>
      </w:r>
      <w:r>
        <w:rPr>
          <w:rFonts w:ascii="Arial" w:cs="Arial" w:eastAsia="Arial" w:hAnsi="Arial"/>
          <w:sz w:val="17"/>
          <w:szCs w:val="17"/>
          <w:color w:val="auto"/>
        </w:rPr>
        <w:t>554, BLU</w:t>
      </w:r>
      <w:r>
        <w:rPr>
          <w:rFonts w:ascii="MS PGothic" w:cs="MS PGothic" w:eastAsia="MS PGothic" w:hAnsi="MS PGothic"/>
          <w:sz w:val="17"/>
          <w:szCs w:val="17"/>
          <w:color w:val="auto"/>
        </w:rPr>
        <w:t>‑</w:t>
      </w:r>
      <w:r>
        <w:rPr>
          <w:rFonts w:ascii="Arial" w:cs="Arial" w:eastAsia="Arial" w:hAnsi="Arial"/>
          <w:sz w:val="17"/>
          <w:szCs w:val="17"/>
          <w:color w:val="auto"/>
        </w:rPr>
        <w:t>667 and BLU-782, and our core technologies, including our novel target discovery engine and our proprietary compound library and other know-how. We seek to protect our proprietary and intellectual property position by, among other methods, filing patent applications in the United States and abroad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40" w:firstLine="648"/>
        <w:spacing w:after="0" w:line="183" w:lineRule="exact"/>
        <w:rPr>
          <w:sz w:val="20"/>
          <w:szCs w:val="20"/>
          <w:color w:val="auto"/>
        </w:rPr>
      </w:pPr>
      <w:r>
        <w:rPr>
          <w:rFonts w:ascii="Arial" w:cs="Arial" w:eastAsia="Arial" w:hAnsi="Arial"/>
          <w:sz w:val="18"/>
          <w:szCs w:val="18"/>
          <w:color w:val="auto"/>
        </w:rPr>
        <w:t>We own patents and patent applications that relate to avapritinib, BLU</w:t>
      </w:r>
      <w:r>
        <w:rPr>
          <w:rFonts w:ascii="MS PGothic" w:cs="MS PGothic" w:eastAsia="MS PGothic" w:hAnsi="MS PGothic"/>
          <w:sz w:val="18"/>
          <w:szCs w:val="18"/>
          <w:color w:val="auto"/>
        </w:rPr>
        <w:t>‑</w:t>
      </w:r>
      <w:r>
        <w:rPr>
          <w:rFonts w:ascii="Arial" w:cs="Arial" w:eastAsia="Arial" w:hAnsi="Arial"/>
          <w:sz w:val="18"/>
          <w:szCs w:val="18"/>
          <w:color w:val="auto"/>
        </w:rPr>
        <w:t>554, BLU-667 and BLU-782 as composition of matter. We also own applications relating to composition of matter for KIT inhibitors with multiple compound families, composition of matter for FGFR4 inhibitors with multiple compound families, composition of matter for inhibitors of RET, including predicted RET resistance mutations, with multiple compound families, and composition of matter for inhibitors of ALK2, with multiple compound families, as well as methods of use for these novel compounds. The issued patent directed to BLU</w:t>
      </w:r>
      <w:r>
        <w:rPr>
          <w:rFonts w:ascii="MS PGothic" w:cs="MS PGothic" w:eastAsia="MS PGothic" w:hAnsi="MS PGothic"/>
          <w:sz w:val="18"/>
          <w:szCs w:val="18"/>
          <w:color w:val="auto"/>
        </w:rPr>
        <w:t>‑</w:t>
      </w:r>
      <w:r>
        <w:rPr>
          <w:rFonts w:ascii="Arial" w:cs="Arial" w:eastAsia="Arial" w:hAnsi="Arial"/>
          <w:sz w:val="18"/>
          <w:szCs w:val="18"/>
          <w:color w:val="auto"/>
        </w:rPr>
        <w:t>554 composition of matter has a statutory expiration date in 2034, the issued patent directed to avapritinib composition of matter has a statutory expiration date in 2034.</w:t>
      </w:r>
    </w:p>
    <w:p>
      <w:pPr>
        <w:spacing w:after="0" w:line="165" w:lineRule="exact"/>
        <w:rPr>
          <w:sz w:val="20"/>
          <w:szCs w:val="20"/>
          <w:color w:val="auto"/>
        </w:rPr>
      </w:pPr>
    </w:p>
    <w:p>
      <w:pPr>
        <w:ind w:right="60" w:firstLine="648"/>
        <w:spacing w:after="0" w:line="182" w:lineRule="exact"/>
        <w:rPr>
          <w:sz w:val="20"/>
          <w:szCs w:val="20"/>
          <w:color w:val="auto"/>
        </w:rPr>
      </w:pPr>
      <w:r>
        <w:rPr>
          <w:rFonts w:ascii="Arial" w:cs="Arial" w:eastAsia="Arial" w:hAnsi="Arial"/>
          <w:sz w:val="18"/>
          <w:szCs w:val="18"/>
          <w:color w:val="auto"/>
        </w:rPr>
        <w:t>As of February 15, 2018, we owned five issued U.S. patents, four pending U.S. non-provisional patent applications, one pending U.S. provisional patent application, 36 foreign patent applications in a number of jurisdictions, including Australia, Argentina, Brazil, Bolivia, Canada, China, the European Union, Hong Kong, Israel, India, Japan, Lebanon, Mexico, New Zealand, Pakistan, Paraguay, Philippines, Russia, Singapore, South Africa, South Korea, Taiwan, Uruguay and Venezuela, one pending Patent Cooperation Treaty, or PCT, patent application and two U.S. provisional applications directed to our KIT program, including avapritinib. Any U.S. or ex</w:t>
      </w:r>
      <w:r>
        <w:rPr>
          <w:rFonts w:ascii="MS PGothic" w:cs="MS PGothic" w:eastAsia="MS PGothic" w:hAnsi="MS PGothic"/>
          <w:sz w:val="18"/>
          <w:szCs w:val="18"/>
          <w:color w:val="auto"/>
        </w:rPr>
        <w:t>‑</w:t>
      </w:r>
      <w:r>
        <w:rPr>
          <w:rFonts w:ascii="Arial" w:cs="Arial" w:eastAsia="Arial" w:hAnsi="Arial"/>
          <w:sz w:val="18"/>
          <w:szCs w:val="18"/>
          <w:color w:val="auto"/>
        </w:rPr>
        <w:t>U.S. patents issuing from the pending applications covering avapritinib will have a statutory expiration date of October 2034. Patent term adjustments or patent term extensions could result in later expiration dates.</w:t>
      </w:r>
    </w:p>
    <w:p>
      <w:pPr>
        <w:spacing w:after="0" w:line="165" w:lineRule="exact"/>
        <w:rPr>
          <w:sz w:val="20"/>
          <w:szCs w:val="20"/>
          <w:color w:val="auto"/>
        </w:rPr>
      </w:pPr>
    </w:p>
    <w:p>
      <w:pPr>
        <w:ind w:right="20" w:firstLine="648"/>
        <w:spacing w:after="0" w:line="182" w:lineRule="exact"/>
        <w:rPr>
          <w:sz w:val="20"/>
          <w:szCs w:val="20"/>
          <w:color w:val="auto"/>
        </w:rPr>
      </w:pPr>
      <w:r>
        <w:rPr>
          <w:rFonts w:ascii="Arial" w:cs="Arial" w:eastAsia="Arial" w:hAnsi="Arial"/>
          <w:sz w:val="16"/>
          <w:szCs w:val="16"/>
          <w:color w:val="auto"/>
        </w:rPr>
        <w:t>As of February 15, 2018, we owned five issued U.S. patents, three pending U.S. non-provisional patent applications, one pending U.S. provisional patent application, three issued foreign patents and 41 pending foreign patent applications in a number of jurisdictions, including Argentina, Australia, Bolivia, Brazil, Canada, China, Egypt, the European Union, Hong Kong, Israel, India, Indonesia, Japan, South Korea, Lebanon, Mexico New Zealand, Pakistan, Paraguay, Philippines, Russia, Singapore, South Africa, Taiwan, Thailand, Uruguay and Venezuela, and one pending PCT patent application directed to our FGFR4 program, including BLU</w:t>
      </w:r>
      <w:r>
        <w:rPr>
          <w:rFonts w:ascii="MS PGothic" w:cs="MS PGothic" w:eastAsia="MS PGothic" w:hAnsi="MS PGothic"/>
          <w:sz w:val="16"/>
          <w:szCs w:val="16"/>
          <w:color w:val="auto"/>
        </w:rPr>
        <w:t>‑</w:t>
      </w:r>
      <w:r>
        <w:rPr>
          <w:rFonts w:ascii="Arial" w:cs="Arial" w:eastAsia="Arial" w:hAnsi="Arial"/>
          <w:sz w:val="16"/>
          <w:szCs w:val="16"/>
          <w:color w:val="auto"/>
        </w:rPr>
        <w:t>554. Any U.S. or ex</w:t>
      </w:r>
      <w:r>
        <w:rPr>
          <w:rFonts w:ascii="MS PGothic" w:cs="MS PGothic" w:eastAsia="MS PGothic" w:hAnsi="MS PGothic"/>
          <w:sz w:val="16"/>
          <w:szCs w:val="16"/>
          <w:color w:val="auto"/>
        </w:rPr>
        <w:t>‑</w:t>
      </w:r>
      <w:r>
        <w:rPr>
          <w:rFonts w:ascii="Arial" w:cs="Arial" w:eastAsia="Arial" w:hAnsi="Arial"/>
          <w:sz w:val="16"/>
          <w:szCs w:val="16"/>
          <w:color w:val="auto"/>
        </w:rPr>
        <w:t>U.S. patent issuing from the pending applications covering BLU</w:t>
      </w:r>
      <w:r>
        <w:rPr>
          <w:rFonts w:ascii="MS PGothic" w:cs="MS PGothic" w:eastAsia="MS PGothic" w:hAnsi="MS PGothic"/>
          <w:sz w:val="16"/>
          <w:szCs w:val="16"/>
          <w:color w:val="auto"/>
        </w:rPr>
        <w:t>‑</w:t>
      </w:r>
      <w:r>
        <w:rPr>
          <w:rFonts w:ascii="Arial" w:cs="Arial" w:eastAsia="Arial" w:hAnsi="Arial"/>
          <w:sz w:val="16"/>
          <w:szCs w:val="16"/>
          <w:color w:val="auto"/>
        </w:rPr>
        <w:t>554 will have a statutory expiration date of July 2033, December 2033, October 2034, September 2037 or April 2038. Patent term adjustments or patent term extensions could result in later expiration dates.</w:t>
      </w:r>
    </w:p>
    <w:p>
      <w:pPr>
        <w:spacing w:after="0" w:line="167" w:lineRule="exact"/>
        <w:rPr>
          <w:sz w:val="20"/>
          <w:szCs w:val="20"/>
          <w:color w:val="auto"/>
        </w:rPr>
      </w:pPr>
    </w:p>
    <w:p>
      <w:pPr>
        <w:ind w:right="20" w:firstLine="648"/>
        <w:spacing w:after="0" w:line="232" w:lineRule="auto"/>
        <w:rPr>
          <w:sz w:val="20"/>
          <w:szCs w:val="20"/>
          <w:color w:val="auto"/>
        </w:rPr>
      </w:pPr>
      <w:r>
        <w:rPr>
          <w:rFonts w:ascii="Arial" w:cs="Arial" w:eastAsia="Arial" w:hAnsi="Arial"/>
          <w:sz w:val="17"/>
          <w:szCs w:val="17"/>
          <w:color w:val="auto"/>
        </w:rPr>
        <w:t>As of February 15, 2018, we owned five pending U.S. non-provisional patent applications, four pending PCT applications, six pending foreign patent applications filed in Argentina, Lebanon, Uruguay and Taiwan, and one pending U.S. provisional patent applications directed to our RET program, which, if issued, will have statutory expiration dates of 2036 or 2037. Patent term adjustments or patent term extensions could result in later expiration dates.</w:t>
      </w:r>
    </w:p>
    <w:p>
      <w:pPr>
        <w:spacing w:after="0" w:line="163" w:lineRule="exact"/>
        <w:rPr>
          <w:sz w:val="20"/>
          <w:szCs w:val="20"/>
          <w:color w:val="auto"/>
        </w:rPr>
      </w:pPr>
    </w:p>
    <w:p>
      <w:pPr>
        <w:ind w:right="360" w:firstLine="648"/>
        <w:spacing w:after="0" w:line="224" w:lineRule="auto"/>
        <w:rPr>
          <w:sz w:val="20"/>
          <w:szCs w:val="20"/>
          <w:color w:val="auto"/>
        </w:rPr>
      </w:pPr>
      <w:r>
        <w:rPr>
          <w:rFonts w:ascii="Arial" w:cs="Arial" w:eastAsia="Arial" w:hAnsi="Arial"/>
          <w:sz w:val="18"/>
          <w:szCs w:val="18"/>
          <w:color w:val="auto"/>
        </w:rPr>
        <w:t>As of February 15, 2018, we owned one pending U.S. patent application, one pending U.S. provisional patent application and one pending PCT international application directed to our ALK2 program, including BLU-782, which, if issued, will have statutory expiration dates of April 2037 or October 2038.</w:t>
      </w:r>
    </w:p>
    <w:p>
      <w:pPr>
        <w:spacing w:after="0" w:line="163" w:lineRule="exact"/>
        <w:rPr>
          <w:sz w:val="20"/>
          <w:szCs w:val="20"/>
          <w:color w:val="auto"/>
        </w:rPr>
      </w:pPr>
    </w:p>
    <w:p>
      <w:pPr>
        <w:ind w:right="180" w:firstLine="648"/>
        <w:spacing w:after="0" w:line="249" w:lineRule="auto"/>
        <w:rPr>
          <w:sz w:val="20"/>
          <w:szCs w:val="20"/>
          <w:color w:val="auto"/>
        </w:rPr>
      </w:pPr>
      <w:r>
        <w:rPr>
          <w:rFonts w:ascii="Arial" w:cs="Arial" w:eastAsia="Arial" w:hAnsi="Arial"/>
          <w:sz w:val="16"/>
          <w:szCs w:val="16"/>
          <w:color w:val="auto"/>
        </w:rPr>
        <w:t>The intellectual property portfolio directed to our platform includes patent applications directed to novel gene fusions and the uses of these fusions for detecting and treating conditions implicated with these fusions. As of February 15, 2018, we owned ten pending U.S. patent applications and ten pending European Union patent applications directed to this technology, which, if issued, will have statutory expiration dates ranging from 2034 to 2035.</w:t>
      </w:r>
    </w:p>
    <w:p>
      <w:pPr>
        <w:spacing w:after="0" w:line="155"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w:t>
      </w:r>
    </w:p>
    <w:p>
      <w:pPr>
        <w:spacing w:after="0" w:line="162"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The degree of patent protection we require to successfully commercialize our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avapritinib, BLU</w:t>
      </w:r>
      <w:r>
        <w:rPr>
          <w:rFonts w:ascii="MS PGothic" w:cs="MS PGothic" w:eastAsia="MS PGothic" w:hAnsi="MS PGothic"/>
          <w:sz w:val="16"/>
          <w:szCs w:val="16"/>
          <w:color w:val="auto"/>
        </w:rPr>
        <w:t>‑</w:t>
      </w:r>
      <w:r>
        <w:rPr>
          <w:rFonts w:ascii="Arial" w:cs="Arial" w:eastAsia="Arial" w:hAnsi="Arial"/>
          <w:sz w:val="16"/>
          <w:szCs w:val="16"/>
          <w:color w:val="auto"/>
        </w:rPr>
        <w:t>554, BLU-667, BLU-782 or our other drug candidates. In addition, the laws of foreign countries may not protect our rights to the same extent as the laws of the United States. 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patent portfolio may not provide us with adequate and continuing patent protection sufficient to exclude others from commercializing drugs similar or identical to our drug candidates, including generic versions of such drugs.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firstLine="648"/>
        <w:spacing w:after="0" w:line="179" w:lineRule="exact"/>
        <w:rPr>
          <w:sz w:val="20"/>
          <w:szCs w:val="20"/>
          <w:color w:val="auto"/>
        </w:rPr>
      </w:pPr>
      <w:r>
        <w:rPr>
          <w:rFonts w:ascii="Arial" w:cs="Arial" w:eastAsia="Arial" w:hAnsi="Arial"/>
          <w:sz w:val="17"/>
          <w:szCs w:val="17"/>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first-to-file for patent protection of such inventions. As a result, the issuance, scope, validity, enforceability and commercial value of our patent rights cannot be predicted with any certainty. For example, we are aware of U.S. patents owned by third parties that have generic composition of matter and method of treatment claims that may cover BLU</w:t>
      </w:r>
      <w:r>
        <w:rPr>
          <w:rFonts w:ascii="MS PGothic" w:cs="MS PGothic" w:eastAsia="MS PGothic" w:hAnsi="MS PGothic"/>
          <w:sz w:val="17"/>
          <w:szCs w:val="17"/>
          <w:color w:val="auto"/>
        </w:rPr>
        <w:t>‑</w:t>
      </w:r>
      <w:r>
        <w:rPr>
          <w:rFonts w:ascii="Arial" w:cs="Arial" w:eastAsia="Arial" w:hAnsi="Arial"/>
          <w:sz w:val="17"/>
          <w:szCs w:val="17"/>
          <w:color w:val="auto"/>
        </w:rPr>
        <w:t>554 or generic method of treatment claims that may cover BLU-667. If the claims of any of these third-party patents are asserted against us, we do not believe BLU</w:t>
      </w:r>
      <w:r>
        <w:rPr>
          <w:rFonts w:ascii="MS PGothic" w:cs="MS PGothic" w:eastAsia="MS PGothic" w:hAnsi="MS PGothic"/>
          <w:sz w:val="17"/>
          <w:szCs w:val="17"/>
          <w:color w:val="auto"/>
        </w:rPr>
        <w:t>‑</w:t>
      </w:r>
      <w:r>
        <w:rPr>
          <w:rFonts w:ascii="Arial" w:cs="Arial" w:eastAsia="Arial" w:hAnsi="Arial"/>
          <w:sz w:val="17"/>
          <w:szCs w:val="17"/>
          <w:color w:val="auto"/>
        </w:rPr>
        <w:t>554, BLU-667 or our proposed activities related to such compounds would be found to infringe any valid claim of these patents. While we may decide to initiate proceedings to challenge the validity of these patents in the future, we may be unsuccessful, and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w:t>
      </w:r>
    </w:p>
    <w:p>
      <w:pPr>
        <w:spacing w:after="0" w:line="166"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In addition, the patent prosecution process is expensive and time-consuming, and we may not be able to file and prosecute all necessary or desirable patent applications at a reasonable cost or in a timely manner. Further, with respect to some of the pending patent applications covering our drug candidates, prosecution has yet to commence.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68"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United States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inter partes review, post-grant review or interference proceedings challenging our patent rights or the patent rights of others from 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spacing w:after="0" w:line="163"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62" w:lineRule="exact"/>
        <w:rPr>
          <w:sz w:val="20"/>
          <w:szCs w:val="20"/>
          <w:color w:val="auto"/>
        </w:rPr>
      </w:pPr>
    </w:p>
    <w:p>
      <w:pPr>
        <w:jc w:val="both"/>
        <w:ind w:right="340" w:firstLine="648"/>
        <w:spacing w:after="0" w:line="259" w:lineRule="auto"/>
        <w:rPr>
          <w:sz w:val="20"/>
          <w:szCs w:val="20"/>
          <w:color w:val="auto"/>
        </w:rPr>
      </w:pPr>
      <w:r>
        <w:rPr>
          <w:rFonts w:ascii="Arial" w:cs="Arial" w:eastAsia="Arial" w:hAnsi="Arial"/>
          <w:sz w:val="16"/>
          <w:szCs w:val="16"/>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300"/>
        <w:spacing w:after="0" w:line="249" w:lineRule="auto"/>
        <w:rPr>
          <w:sz w:val="20"/>
          <w:szCs w:val="20"/>
          <w:color w:val="auto"/>
        </w:rPr>
      </w:pPr>
      <w:r>
        <w:rPr>
          <w:rFonts w:ascii="Arial" w:cs="Arial" w:eastAsia="Arial" w:hAnsi="Arial"/>
          <w:sz w:val="16"/>
          <w:szCs w:val="16"/>
          <w:color w:val="auto"/>
        </w:rPr>
        <w:t>could limit the duration of the patent protection covering our technology and drug candidates. Such challenges may also result in our inability to manufacture or commercialize our drug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55" w:lineRule="exact"/>
        <w:rPr>
          <w:sz w:val="20"/>
          <w:szCs w:val="20"/>
          <w:color w:val="auto"/>
        </w:rPr>
      </w:pPr>
    </w:p>
    <w:p>
      <w:pPr>
        <w:ind w:right="40" w:firstLine="648"/>
        <w:spacing w:after="0" w:line="239" w:lineRule="auto"/>
        <w:rPr>
          <w:sz w:val="20"/>
          <w:szCs w:val="20"/>
          <w:color w:val="auto"/>
        </w:rPr>
      </w:pPr>
      <w:r>
        <w:rPr>
          <w:rFonts w:ascii="Arial" w:cs="Arial" w:eastAsia="Arial" w:hAnsi="Arial"/>
          <w:sz w:val="16"/>
          <w:szCs w:val="16"/>
          <w:color w:val="auto"/>
        </w:rPr>
        <w:t>Even if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 candidates but that has a different composition that falls outside the scope of our patent protection. If the patent protection provided by the patents and patent applications we hold or pursue with respect to our drug candidates is not sufficiently broad to impede such competition, our ability to successfully commercialize our drug candidates could be negatively affected, which would harm our business.</w:t>
      </w:r>
    </w:p>
    <w:p>
      <w:pPr>
        <w:spacing w:after="0" w:line="163"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24"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kinase inhibitors. Some of these patent applications have already been allowed or issued, and others may issue in the future. For example, we are aware of U.S. patents owned by third parties that have generic composition of matter and method of treatment claims that may cover BLU</w:t>
      </w:r>
      <w:r>
        <w:rPr>
          <w:rFonts w:ascii="MS PGothic" w:cs="MS PGothic" w:eastAsia="MS PGothic" w:hAnsi="MS PGothic"/>
          <w:sz w:val="16"/>
          <w:szCs w:val="16"/>
          <w:color w:val="auto"/>
        </w:rPr>
        <w:t>‑</w:t>
      </w:r>
      <w:r>
        <w:rPr>
          <w:rFonts w:ascii="Arial" w:cs="Arial" w:eastAsia="Arial" w:hAnsi="Arial"/>
          <w:sz w:val="16"/>
          <w:szCs w:val="16"/>
          <w:color w:val="auto"/>
        </w:rPr>
        <w:t>554 or generic method of treatment claims that may cover BLU-667. If the claims of any of these third-party patents are asserted against us, we do not believe BLU</w:t>
      </w:r>
      <w:r>
        <w:rPr>
          <w:rFonts w:ascii="MS PGothic" w:cs="MS PGothic" w:eastAsia="MS PGothic" w:hAnsi="MS PGothic"/>
          <w:sz w:val="16"/>
          <w:szCs w:val="16"/>
          <w:color w:val="auto"/>
        </w:rPr>
        <w:t>‑</w:t>
      </w:r>
      <w:r>
        <w:rPr>
          <w:rFonts w:ascii="Arial" w:cs="Arial" w:eastAsia="Arial" w:hAnsi="Arial"/>
          <w:sz w:val="16"/>
          <w:szCs w:val="16"/>
          <w:color w:val="auto"/>
        </w:rPr>
        <w:t>554, BLU-667 or our proposed activities related to such compounds would be found to infringe any valid claim of these patents. While we may decide to initiate proceedings to challenge the validity of these patents in the future, we may be unsuccessful, and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w:t>
      </w:r>
    </w:p>
    <w:p>
      <w:pPr>
        <w:spacing w:after="0" w:line="175"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 candidates. If a patent holder believes our drug or drug candidate infringes on its patent, the patent holder may sue us even if we have received patent protection for our technology. Moreover, we may face patent infringement claims from non-practicing entities that have no relevant drug revenue and against whom our own patent portfolio may thus have no deterrent effect.</w:t>
      </w:r>
    </w:p>
    <w:p>
      <w:pPr>
        <w:spacing w:after="0" w:line="162"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 prevent us from commercializing our drug candidates or force us to cease some of our business operations, which could materially harm our business.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162"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Competitors and other third parties may infringe, misappropriate or otherwise violate our patents and other intellectual property rights. To counter infringement or unauthorized use, we may be required to file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65" w:lineRule="exact"/>
        <w:rPr>
          <w:sz w:val="20"/>
          <w:szCs w:val="20"/>
          <w:color w:val="auto"/>
        </w:rPr>
      </w:pPr>
    </w:p>
    <w:p>
      <w:pPr>
        <w:ind w:right="60" w:firstLine="648"/>
        <w:spacing w:after="0" w:line="212" w:lineRule="auto"/>
        <w:rPr>
          <w:sz w:val="20"/>
          <w:szCs w:val="20"/>
          <w:color w:val="auto"/>
        </w:rPr>
      </w:pPr>
      <w:r>
        <w:rPr>
          <w:rFonts w:ascii="Arial" w:cs="Arial" w:eastAsia="Arial" w:hAnsi="Arial"/>
          <w:sz w:val="18"/>
          <w:szCs w:val="18"/>
          <w:color w:val="auto"/>
        </w:rPr>
        <w:t>An adverse result in any litigation proceeding could put one or more of our patents at risk of being invalidated or interpreted narrowly. If a defendant were to prevail on a legal assertion of invalidity or unenforceability of our patents covering one of our drug candidates, we would lose at least part, and perhaps all, of the patent protection covering such drug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16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and distract our personnel from their normal responsibilities.</w:t>
      </w:r>
    </w:p>
    <w:p>
      <w:pPr>
        <w:spacing w:after="0" w:line="162" w:lineRule="exact"/>
        <w:rPr>
          <w:sz w:val="20"/>
          <w:szCs w:val="20"/>
          <w:color w:val="auto"/>
        </w:rPr>
      </w:pPr>
    </w:p>
    <w:p>
      <w:pPr>
        <w:ind w:right="60" w:firstLine="648"/>
        <w:spacing w:after="0" w:line="236" w:lineRule="auto"/>
        <w:rPr>
          <w:sz w:val="20"/>
          <w:szCs w:val="20"/>
          <w:color w:val="auto"/>
        </w:rPr>
      </w:pPr>
      <w:r>
        <w:rPr>
          <w:rFonts w:ascii="Arial" w:cs="Arial" w:eastAsia="Arial" w:hAnsi="Arial"/>
          <w:sz w:val="16"/>
          <w:szCs w:val="16"/>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68" w:lineRule="exact"/>
        <w:rPr>
          <w:sz w:val="20"/>
          <w:szCs w:val="20"/>
          <w:color w:val="auto"/>
        </w:rPr>
      </w:pPr>
    </w:p>
    <w:p>
      <w:pPr>
        <w:ind w:right="60" w:firstLine="648"/>
        <w:spacing w:after="0" w:line="241"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61"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63" w:lineRule="exact"/>
        <w:rPr>
          <w:sz w:val="20"/>
          <w:szCs w:val="20"/>
          <w:color w:val="auto"/>
        </w:rPr>
      </w:pPr>
    </w:p>
    <w:p>
      <w:pPr>
        <w:ind w:right="280" w:firstLine="648"/>
        <w:spacing w:after="0" w:line="241"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drug candidates, which would have a material adverse effect on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effectively enforce our intellectual property rights throughout the world.</w:t>
      </w:r>
    </w:p>
    <w:p>
      <w:pPr>
        <w:spacing w:after="0" w:line="185"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Filing, prosecuting and defending patents on our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In addition, the patent laws of some foreign countries do not afford intellectual property protection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United States. Competitors may use our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drug candidates, and our patents or other intellectual property rights may not be effective or sufficient to prevent them from competing.</w:t>
      </w:r>
    </w:p>
    <w:p>
      <w:pPr>
        <w:spacing w:after="0" w:line="162" w:lineRule="exact"/>
        <w:rPr>
          <w:sz w:val="20"/>
          <w:szCs w:val="20"/>
          <w:color w:val="auto"/>
        </w:rPr>
      </w:pPr>
    </w:p>
    <w:p>
      <w:pPr>
        <w:ind w:right="100" w:firstLine="648"/>
        <w:spacing w:after="0" w:line="229" w:lineRule="auto"/>
        <w:rPr>
          <w:sz w:val="20"/>
          <w:szCs w:val="20"/>
          <w:color w:val="auto"/>
        </w:rPr>
      </w:pPr>
      <w:r>
        <w:rPr>
          <w:rFonts w:ascii="Arial" w:cs="Arial" w:eastAsia="Arial" w:hAnsi="Arial"/>
          <w:sz w:val="17"/>
          <w:szCs w:val="17"/>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spacing w:after="0" w:line="161"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drug candidates.</w:t>
      </w:r>
    </w:p>
    <w:p>
      <w:pPr>
        <w:spacing w:after="0" w:line="162" w:lineRule="exact"/>
        <w:rPr>
          <w:sz w:val="20"/>
          <w:szCs w:val="20"/>
          <w:color w:val="auto"/>
        </w:rPr>
      </w:pPr>
    </w:p>
    <w:p>
      <w:pPr>
        <w:ind w:right="60" w:firstLine="648"/>
        <w:spacing w:after="0" w:line="220" w:lineRule="auto"/>
        <w:rPr>
          <w:sz w:val="20"/>
          <w:szCs w:val="20"/>
          <w:color w:val="auto"/>
        </w:rPr>
      </w:pPr>
      <w:r>
        <w:rPr>
          <w:rFonts w:ascii="Arial" w:cs="Arial" w:eastAsia="Arial" w:hAnsi="Arial"/>
          <w:sz w:val="17"/>
          <w:szCs w:val="17"/>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patent reform legislation in the United States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“first-to-file”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69" w:lineRule="exact"/>
        <w:rPr>
          <w:sz w:val="20"/>
          <w:szCs w:val="20"/>
          <w:color w:val="auto"/>
        </w:rPr>
      </w:pPr>
    </w:p>
    <w:p>
      <w:pPr>
        <w:ind w:right="80" w:firstLine="648"/>
        <w:spacing w:after="0" w:line="239" w:lineRule="auto"/>
        <w:rPr>
          <w:sz w:val="20"/>
          <w:szCs w:val="20"/>
          <w:color w:val="auto"/>
        </w:rPr>
      </w:pPr>
      <w:r>
        <w:rPr>
          <w:rFonts w:ascii="Arial" w:cs="Arial" w:eastAsia="Arial" w:hAnsi="Arial"/>
          <w:sz w:val="16"/>
          <w:szCs w:val="16"/>
          <w:color w:val="auto"/>
        </w:rPr>
        <w:t>The U.S. Supreme Court has ruled on several patent cases in recent years, either narrowing the scope of patent protection available in certain circumstances or weakening the rights of patent owners in certain situations. In addition,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protect the confidentiality of our trade secrets, our business and competitive position may be harmed.</w:t>
      </w:r>
    </w:p>
    <w:p>
      <w:pPr>
        <w:spacing w:after="0" w:line="219" w:lineRule="exact"/>
        <w:rPr>
          <w:sz w:val="20"/>
          <w:szCs w:val="20"/>
          <w:color w:val="auto"/>
        </w:rPr>
      </w:pPr>
    </w:p>
    <w:p>
      <w:pPr>
        <w:ind w:right="19" w:firstLine="648"/>
        <w:spacing w:after="0" w:line="234" w:lineRule="auto"/>
        <w:rPr>
          <w:sz w:val="20"/>
          <w:szCs w:val="20"/>
          <w:color w:val="auto"/>
        </w:rPr>
      </w:pPr>
      <w:r>
        <w:rPr>
          <w:rFonts w:ascii="Arial" w:cs="Arial" w:eastAsia="Arial" w:hAnsi="Arial"/>
          <w:sz w:val="16"/>
          <w:szCs w:val="16"/>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166" w:lineRule="exact"/>
        <w:rPr>
          <w:sz w:val="20"/>
          <w:szCs w:val="20"/>
          <w:color w:val="auto"/>
        </w:rPr>
      </w:pPr>
    </w:p>
    <w:p>
      <w:pPr>
        <w:ind w:right="159" w:firstLine="648"/>
        <w:spacing w:after="0" w:line="223" w:lineRule="auto"/>
        <w:rPr>
          <w:sz w:val="20"/>
          <w:szCs w:val="20"/>
          <w:color w:val="auto"/>
        </w:rPr>
      </w:pPr>
      <w:r>
        <w:rPr>
          <w:rFonts w:ascii="Arial" w:cs="Arial" w:eastAsia="Arial" w:hAnsi="Arial"/>
          <w:sz w:val="17"/>
          <w:szCs w:val="17"/>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68" w:lineRule="exact"/>
        <w:rPr>
          <w:sz w:val="20"/>
          <w:szCs w:val="20"/>
          <w:color w:val="auto"/>
        </w:rPr>
      </w:pPr>
    </w:p>
    <w:p>
      <w:pPr>
        <w:ind w:right="79"/>
        <w:spacing w:after="0" w:line="324" w:lineRule="auto"/>
        <w:rPr>
          <w:sz w:val="20"/>
          <w:szCs w:val="20"/>
          <w:color w:val="auto"/>
        </w:rPr>
      </w:pPr>
      <w:r>
        <w:rPr>
          <w:rFonts w:ascii="Arial" w:cs="Arial" w:eastAsia="Arial" w:hAnsi="Arial"/>
          <w:sz w:val="15"/>
          <w:szCs w:val="15"/>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02" w:lineRule="exact"/>
        <w:rPr>
          <w:sz w:val="20"/>
          <w:szCs w:val="20"/>
          <w:color w:val="auto"/>
        </w:rPr>
      </w:pPr>
    </w:p>
    <w:p>
      <w:pPr>
        <w:ind w:right="39" w:firstLine="648"/>
        <w:spacing w:after="0" w:line="233" w:lineRule="auto"/>
        <w:rPr>
          <w:sz w:val="20"/>
          <w:szCs w:val="20"/>
          <w:color w:val="auto"/>
        </w:rPr>
      </w:pPr>
      <w:r>
        <w:rPr>
          <w:rFonts w:ascii="Arial" w:cs="Arial" w:eastAsia="Arial" w:hAnsi="Arial"/>
          <w:sz w:val="16"/>
          <w:szCs w:val="16"/>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16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Risks Related to Employee Matters, Managing Growth and Other Risks Related to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executives and to attract, retain and motivate qualified personnel.</w:t>
      </w:r>
    </w:p>
    <w:p>
      <w:pPr>
        <w:spacing w:after="0" w:line="219" w:lineRule="exact"/>
        <w:rPr>
          <w:sz w:val="20"/>
          <w:szCs w:val="20"/>
          <w:color w:val="auto"/>
        </w:rPr>
      </w:pPr>
    </w:p>
    <w:p>
      <w:pPr>
        <w:jc w:val="both"/>
        <w:ind w:right="399" w:firstLine="648"/>
        <w:spacing w:after="0" w:line="259" w:lineRule="auto"/>
        <w:rPr>
          <w:sz w:val="20"/>
          <w:szCs w:val="20"/>
          <w:color w:val="auto"/>
        </w:rPr>
      </w:pPr>
      <w:r>
        <w:rPr>
          <w:rFonts w:ascii="Arial" w:cs="Arial" w:eastAsia="Arial" w:hAnsi="Arial"/>
          <w:sz w:val="16"/>
          <w:szCs w:val="16"/>
          <w:color w:val="auto"/>
        </w:rPr>
        <w:t>We are highly dependent on the research and development, clinical, business development, financial and legal expertise of Jeffrey W. Albers, our President and Chief Executive Officer, Anthony L. Boral, our Chief Medical Officer, Marion Dorsch, our Chief Scientific Officer, Kathryn Haviland, our Chief Business Officer, Michael Landsittel, our</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Vice President of Finance, Tracey McCain, our Chief Legal Officer, and Christopher Murray, our Senior Vice President of Technical Operations, as well as the other principal members of our management, scientific and clinical team. Although we have entered into employment agreements with our executive officers,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62" w:lineRule="exact"/>
        <w:rPr>
          <w:sz w:val="20"/>
          <w:szCs w:val="20"/>
          <w:color w:val="auto"/>
        </w:rPr>
      </w:pPr>
    </w:p>
    <w:p>
      <w:pPr>
        <w:ind w:right="40" w:firstLine="648"/>
        <w:spacing w:after="0" w:line="221" w:lineRule="auto"/>
        <w:rPr>
          <w:sz w:val="20"/>
          <w:szCs w:val="20"/>
          <w:color w:val="auto"/>
        </w:rPr>
      </w:pPr>
      <w:r>
        <w:rPr>
          <w:rFonts w:ascii="Arial" w:cs="Arial" w:eastAsia="Arial" w:hAnsi="Arial"/>
          <w:sz w:val="17"/>
          <w:szCs w:val="17"/>
          <w:color w:val="auto"/>
        </w:rPr>
        <w:t>We expect to continue hiring qualified development personnel. Recruiting and retaining qualified scientific, clinical,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key employees and executive officers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67"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62" w:lineRule="exact"/>
        <w:rPr>
          <w:sz w:val="20"/>
          <w:szCs w:val="20"/>
          <w:color w:val="auto"/>
        </w:rPr>
      </w:pPr>
    </w:p>
    <w:p>
      <w:pPr>
        <w:ind w:right="40" w:firstLine="648"/>
        <w:spacing w:after="0" w:line="233" w:lineRule="auto"/>
        <w:rPr>
          <w:sz w:val="20"/>
          <w:szCs w:val="20"/>
          <w:color w:val="auto"/>
        </w:rPr>
      </w:pPr>
      <w:r>
        <w:rPr>
          <w:rFonts w:ascii="Arial" w:cs="Arial" w:eastAsia="Arial" w:hAnsi="Arial"/>
          <w:sz w:val="16"/>
          <w:szCs w:val="16"/>
          <w:color w:val="auto"/>
        </w:rPr>
        <w:t>As of February 15, 2018, we had 149 full-time employees, and we expect to continue to increase our number of employees and expand the scope of our operations.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In the second quarter of 2017, we entered into a lease agreement for new office and laboratory space located at 45 Sidney Street, Cambridge, Massachusetts 02139, and we relocated our corporate headquarters to the new premises in the first quarter of 2018. Additional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Unfavorable global economic conditions could adversely affect our business, financial condition or results of operations.</w:t>
      </w:r>
    </w:p>
    <w:p>
      <w:pPr>
        <w:spacing w:after="0" w:line="219"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the global financial crisis caused extreme volatility and disruptions in the capital and credit markets. A severe or prolonged economic downturn, such as the global financial crisis,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w:t>
      </w:r>
    </w:p>
    <w:p>
      <w:pPr>
        <w:spacing w:after="0" w:line="165" w:lineRule="exact"/>
        <w:rPr>
          <w:sz w:val="20"/>
          <w:szCs w:val="20"/>
          <w:color w:val="auto"/>
        </w:rPr>
      </w:pPr>
    </w:p>
    <w:p>
      <w:pPr>
        <w:ind w:right="100" w:firstLine="648"/>
        <w:spacing w:after="0" w:line="249" w:lineRule="auto"/>
        <w:rPr>
          <w:sz w:val="20"/>
          <w:szCs w:val="20"/>
          <w:color w:val="auto"/>
        </w:rPr>
      </w:pPr>
      <w:r>
        <w:rPr>
          <w:rFonts w:ascii="Arial" w:cs="Arial" w:eastAsia="Arial" w:hAnsi="Arial"/>
          <w:sz w:val="16"/>
          <w:szCs w:val="16"/>
          <w:color w:val="auto"/>
        </w:rPr>
        <w:t>Following its June 23, 2016 vote to leave the European Union, on March 29, 2017, the United Kingdom invoked Article 50 of the Lisbon Treaty and formally began the process of exiting the European Union. Although Brexit has already and may continue to adversely affect European and/or worldwide economic or market, political or regulatory conditions and may contribute to instability in the global financial markets, political institutions and regulatory agencies,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40"/>
        <w:spacing w:after="0" w:line="214" w:lineRule="auto"/>
        <w:rPr>
          <w:sz w:val="20"/>
          <w:szCs w:val="20"/>
          <w:color w:val="auto"/>
        </w:rPr>
      </w:pPr>
      <w:r>
        <w:rPr>
          <w:rFonts w:ascii="Arial" w:cs="Arial" w:eastAsia="Arial" w:hAnsi="Arial"/>
          <w:sz w:val="18"/>
          <w:szCs w:val="18"/>
          <w:color w:val="auto"/>
        </w:rPr>
        <w:t>the resulting immediate changes in foreign currency exchange rates have had a limited overall impact due to natural hedging. The long-term impact of Brexit, including on our business and our industry, will depend on the terms that are negotiated in relation to the United Kingdom’s future relationship with the European Union, and we are closely monitoring the Brexit developments in order to determine, quantify and proactively address changes as they become clear. Despite the Brexit developments, we do not expect macroeconomic conditions to have a significant impact on our liquidity needs, financial condition or results of operations.</w:t>
      </w:r>
    </w:p>
    <w:p>
      <w:pPr>
        <w:spacing w:after="0" w:line="162"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24" w:lineRule="exact"/>
        <w:rPr>
          <w:sz w:val="20"/>
          <w:szCs w:val="20"/>
          <w:color w:val="auto"/>
        </w:rPr>
      </w:pPr>
    </w:p>
    <w:p>
      <w:pPr>
        <w:ind w:right="160" w:firstLine="648"/>
        <w:spacing w:after="0" w:line="223" w:lineRule="auto"/>
        <w:rPr>
          <w:sz w:val="20"/>
          <w:szCs w:val="20"/>
          <w:color w:val="auto"/>
        </w:rPr>
      </w:pPr>
      <w:r>
        <w:rPr>
          <w:rFonts w:ascii="Arial" w:cs="Arial" w:eastAsia="Arial" w:hAnsi="Arial"/>
          <w:sz w:val="17"/>
          <w:szCs w:val="17"/>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68" w:lineRule="exact"/>
        <w:rPr>
          <w:sz w:val="20"/>
          <w:szCs w:val="20"/>
          <w:color w:val="auto"/>
        </w:rPr>
      </w:pPr>
    </w:p>
    <w:p>
      <w:pPr>
        <w:ind w:right="240"/>
        <w:spacing w:after="0" w:line="324" w:lineRule="auto"/>
        <w:rPr>
          <w:sz w:val="20"/>
          <w:szCs w:val="20"/>
          <w:color w:val="auto"/>
        </w:rPr>
      </w:pPr>
      <w:r>
        <w:rPr>
          <w:rFonts w:ascii="Arial" w:cs="Arial" w:eastAsia="Arial" w:hAnsi="Arial"/>
          <w:sz w:val="15"/>
          <w:szCs w:val="15"/>
          <w:b w:val="1"/>
          <w:bCs w:val="1"/>
          <w:i w:val="1"/>
          <w:iCs w:val="1"/>
          <w:color w:val="auto"/>
        </w:rPr>
        <w:t>Our internal computer systems, or those of our third-party CROs or other contractors or consultants, may fail or suffer security breaches, which could result in a material disruption of our drug candidates’ development programs.</w:t>
      </w:r>
    </w:p>
    <w:p>
      <w:pPr>
        <w:spacing w:after="0" w:line="102"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our drug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340"/>
        <w:spacing w:after="0" w:line="289" w:lineRule="auto"/>
        <w:rPr>
          <w:sz w:val="20"/>
          <w:szCs w:val="20"/>
          <w:color w:val="auto"/>
        </w:rPr>
      </w:pPr>
      <w:r>
        <w:rPr>
          <w:rFonts w:ascii="Arial" w:cs="Arial" w:eastAsia="Arial" w:hAnsi="Arial"/>
          <w:sz w:val="16"/>
          <w:szCs w:val="16"/>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124" w:lineRule="exact"/>
        <w:rPr>
          <w:sz w:val="20"/>
          <w:szCs w:val="20"/>
          <w:color w:val="auto"/>
        </w:rPr>
      </w:pPr>
    </w:p>
    <w:p>
      <w:pPr>
        <w:ind w:firstLine="648"/>
        <w:spacing w:after="0"/>
        <w:rPr>
          <w:sz w:val="20"/>
          <w:szCs w:val="20"/>
          <w:color w:val="auto"/>
        </w:rPr>
      </w:pPr>
      <w:r>
        <w:rPr>
          <w:rFonts w:ascii="Arial" w:cs="Arial" w:eastAsia="Arial" w:hAnsi="Arial"/>
          <w:sz w:val="16"/>
          <w:szCs w:val="16"/>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2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We may acquire businesses or drugs, or form strategic alliances, in the future, and we may not realize the benefits of such acquisitions.</w:t>
      </w:r>
    </w:p>
    <w:p>
      <w:pPr>
        <w:spacing w:after="0" w:line="162" w:lineRule="exact"/>
        <w:rPr>
          <w:sz w:val="20"/>
          <w:szCs w:val="20"/>
          <w:color w:val="auto"/>
        </w:rPr>
      </w:pPr>
    </w:p>
    <w:p>
      <w:pPr>
        <w:ind w:right="60" w:firstLine="648"/>
        <w:spacing w:after="0" w:line="225" w:lineRule="auto"/>
        <w:rPr>
          <w:sz w:val="20"/>
          <w:szCs w:val="20"/>
          <w:color w:val="auto"/>
        </w:rPr>
      </w:pPr>
      <w:r>
        <w:rPr>
          <w:rFonts w:ascii="Arial" w:cs="Arial" w:eastAsia="Arial" w:hAnsi="Arial"/>
          <w:sz w:val="17"/>
          <w:szCs w:val="17"/>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subject to adverse legislative or regulatory tax changes that could negatively impact our financial condition.</w:t>
      </w:r>
    </w:p>
    <w:p>
      <w:pPr>
        <w:spacing w:after="0" w:line="219" w:lineRule="exact"/>
        <w:rPr>
          <w:sz w:val="20"/>
          <w:szCs w:val="20"/>
          <w:color w:val="auto"/>
        </w:rPr>
      </w:pPr>
    </w:p>
    <w:p>
      <w:pPr>
        <w:ind w:right="40" w:firstLine="648"/>
        <w:spacing w:after="0" w:line="212"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spacing w:after="0" w:line="158" w:lineRule="exact"/>
        <w:rPr>
          <w:sz w:val="20"/>
          <w:szCs w:val="20"/>
          <w:color w:val="auto"/>
        </w:rPr>
      </w:pPr>
    </w:p>
    <w:p>
      <w:pPr>
        <w:ind w:right="40" w:firstLine="648"/>
        <w:spacing w:after="0" w:line="221" w:lineRule="auto"/>
        <w:rPr>
          <w:sz w:val="20"/>
          <w:szCs w:val="20"/>
          <w:color w:val="auto"/>
        </w:rPr>
      </w:pPr>
      <w:r>
        <w:rPr>
          <w:rFonts w:ascii="Arial" w:cs="Arial" w:eastAsia="Arial" w:hAnsi="Arial"/>
          <w:sz w:val="21"/>
          <w:szCs w:val="21"/>
          <w:color w:val="auto"/>
        </w:rPr>
        <w:t>On December 22, 2017, the Tax Cuts and Jobs Act, or TCJA, was enacted. The TCJA significantly reforms the Internal Revenue Code of 1986, as amended. The TCJA, among other things, includes changes to U.S. federal tax rates, imposes significant additional limitations on the deductibility of interest and net operating loss carryforwards and allows for the expensing of capital expenditures. Our net deferred tax assets and liabilities were revalued as of December 31, 2017 at the newly enacted U.S. corporate rate, and the impact was recognized in our tax expense in the year of enactment but was offset by a corresponding reduction to the valuation allowance. We continue to examine the impact this tax reform legislation may have on our business. The impact of this tax reform is uncertain and could be adverse.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has been and may in the future be volatile and fluctuate substantially.</w:t>
      </w:r>
    </w:p>
    <w:p>
      <w:pPr>
        <w:spacing w:after="0" w:line="185" w:lineRule="exact"/>
        <w:rPr>
          <w:sz w:val="20"/>
          <w:szCs w:val="20"/>
          <w:color w:val="auto"/>
        </w:rPr>
      </w:pPr>
    </w:p>
    <w:p>
      <w:pPr>
        <w:ind w:right="140" w:firstLine="648"/>
        <w:spacing w:after="0" w:line="212" w:lineRule="auto"/>
        <w:rPr>
          <w:sz w:val="20"/>
          <w:szCs w:val="20"/>
          <w:color w:val="auto"/>
        </w:rPr>
      </w:pPr>
      <w:r>
        <w:rPr>
          <w:rFonts w:ascii="Arial" w:cs="Arial" w:eastAsia="Arial" w:hAnsi="Arial"/>
          <w:sz w:val="18"/>
          <w:szCs w:val="18"/>
          <w:color w:val="auto"/>
        </w:rPr>
        <w:t>Our stock price has been and in the future may be subject to substantial volatility. In addition, the stock market in general, and Nasdaq listed and biopharmaceutical companies in particular, have experienced extreme price and volume fluctuations that have often been unrelated or disproportionate to the operating performance of these companies. For example, our stock traded within a range of a high price of $92.00 and a low price of $13.04 per share for the period beginning on April 30, 2015, our first day of trading on The Nasdaq Global Select Market, through February 15, 2018. As a result of this volatility, our stockholders could incur substantial losses. In addition, the market price for our common stock may be influenced by many factors, including:</w:t>
      </w:r>
    </w:p>
    <w:p>
      <w:pPr>
        <w:spacing w:after="0" w:line="165" w:lineRule="exact"/>
        <w:rPr>
          <w:sz w:val="20"/>
          <w:szCs w:val="20"/>
          <w:color w:val="auto"/>
        </w:rPr>
      </w:pPr>
    </w:p>
    <w:p>
      <w:pPr>
        <w:ind w:left="1300" w:hanging="325"/>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success of competitive drugs or technologies;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results of clinical trials of our drug candidates or those of our competitors;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196" w:lineRule="exact"/>
        <w:rPr>
          <w:rFonts w:ascii="Arial" w:cs="Arial" w:eastAsia="Arial" w:hAnsi="Arial"/>
          <w:sz w:val="17"/>
          <w:szCs w:val="17"/>
          <w:color w:val="auto"/>
        </w:rPr>
      </w:pPr>
    </w:p>
    <w:p>
      <w:pPr>
        <w:ind w:left="1300" w:hanging="325"/>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level of expenses related to any of our drug candidates or clinical development programs;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results of our efforts to discover, develop, acquire or in-license additional drug candidates or drugs;</w:t>
      </w:r>
    </w:p>
    <w:p>
      <w:pPr>
        <w:spacing w:after="0" w:line="196" w:lineRule="exact"/>
        <w:rPr>
          <w:rFonts w:ascii="Arial" w:cs="Arial" w:eastAsia="Arial" w:hAnsi="Arial"/>
          <w:sz w:val="17"/>
          <w:szCs w:val="17"/>
          <w:color w:val="auto"/>
        </w:rPr>
      </w:pPr>
    </w:p>
    <w:p>
      <w:pPr>
        <w:ind w:left="1300" w:right="1280" w:hanging="325"/>
        <w:spacing w:after="0" w:line="235"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85" w:lineRule="exact"/>
        <w:rPr>
          <w:sz w:val="20"/>
          <w:szCs w:val="20"/>
          <w:color w:val="auto"/>
        </w:rPr>
      </w:pPr>
    </w:p>
    <w:p>
      <w:pPr>
        <w:ind w:right="100" w:firstLine="648"/>
        <w:spacing w:after="0" w:line="241" w:lineRule="auto"/>
        <w:rPr>
          <w:sz w:val="20"/>
          <w:szCs w:val="20"/>
          <w:color w:val="auto"/>
        </w:rPr>
      </w:pPr>
      <w:r>
        <w:rPr>
          <w:rFonts w:ascii="Arial" w:cs="Arial" w:eastAsia="Arial" w:hAnsi="Arial"/>
          <w:sz w:val="16"/>
          <w:szCs w:val="16"/>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spacing w:after="0" w:line="161"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investors may not be able to resell their shares at or above the price they paid.</w:t>
      </w:r>
    </w:p>
    <w:p>
      <w:pPr>
        <w:spacing w:after="0" w:line="162"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Although we have listed our common stock on The Nasdaq Global Select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9"/>
        <w:spacing w:after="0" w:line="235"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publish negative evaluations of or downgrade our common stock, the price of our common stock could decline.</w:t>
      </w:r>
    </w:p>
    <w:p>
      <w:pPr>
        <w:spacing w:after="0" w:line="162" w:lineRule="exact"/>
        <w:rPr>
          <w:sz w:val="20"/>
          <w:szCs w:val="20"/>
          <w:color w:val="auto"/>
        </w:rPr>
      </w:pPr>
    </w:p>
    <w:p>
      <w:pPr>
        <w:ind w:right="39" w:firstLine="648"/>
        <w:spacing w:after="0" w:line="212"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or our business. We do not control these analysts.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65" w:lineRule="exact"/>
        <w:rPr>
          <w:sz w:val="20"/>
          <w:szCs w:val="20"/>
          <w:color w:val="auto"/>
        </w:rPr>
      </w:pPr>
    </w:p>
    <w:p>
      <w:pPr>
        <w:ind w:right="359"/>
        <w:spacing w:after="0" w:line="258" w:lineRule="auto"/>
        <w:rPr>
          <w:sz w:val="20"/>
          <w:szCs w:val="20"/>
          <w:color w:val="auto"/>
        </w:rPr>
      </w:pPr>
      <w:r>
        <w:rPr>
          <w:rFonts w:ascii="Arial" w:cs="Arial" w:eastAsia="Arial" w:hAnsi="Arial"/>
          <w:sz w:val="17"/>
          <w:szCs w:val="17"/>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47" w:lineRule="exact"/>
        <w:rPr>
          <w:sz w:val="20"/>
          <w:szCs w:val="20"/>
          <w:color w:val="auto"/>
        </w:rPr>
      </w:pPr>
    </w:p>
    <w:p>
      <w:pPr>
        <w:ind w:right="79" w:firstLine="648"/>
        <w:spacing w:after="0" w:line="239" w:lineRule="auto"/>
        <w:rPr>
          <w:sz w:val="20"/>
          <w:szCs w:val="20"/>
          <w:color w:val="auto"/>
        </w:rPr>
      </w:pPr>
      <w:r>
        <w:rPr>
          <w:rFonts w:ascii="Arial" w:cs="Arial" w:eastAsia="Arial" w:hAnsi="Arial"/>
          <w:sz w:val="16"/>
          <w:szCs w:val="16"/>
          <w:color w:val="auto"/>
        </w:rPr>
        <w:t>Our executive officers, directors and stockholders who own more than 5% of our outstanding common stock, together with their affiliates and related persons, beneficially own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63" w:lineRule="exact"/>
        <w:rPr>
          <w:sz w:val="20"/>
          <w:szCs w:val="20"/>
          <w:color w:val="auto"/>
        </w:rPr>
      </w:pPr>
    </w:p>
    <w:p>
      <w:pPr>
        <w:ind w:left="1300" w:hanging="325"/>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84" w:lineRule="exact"/>
        <w:rPr>
          <w:rFonts w:ascii="Arial" w:cs="Arial" w:eastAsia="Arial" w:hAnsi="Arial"/>
          <w:sz w:val="18"/>
          <w:szCs w:val="18"/>
          <w:color w:val="auto"/>
        </w:rPr>
      </w:pPr>
    </w:p>
    <w:p>
      <w:pPr>
        <w:ind w:left="1300" w:right="199" w:hanging="325"/>
        <w:spacing w:after="0" w:line="235"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162" w:lineRule="exact"/>
        <w:rPr>
          <w:sz w:val="20"/>
          <w:szCs w:val="20"/>
          <w:color w:val="auto"/>
        </w:rPr>
      </w:pPr>
    </w:p>
    <w:p>
      <w:pPr>
        <w:ind w:right="119"/>
        <w:spacing w:after="0" w:line="224"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3" w:lineRule="exact"/>
        <w:rPr>
          <w:sz w:val="20"/>
          <w:szCs w:val="20"/>
          <w:color w:val="auto"/>
        </w:rPr>
      </w:pPr>
    </w:p>
    <w:p>
      <w:pPr>
        <w:ind w:right="39" w:firstLine="648"/>
        <w:spacing w:after="0" w:line="221" w:lineRule="auto"/>
        <w:rPr>
          <w:sz w:val="20"/>
          <w:szCs w:val="20"/>
          <w:color w:val="auto"/>
        </w:rPr>
      </w:pPr>
      <w:r>
        <w:rPr>
          <w:rFonts w:ascii="Arial" w:cs="Arial" w:eastAsia="Arial" w:hAnsi="Arial"/>
          <w:sz w:val="17"/>
          <w:szCs w:val="17"/>
          <w:color w:val="auto"/>
        </w:rPr>
        <w:t>Provisions in our amended and restated certificate of incorporation and amended and restated bylaws may delay or prevent an acquisition of us or a change in our management. These provisions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67" w:lineRule="exact"/>
        <w:rPr>
          <w:sz w:val="20"/>
          <w:szCs w:val="20"/>
          <w:color w:val="auto"/>
        </w:rPr>
      </w:pPr>
    </w:p>
    <w:p>
      <w:pPr>
        <w:ind w:right="459"/>
        <w:spacing w:after="0" w:line="235" w:lineRule="auto"/>
        <w:rPr>
          <w:sz w:val="20"/>
          <w:szCs w:val="20"/>
          <w:color w:val="auto"/>
        </w:rPr>
      </w:pPr>
      <w:r>
        <w:rPr>
          <w:rFonts w:ascii="Arial" w:cs="Arial" w:eastAsia="Arial" w:hAnsi="Arial"/>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62" w:lineRule="exact"/>
        <w:rPr>
          <w:sz w:val="20"/>
          <w:szCs w:val="20"/>
          <w:color w:val="auto"/>
        </w:rPr>
      </w:pPr>
    </w:p>
    <w:p>
      <w:pPr>
        <w:ind w:right="79" w:firstLine="648"/>
        <w:spacing w:after="0" w:line="237" w:lineRule="auto"/>
        <w:rPr>
          <w:sz w:val="20"/>
          <w:szCs w:val="20"/>
          <w:color w:val="auto"/>
        </w:rPr>
      </w:pPr>
      <w:r>
        <w:rPr>
          <w:rFonts w:ascii="Arial" w:cs="Arial" w:eastAsia="Arial" w:hAnsi="Arial"/>
          <w:sz w:val="16"/>
          <w:szCs w:val="16"/>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163" w:lineRule="exact"/>
        <w:rPr>
          <w:sz w:val="20"/>
          <w:szCs w:val="20"/>
          <w:color w:val="auto"/>
        </w:rPr>
      </w:pPr>
    </w:p>
    <w:p>
      <w:pPr>
        <w:ind w:right="960"/>
        <w:spacing w:after="0" w:line="258" w:lineRule="auto"/>
        <w:rPr>
          <w:sz w:val="20"/>
          <w:szCs w:val="20"/>
          <w:color w:val="auto"/>
        </w:rPr>
      </w:pPr>
      <w:r>
        <w:rPr>
          <w:rFonts w:ascii="Arial" w:cs="Arial" w:eastAsia="Arial" w:hAnsi="Arial"/>
          <w:sz w:val="17"/>
          <w:szCs w:val="17"/>
          <w:b w:val="1"/>
          <w:bCs w:val="1"/>
          <w:i w:val="1"/>
          <w:iCs w:val="1"/>
          <w:color w:val="auto"/>
        </w:rPr>
        <w:t>Commencing January 1, 2018, we are no longer an “emerging growth company,” and the reduced disclosure requirements applicable to emerging growth companies no longer apply to us.</w:t>
      </w:r>
    </w:p>
    <w:p>
      <w:pPr>
        <w:spacing w:after="0" w:line="147" w:lineRule="exact"/>
        <w:rPr>
          <w:sz w:val="20"/>
          <w:szCs w:val="20"/>
          <w:color w:val="auto"/>
        </w:rPr>
      </w:pPr>
    </w:p>
    <w:p>
      <w:pPr>
        <w:ind w:right="120" w:firstLine="648"/>
        <w:spacing w:after="0" w:line="216" w:lineRule="auto"/>
        <w:rPr>
          <w:sz w:val="20"/>
          <w:szCs w:val="20"/>
          <w:color w:val="auto"/>
        </w:rPr>
      </w:pPr>
      <w:r>
        <w:rPr>
          <w:rFonts w:ascii="Arial" w:cs="Arial" w:eastAsia="Arial" w:hAnsi="Arial"/>
          <w:sz w:val="18"/>
          <w:szCs w:val="18"/>
          <w:color w:val="auto"/>
        </w:rPr>
        <w:t>As of June 30, 2017, the market value of our common stock that was held by non-affiliates exceeded $700 million, and as a result, as of January 1, 2018 we no longer qualified as an “emerging growth company,” as defined in the Jumpstart Our Business Startups Act of 2012. As a large accelerated filer, we are subject to certain disclosure requirements that are applicable to other public companies that were not applicable to us as an emerging growth company. These requirements include:</w:t>
      </w:r>
    </w:p>
    <w:p>
      <w:pPr>
        <w:spacing w:after="0" w:line="162" w:lineRule="exact"/>
        <w:rPr>
          <w:sz w:val="20"/>
          <w:szCs w:val="20"/>
          <w:color w:val="auto"/>
        </w:rPr>
      </w:pPr>
    </w:p>
    <w:p>
      <w:pPr>
        <w:ind w:left="1620" w:right="340" w:hanging="321"/>
        <w:spacing w:after="0" w:line="235" w:lineRule="auto"/>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compliance with the auditor attestation requirements in the assessment of our internal control over financial reporting imposed by the Sarbanes-Oxley Act of 2002;</w:t>
      </w:r>
    </w:p>
    <w:p>
      <w:pPr>
        <w:spacing w:after="0" w:line="161" w:lineRule="exact"/>
        <w:rPr>
          <w:rFonts w:ascii="Arial" w:cs="Arial" w:eastAsia="Arial" w:hAnsi="Arial"/>
          <w:sz w:val="18"/>
          <w:szCs w:val="18"/>
          <w:color w:val="auto"/>
        </w:rPr>
      </w:pPr>
    </w:p>
    <w:p>
      <w:pPr>
        <w:ind w:left="1620" w:right="120" w:hanging="321"/>
        <w:spacing w:after="0" w:line="224" w:lineRule="auto"/>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compliance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63" w:lineRule="exact"/>
        <w:rPr>
          <w:rFonts w:ascii="Arial" w:cs="Arial" w:eastAsia="Arial" w:hAnsi="Arial"/>
          <w:sz w:val="18"/>
          <w:szCs w:val="18"/>
          <w:color w:val="auto"/>
        </w:rPr>
      </w:pPr>
    </w:p>
    <w:p>
      <w:pPr>
        <w:ind w:left="1620" w:hanging="321"/>
        <w:spacing w:after="0"/>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full disclosure obligations regarding executive compensation; and</w:t>
      </w:r>
    </w:p>
    <w:p>
      <w:pPr>
        <w:spacing w:after="0" w:line="184" w:lineRule="exact"/>
        <w:rPr>
          <w:rFonts w:ascii="Arial" w:cs="Arial" w:eastAsia="Arial" w:hAnsi="Arial"/>
          <w:sz w:val="18"/>
          <w:szCs w:val="18"/>
          <w:color w:val="auto"/>
        </w:rPr>
      </w:pPr>
    </w:p>
    <w:p>
      <w:pPr>
        <w:ind w:left="1620" w:right="160" w:hanging="321"/>
        <w:spacing w:after="0" w:line="289" w:lineRule="auto"/>
        <w:tabs>
          <w:tab w:leader="none" w:pos="16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compliance with the requirements of holding a nonbinding advisory vote on executive compensation and stockholder approval of any golden parachute payments not previously approved.</w:t>
      </w:r>
    </w:p>
    <w:p>
      <w:pPr>
        <w:spacing w:after="0" w:line="124" w:lineRule="exact"/>
        <w:rPr>
          <w:sz w:val="20"/>
          <w:szCs w:val="20"/>
          <w:color w:val="auto"/>
        </w:rPr>
      </w:pPr>
    </w:p>
    <w:p>
      <w:pPr>
        <w:ind w:right="620" w:firstLine="648"/>
        <w:spacing w:after="0" w:line="235" w:lineRule="auto"/>
        <w:rPr>
          <w:sz w:val="20"/>
          <w:szCs w:val="20"/>
          <w:color w:val="auto"/>
        </w:rPr>
      </w:pPr>
      <w:r>
        <w:rPr>
          <w:rFonts w:ascii="Arial" w:cs="Arial" w:eastAsia="Arial" w:hAnsi="Arial"/>
          <w:sz w:val="18"/>
          <w:szCs w:val="18"/>
          <w:color w:val="auto"/>
        </w:rPr>
        <w:t>In addition, we are no longer able to take advantage of transition periods for complying with new or revised accounting standards that are available to emerging growth companies.</w:t>
      </w:r>
    </w:p>
    <w:p>
      <w:pPr>
        <w:spacing w:after="0" w:line="162" w:lineRule="exact"/>
        <w:rPr>
          <w:sz w:val="20"/>
          <w:szCs w:val="20"/>
          <w:color w:val="auto"/>
        </w:rPr>
      </w:pPr>
    </w:p>
    <w:p>
      <w:pPr>
        <w:ind w:right="400"/>
        <w:spacing w:after="0" w:line="324" w:lineRule="auto"/>
        <w:rPr>
          <w:sz w:val="20"/>
          <w:szCs w:val="20"/>
          <w:color w:val="auto"/>
        </w:rPr>
      </w:pPr>
      <w:r>
        <w:rPr>
          <w:rFonts w:ascii="Arial" w:cs="Arial" w:eastAsia="Arial" w:hAnsi="Arial"/>
          <w:sz w:val="15"/>
          <w:szCs w:val="15"/>
          <w:b w:val="1"/>
          <w:bCs w:val="1"/>
          <w:i w:val="1"/>
          <w:iCs w:val="1"/>
          <w:color w:val="auto"/>
        </w:rPr>
        <w:t>We have incurred and will continue to incur increased costs as a result of operating as a public company, and our management is required to devote substantial time to new compliance initiatives and corporate governance practices.</w:t>
      </w:r>
    </w:p>
    <w:p>
      <w:pPr>
        <w:spacing w:after="0" w:line="102" w:lineRule="exact"/>
        <w:rPr>
          <w:sz w:val="20"/>
          <w:szCs w:val="20"/>
          <w:color w:val="auto"/>
        </w:rPr>
      </w:pPr>
    </w:p>
    <w:p>
      <w:pPr>
        <w:ind w:right="40" w:firstLine="648"/>
        <w:spacing w:after="0" w:line="241" w:lineRule="auto"/>
        <w:rPr>
          <w:sz w:val="20"/>
          <w:szCs w:val="20"/>
          <w:color w:val="auto"/>
        </w:rPr>
      </w:pPr>
      <w:r>
        <w:rPr>
          <w:rFonts w:ascii="Arial" w:cs="Arial" w:eastAsia="Arial" w:hAnsi="Arial"/>
          <w:sz w:val="16"/>
          <w:szCs w:val="16"/>
          <w:color w:val="auto"/>
        </w:rPr>
        <w:t>As a public company, we have incurred and expect to continue to incur significant legal, accounting and other expenses. In addition, the Sarbanes-Oxley Act of 2002 and rules subsequently implemented by the Securities and Exchange Commission, or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make some activities more time-consuming and costly.</w:t>
      </w:r>
    </w:p>
    <w:p>
      <w:pPr>
        <w:spacing w:after="0" w:line="161" w:lineRule="exact"/>
        <w:rPr>
          <w:sz w:val="20"/>
          <w:szCs w:val="20"/>
          <w:color w:val="auto"/>
        </w:rPr>
      </w:pPr>
    </w:p>
    <w:p>
      <w:pPr>
        <w:ind w:right="100" w:firstLine="648"/>
        <w:spacing w:after="0" w:line="222" w:lineRule="auto"/>
        <w:rPr>
          <w:sz w:val="20"/>
          <w:szCs w:val="20"/>
          <w:color w:val="auto"/>
        </w:rPr>
      </w:pPr>
      <w:r>
        <w:rPr>
          <w:rFonts w:ascii="Arial" w:cs="Arial" w:eastAsia="Arial" w:hAnsi="Arial"/>
          <w:sz w:val="17"/>
          <w:szCs w:val="17"/>
          <w:color w:val="auto"/>
        </w:rPr>
        <w:t>Pursuant to Section 404 of the Sarbanes-Oxley Act of 2002, or Section 404, we are required to furnish an annual report by our management on our internal control over financial reporting. Because we are no longer an emerging growth company, we are required to include with this annual report an attestation report on internal control over financial reporting issued by our independent registered public accounting firm. To achieve compliance with Section 404 within the prescribed period, we have been and will continue to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w:t>
      </w:r>
    </w:p>
    <w:p>
      <w:pPr>
        <w:spacing w:after="0" w:line="164"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Despite our efforts, there is a risk that in the future neither we nor our independent registered public accounting firm will be able to conclude within the prescribed timeframe that our internal control over financial reporting is effective as required by Section 404 or that we will not be able to comply with the requirements of Section 404 in a timely manner. If this were to occur, the market price of our stock could decline and we could be subject to sanctions or investigations by the SEC or other regulatory authorities, which would require additional financial and management resources. Furthermore, investor perceptions of our company may suffer if deficiencies are found, and this could cause a</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00"/>
        <w:spacing w:after="0" w:line="216" w:lineRule="auto"/>
        <w:rPr>
          <w:sz w:val="20"/>
          <w:szCs w:val="20"/>
          <w:color w:val="auto"/>
        </w:rPr>
      </w:pPr>
      <w:r>
        <w:rPr>
          <w:rFonts w:ascii="Arial" w:cs="Arial" w:eastAsia="Arial" w:hAnsi="Arial"/>
          <w:sz w:val="18"/>
          <w:szCs w:val="18"/>
          <w:color w:val="auto"/>
        </w:rPr>
        <w:t>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 over financial reporting from our independent registered public accounting firm.</w:t>
      </w:r>
    </w:p>
    <w:p>
      <w:pPr>
        <w:spacing w:after="0" w:line="162" w:lineRule="exact"/>
        <w:rPr>
          <w:sz w:val="20"/>
          <w:szCs w:val="20"/>
          <w:color w:val="auto"/>
        </w:rPr>
      </w:pPr>
    </w:p>
    <w:p>
      <w:pPr>
        <w:ind w:right="960"/>
        <w:spacing w:after="0" w:line="258"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47"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In addition, under the loan and security agreement with Silicon Valley Bank, we are currently restricted from paying cash dividends, and we expect these restrictions to continue in the future. In addition, the terms of any future debt agreements may preclude us from paying dividends. As a result, capital appreciation, if any, of our common stock will be the sole source of gain for our stockholders for the foreseeable future.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85"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Under Section 382 of the Internal Revenue Code of 1986, as amended, if a corporation undergoes an “ownership change” (generally defined as a greater than 50% change (by value) in the ownership of its equity over a three 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2017, we had federal net operating loss carryforwards of approximately $288.6 million, and our ability to utilize those net operating loss carryforwards could be limited by an “ownership change” as described above, which could result in increased tax liability to us. In addition, pursuant to the TCJA, we may not use net operating loss carry-forwards to reduce our taxable income in any year by more than 80%, and we may not carry back any net operating losses to prior years. These new rules apply regardless of the occurrence of an ownership change.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89" w:lineRule="exact"/>
        <w:rPr>
          <w:sz w:val="20"/>
          <w:szCs w:val="20"/>
          <w:color w:val="auto"/>
        </w:rPr>
      </w:pPr>
    </w:p>
    <w:p>
      <w:pPr>
        <w:ind w:right="140" w:firstLine="648"/>
        <w:spacing w:after="0" w:line="244" w:lineRule="auto"/>
        <w:rPr>
          <w:sz w:val="20"/>
          <w:szCs w:val="20"/>
          <w:color w:val="auto"/>
        </w:rPr>
      </w:pPr>
      <w:r>
        <w:rPr>
          <w:rFonts w:ascii="Arial" w:cs="Arial" w:eastAsia="Arial" w:hAnsi="Arial"/>
          <w:sz w:val="16"/>
          <w:szCs w:val="16"/>
          <w:color w:val="auto"/>
        </w:rPr>
        <w:t>Our headquarters are located at 45 Sidney Street in Cambridge, Massachusetts where we occupy approximately 99,833 rentable square feet of office and laboratory space under a lease that commenced on October 1, 2017 and will expire on November 30, 2029. The lease agreement also provides us with an option to extend the lease agreement for two consecutive five-year periods at the then fair market annual rent, as defined in the lease agreement, as well as a right of first offer with respect to leasing additional space adjacent to the existing leased premises.</w:t>
      </w:r>
    </w:p>
    <w:p>
      <w:pPr>
        <w:spacing w:after="0" w:line="159"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We also lease our former corporate headquarters at 38 Sidney Street in Cambridge, Massachusetts under a lease that will expire on October 31, 2022. The lease agreement also provides us with an option to extend the lease for five additional years. In the first quarter of 2018, we fully subleased our former corporate headquarters through October 31, 2020. The sublessee has the option to extend the sublease through October 31, 2022, subject to specified exceptions under the sublease agreement.</w:t>
      </w:r>
    </w:p>
    <w:p>
      <w:pPr>
        <w:spacing w:after="0" w:line="162"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We believe that our existing office and laboratory space is sufficient to meet our needs for the foreseeable future and that suitable additional space will be available as and when needed.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18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right="6579"/>
        <w:spacing w:after="0"/>
        <w:rPr>
          <w:sz w:val="20"/>
          <w:szCs w:val="20"/>
          <w:color w:val="auto"/>
        </w:rPr>
      </w:pPr>
      <w:r>
        <w:rPr>
          <w:rFonts w:ascii="Arial" w:cs="Arial" w:eastAsia="Arial" w:hAnsi="Arial"/>
          <w:sz w:val="16"/>
          <w:szCs w:val="16"/>
          <w:b w:val="1"/>
          <w:bCs w:val="1"/>
          <w:color w:val="auto"/>
        </w:rPr>
        <w:t>Item 4. Mine Safety Disclosures.</w:t>
      </w:r>
    </w:p>
    <w:p>
      <w:pPr>
        <w:spacing w:after="0" w:line="212" w:lineRule="exact"/>
        <w:rPr>
          <w:sz w:val="20"/>
          <w:szCs w:val="20"/>
          <w:color w:val="auto"/>
        </w:rPr>
      </w:pPr>
    </w:p>
    <w:p>
      <w:pPr>
        <w:jc w:val="center"/>
        <w:ind w:right="6639"/>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ind w:right="580"/>
        <w:spacing w:after="0" w:line="23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Information Regarding the Trading of Our Common Stock</w:t>
      </w:r>
    </w:p>
    <w:p>
      <w:pPr>
        <w:spacing w:after="0" w:line="18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6"/>
          <w:szCs w:val="16"/>
          <w:color w:val="auto"/>
        </w:rPr>
        <w:t>Our common stock trades under the symbol “BPMC” on the Nasdaq Global Select Market and has been publicly traded since April 30, 2015. Prior to this time, there was no public market for our common stock. The following table sets forth the high and low sales prices of our common stock as reported on the Nasdaq Global Market for the periods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tcPr>
          <w:p>
            <w:pPr>
              <w:ind w:left="120"/>
              <w:spacing w:after="0"/>
              <w:rPr>
                <w:sz w:val="20"/>
                <w:szCs w:val="20"/>
                <w:color w:val="auto"/>
              </w:rPr>
            </w:pPr>
            <w:r>
              <w:rPr>
                <w:rFonts w:ascii="Arial" w:cs="Arial" w:eastAsia="Arial" w:hAnsi="Arial"/>
                <w:sz w:val="18"/>
                <w:szCs w:val="18"/>
                <w:b w:val="1"/>
                <w:bCs w:val="1"/>
                <w:color w:val="auto"/>
              </w:rPr>
              <w:t>Year Ended December 31, 2016:</w:t>
            </w:r>
          </w:p>
        </w:tc>
        <w:tc>
          <w:tcPr>
            <w:tcW w:w="36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High</w:t>
            </w:r>
          </w:p>
        </w:tc>
        <w:tc>
          <w:tcPr>
            <w:tcW w:w="360" w:type="dxa"/>
            <w:vAlign w:val="bottom"/>
          </w:tcPr>
          <w:p>
            <w:pPr>
              <w:spacing w:after="0"/>
              <w:rPr>
                <w:sz w:val="18"/>
                <w:szCs w:val="18"/>
                <w:color w:val="auto"/>
              </w:rPr>
            </w:pPr>
          </w:p>
        </w:tc>
        <w:tc>
          <w:tcPr>
            <w:tcW w:w="1000" w:type="dxa"/>
            <w:vAlign w:val="bottom"/>
          </w:tcPr>
          <w:p>
            <w:pPr>
              <w:ind w:left="160"/>
              <w:spacing w:after="0"/>
              <w:rPr>
                <w:sz w:val="20"/>
                <w:szCs w:val="20"/>
                <w:color w:val="auto"/>
              </w:rPr>
            </w:pPr>
            <w:r>
              <w:rPr>
                <w:rFonts w:ascii="Arial" w:cs="Arial" w:eastAsia="Arial" w:hAnsi="Arial"/>
                <w:sz w:val="18"/>
                <w:szCs w:val="18"/>
                <w:b w:val="1"/>
                <w:bCs w:val="1"/>
                <w:color w:val="auto"/>
              </w:rPr>
              <w:t>Low</w:t>
            </w:r>
          </w:p>
        </w:tc>
      </w:tr>
      <w:tr>
        <w:trPr>
          <w:trHeight w:val="169"/>
        </w:trPr>
        <w:tc>
          <w:tcPr>
            <w:tcW w:w="6040" w:type="dxa"/>
            <w:vAlign w:val="bottom"/>
            <w:tcBorders>
              <w:top w:val="single" w:sz="8" w:color="CCEEFF"/>
            </w:tcBorders>
            <w:shd w:val="clear" w:color="auto" w:fill="CCEEFF"/>
          </w:tcPr>
          <w:p>
            <w:pPr>
              <w:ind w:left="440"/>
              <w:spacing w:after="0" w:line="170" w:lineRule="exact"/>
              <w:rPr>
                <w:sz w:val="20"/>
                <w:szCs w:val="20"/>
                <w:color w:val="auto"/>
              </w:rPr>
            </w:pPr>
            <w:r>
              <w:rPr>
                <w:rFonts w:ascii="Arial" w:cs="Arial" w:eastAsia="Arial" w:hAnsi="Arial"/>
                <w:sz w:val="18"/>
                <w:szCs w:val="18"/>
                <w:color w:val="auto"/>
              </w:rPr>
              <w:t>First Quarter</w:t>
            </w:r>
          </w:p>
        </w:tc>
        <w:tc>
          <w:tcPr>
            <w:tcW w:w="360" w:type="dxa"/>
            <w:vAlign w:val="bottom"/>
            <w:tcBorders>
              <w:top w:val="single" w:sz="8" w:color="auto"/>
            </w:tcBorders>
            <w:shd w:val="clear" w:color="auto" w:fill="CCEEFF"/>
          </w:tcPr>
          <w:p>
            <w:pPr>
              <w:jc w:val="right"/>
              <w:ind w:right="70"/>
              <w:spacing w:after="0" w:line="170"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350"/>
              <w:spacing w:after="0" w:line="170" w:lineRule="exact"/>
              <w:rPr>
                <w:sz w:val="20"/>
                <w:szCs w:val="20"/>
                <w:color w:val="auto"/>
              </w:rPr>
            </w:pPr>
            <w:r>
              <w:rPr>
                <w:rFonts w:ascii="Arial" w:cs="Arial" w:eastAsia="Arial" w:hAnsi="Arial"/>
                <w:sz w:val="18"/>
                <w:szCs w:val="18"/>
                <w:color w:val="auto"/>
              </w:rPr>
              <w:t>25.99</w:t>
            </w:r>
          </w:p>
        </w:tc>
        <w:tc>
          <w:tcPr>
            <w:tcW w:w="2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70"/>
              <w:spacing w:after="0" w:line="170"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ind w:left="160"/>
              <w:spacing w:after="0" w:line="170" w:lineRule="exact"/>
              <w:rPr>
                <w:sz w:val="20"/>
                <w:szCs w:val="20"/>
                <w:color w:val="auto"/>
              </w:rPr>
            </w:pPr>
            <w:r>
              <w:rPr>
                <w:rFonts w:ascii="Arial" w:cs="Arial" w:eastAsia="Arial" w:hAnsi="Arial"/>
                <w:sz w:val="18"/>
                <w:szCs w:val="18"/>
                <w:color w:val="auto"/>
              </w:rPr>
              <w:t>13.04</w:t>
            </w:r>
          </w:p>
        </w:tc>
      </w:tr>
      <w:tr>
        <w:trPr>
          <w:trHeight w:val="176"/>
        </w:trPr>
        <w:tc>
          <w:tcPr>
            <w:tcW w:w="6040" w:type="dxa"/>
            <w:vAlign w:val="bottom"/>
          </w:tcPr>
          <w:p>
            <w:pPr>
              <w:ind w:left="440"/>
              <w:spacing w:after="0" w:line="176" w:lineRule="exact"/>
              <w:rPr>
                <w:sz w:val="20"/>
                <w:szCs w:val="20"/>
                <w:color w:val="auto"/>
              </w:rPr>
            </w:pPr>
            <w:r>
              <w:rPr>
                <w:rFonts w:ascii="Arial" w:cs="Arial" w:eastAsia="Arial" w:hAnsi="Arial"/>
                <w:sz w:val="18"/>
                <w:szCs w:val="18"/>
                <w:color w:val="auto"/>
              </w:rPr>
              <w:t>Second Quarter</w:t>
            </w:r>
          </w:p>
        </w:tc>
        <w:tc>
          <w:tcPr>
            <w:tcW w:w="360" w:type="dxa"/>
            <w:vAlign w:val="bottom"/>
          </w:tcPr>
          <w:p>
            <w:pPr>
              <w:jc w:val="right"/>
              <w:ind w:right="70"/>
              <w:spacing w:after="0" w:line="176"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50"/>
              <w:spacing w:after="0" w:line="176" w:lineRule="exact"/>
              <w:rPr>
                <w:sz w:val="20"/>
                <w:szCs w:val="20"/>
                <w:color w:val="auto"/>
              </w:rPr>
            </w:pPr>
            <w:r>
              <w:rPr>
                <w:rFonts w:ascii="Arial" w:cs="Arial" w:eastAsia="Arial" w:hAnsi="Arial"/>
                <w:sz w:val="18"/>
                <w:szCs w:val="18"/>
                <w:color w:val="auto"/>
              </w:rPr>
              <w:t>22.48</w:t>
            </w:r>
          </w:p>
        </w:tc>
        <w:tc>
          <w:tcPr>
            <w:tcW w:w="280" w:type="dxa"/>
            <w:vAlign w:val="bottom"/>
          </w:tcPr>
          <w:p>
            <w:pPr>
              <w:spacing w:after="0"/>
              <w:rPr>
                <w:sz w:val="15"/>
                <w:szCs w:val="15"/>
                <w:color w:val="auto"/>
              </w:rPr>
            </w:pPr>
          </w:p>
        </w:tc>
        <w:tc>
          <w:tcPr>
            <w:tcW w:w="360" w:type="dxa"/>
            <w:vAlign w:val="bottom"/>
          </w:tcPr>
          <w:p>
            <w:pPr>
              <w:jc w:val="right"/>
              <w:ind w:right="70"/>
              <w:spacing w:after="0" w:line="176" w:lineRule="exact"/>
              <w:rPr>
                <w:sz w:val="20"/>
                <w:szCs w:val="20"/>
                <w:color w:val="auto"/>
              </w:rPr>
            </w:pPr>
            <w:r>
              <w:rPr>
                <w:rFonts w:ascii="Arial" w:cs="Arial" w:eastAsia="Arial" w:hAnsi="Arial"/>
                <w:sz w:val="18"/>
                <w:szCs w:val="18"/>
                <w:color w:val="auto"/>
              </w:rPr>
              <w:t>$</w:t>
            </w:r>
          </w:p>
        </w:tc>
        <w:tc>
          <w:tcPr>
            <w:tcW w:w="1000" w:type="dxa"/>
            <w:vAlign w:val="bottom"/>
          </w:tcPr>
          <w:p>
            <w:pPr>
              <w:ind w:left="160"/>
              <w:spacing w:after="0" w:line="176" w:lineRule="exact"/>
              <w:rPr>
                <w:sz w:val="20"/>
                <w:szCs w:val="20"/>
                <w:color w:val="auto"/>
              </w:rPr>
            </w:pPr>
            <w:r>
              <w:rPr>
                <w:rFonts w:ascii="Arial" w:cs="Arial" w:eastAsia="Arial" w:hAnsi="Arial"/>
                <w:sz w:val="18"/>
                <w:szCs w:val="18"/>
                <w:color w:val="auto"/>
              </w:rPr>
              <w:t>13.27</w:t>
            </w:r>
          </w:p>
        </w:tc>
      </w:tr>
      <w:tr>
        <w:trPr>
          <w:trHeight w:val="176"/>
        </w:trPr>
        <w:tc>
          <w:tcPr>
            <w:tcW w:w="604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Third Quarter</w:t>
            </w:r>
          </w:p>
        </w:tc>
        <w:tc>
          <w:tcPr>
            <w:tcW w:w="360" w:type="dxa"/>
            <w:vAlign w:val="bottom"/>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0"/>
              <w:spacing w:after="0" w:line="176" w:lineRule="exact"/>
              <w:rPr>
                <w:sz w:val="20"/>
                <w:szCs w:val="20"/>
                <w:color w:val="auto"/>
              </w:rPr>
            </w:pPr>
            <w:r>
              <w:rPr>
                <w:rFonts w:ascii="Arial" w:cs="Arial" w:eastAsia="Arial" w:hAnsi="Arial"/>
                <w:sz w:val="18"/>
                <w:szCs w:val="18"/>
                <w:color w:val="auto"/>
              </w:rPr>
              <w:t>29.90</w:t>
            </w: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19.51</w:t>
            </w:r>
          </w:p>
        </w:tc>
      </w:tr>
      <w:tr>
        <w:trPr>
          <w:trHeight w:val="230"/>
        </w:trPr>
        <w:tc>
          <w:tcPr>
            <w:tcW w:w="604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38.33</w:t>
            </w:r>
          </w:p>
        </w:tc>
        <w:tc>
          <w:tcPr>
            <w:tcW w:w="280" w:type="dxa"/>
            <w:vAlign w:val="bottom"/>
          </w:tcPr>
          <w:p>
            <w:pPr>
              <w:spacing w:after="0"/>
              <w:rPr>
                <w:sz w:val="20"/>
                <w:szCs w:val="20"/>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ind w:left="160"/>
              <w:spacing w:after="0"/>
              <w:rPr>
                <w:sz w:val="20"/>
                <w:szCs w:val="20"/>
                <w:color w:val="auto"/>
              </w:rPr>
            </w:pPr>
            <w:r>
              <w:rPr>
                <w:rFonts w:ascii="Arial" w:cs="Arial" w:eastAsia="Arial" w:hAnsi="Arial"/>
                <w:sz w:val="18"/>
                <w:szCs w:val="18"/>
                <w:color w:val="auto"/>
              </w:rPr>
              <w:t>25.08</w:t>
            </w:r>
          </w:p>
        </w:tc>
      </w:tr>
    </w:tbl>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tcPr>
          <w:p>
            <w:pPr>
              <w:ind w:left="120"/>
              <w:spacing w:after="0"/>
              <w:rPr>
                <w:sz w:val="20"/>
                <w:szCs w:val="20"/>
                <w:color w:val="auto"/>
              </w:rPr>
            </w:pPr>
            <w:r>
              <w:rPr>
                <w:rFonts w:ascii="Arial" w:cs="Arial" w:eastAsia="Arial" w:hAnsi="Arial"/>
                <w:sz w:val="18"/>
                <w:szCs w:val="18"/>
                <w:b w:val="1"/>
                <w:bCs w:val="1"/>
                <w:color w:val="auto"/>
              </w:rPr>
              <w:t>Year Ended December 31, 2017:</w:t>
            </w:r>
          </w:p>
        </w:tc>
        <w:tc>
          <w:tcPr>
            <w:tcW w:w="36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High</w:t>
            </w:r>
          </w:p>
        </w:tc>
        <w:tc>
          <w:tcPr>
            <w:tcW w:w="360" w:type="dxa"/>
            <w:vAlign w:val="bottom"/>
          </w:tcPr>
          <w:p>
            <w:pPr>
              <w:spacing w:after="0"/>
              <w:rPr>
                <w:sz w:val="18"/>
                <w:szCs w:val="18"/>
                <w:color w:val="auto"/>
              </w:rPr>
            </w:pPr>
          </w:p>
        </w:tc>
        <w:tc>
          <w:tcPr>
            <w:tcW w:w="1000" w:type="dxa"/>
            <w:vAlign w:val="bottom"/>
          </w:tcPr>
          <w:p>
            <w:pPr>
              <w:ind w:left="160"/>
              <w:spacing w:after="0"/>
              <w:rPr>
                <w:sz w:val="20"/>
                <w:szCs w:val="20"/>
                <w:color w:val="auto"/>
              </w:rPr>
            </w:pPr>
            <w:r>
              <w:rPr>
                <w:rFonts w:ascii="Arial" w:cs="Arial" w:eastAsia="Arial" w:hAnsi="Arial"/>
                <w:sz w:val="18"/>
                <w:szCs w:val="18"/>
                <w:b w:val="1"/>
                <w:bCs w:val="1"/>
                <w:color w:val="auto"/>
              </w:rPr>
              <w:t>Low</w:t>
            </w:r>
          </w:p>
        </w:tc>
      </w:tr>
      <w:tr>
        <w:trPr>
          <w:trHeight w:val="169"/>
        </w:trPr>
        <w:tc>
          <w:tcPr>
            <w:tcW w:w="6040" w:type="dxa"/>
            <w:vAlign w:val="bottom"/>
            <w:tcBorders>
              <w:top w:val="single" w:sz="8" w:color="CCEEFF"/>
            </w:tcBorders>
            <w:shd w:val="clear" w:color="auto" w:fill="CCEEFF"/>
          </w:tcPr>
          <w:p>
            <w:pPr>
              <w:ind w:left="440"/>
              <w:spacing w:after="0" w:line="170" w:lineRule="exact"/>
              <w:rPr>
                <w:sz w:val="20"/>
                <w:szCs w:val="20"/>
                <w:color w:val="auto"/>
              </w:rPr>
            </w:pPr>
            <w:r>
              <w:rPr>
                <w:rFonts w:ascii="Arial" w:cs="Arial" w:eastAsia="Arial" w:hAnsi="Arial"/>
                <w:sz w:val="18"/>
                <w:szCs w:val="18"/>
                <w:color w:val="auto"/>
              </w:rPr>
              <w:t>First Quarter</w:t>
            </w:r>
          </w:p>
        </w:tc>
        <w:tc>
          <w:tcPr>
            <w:tcW w:w="360" w:type="dxa"/>
            <w:vAlign w:val="bottom"/>
            <w:tcBorders>
              <w:top w:val="single" w:sz="8" w:color="auto"/>
            </w:tcBorders>
            <w:shd w:val="clear" w:color="auto" w:fill="CCEEFF"/>
          </w:tcPr>
          <w:p>
            <w:pPr>
              <w:jc w:val="right"/>
              <w:ind w:right="70"/>
              <w:spacing w:after="0" w:line="170"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350"/>
              <w:spacing w:after="0" w:line="170" w:lineRule="exact"/>
              <w:rPr>
                <w:sz w:val="20"/>
                <w:szCs w:val="20"/>
                <w:color w:val="auto"/>
              </w:rPr>
            </w:pPr>
            <w:r>
              <w:rPr>
                <w:rFonts w:ascii="Arial" w:cs="Arial" w:eastAsia="Arial" w:hAnsi="Arial"/>
                <w:sz w:val="18"/>
                <w:szCs w:val="18"/>
                <w:color w:val="auto"/>
              </w:rPr>
              <w:t>44.54</w:t>
            </w:r>
          </w:p>
        </w:tc>
        <w:tc>
          <w:tcPr>
            <w:tcW w:w="2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70"/>
              <w:spacing w:after="0" w:line="170"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ind w:left="160"/>
              <w:spacing w:after="0" w:line="170" w:lineRule="exact"/>
              <w:rPr>
                <w:sz w:val="20"/>
                <w:szCs w:val="20"/>
                <w:color w:val="auto"/>
              </w:rPr>
            </w:pPr>
            <w:r>
              <w:rPr>
                <w:rFonts w:ascii="Arial" w:cs="Arial" w:eastAsia="Arial" w:hAnsi="Arial"/>
                <w:sz w:val="18"/>
                <w:szCs w:val="18"/>
                <w:color w:val="auto"/>
              </w:rPr>
              <w:t>27.83</w:t>
            </w:r>
          </w:p>
        </w:tc>
      </w:tr>
      <w:tr>
        <w:trPr>
          <w:trHeight w:val="176"/>
        </w:trPr>
        <w:tc>
          <w:tcPr>
            <w:tcW w:w="6040" w:type="dxa"/>
            <w:vAlign w:val="bottom"/>
          </w:tcPr>
          <w:p>
            <w:pPr>
              <w:ind w:left="440"/>
              <w:spacing w:after="0" w:line="176" w:lineRule="exact"/>
              <w:rPr>
                <w:sz w:val="20"/>
                <w:szCs w:val="20"/>
                <w:color w:val="auto"/>
              </w:rPr>
            </w:pPr>
            <w:r>
              <w:rPr>
                <w:rFonts w:ascii="Arial" w:cs="Arial" w:eastAsia="Arial" w:hAnsi="Arial"/>
                <w:sz w:val="18"/>
                <w:szCs w:val="18"/>
                <w:color w:val="auto"/>
              </w:rPr>
              <w:t>Second Quarter</w:t>
            </w:r>
          </w:p>
        </w:tc>
        <w:tc>
          <w:tcPr>
            <w:tcW w:w="360" w:type="dxa"/>
            <w:vAlign w:val="bottom"/>
          </w:tcPr>
          <w:p>
            <w:pPr>
              <w:jc w:val="right"/>
              <w:ind w:right="70"/>
              <w:spacing w:after="0" w:line="176"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50"/>
              <w:spacing w:after="0" w:line="176" w:lineRule="exact"/>
              <w:rPr>
                <w:sz w:val="20"/>
                <w:szCs w:val="20"/>
                <w:color w:val="auto"/>
              </w:rPr>
            </w:pPr>
            <w:r>
              <w:rPr>
                <w:rFonts w:ascii="Arial" w:cs="Arial" w:eastAsia="Arial" w:hAnsi="Arial"/>
                <w:sz w:val="18"/>
                <w:szCs w:val="18"/>
                <w:color w:val="auto"/>
              </w:rPr>
              <w:t>52.67</w:t>
            </w:r>
          </w:p>
        </w:tc>
        <w:tc>
          <w:tcPr>
            <w:tcW w:w="280" w:type="dxa"/>
            <w:vAlign w:val="bottom"/>
          </w:tcPr>
          <w:p>
            <w:pPr>
              <w:spacing w:after="0"/>
              <w:rPr>
                <w:sz w:val="15"/>
                <w:szCs w:val="15"/>
                <w:color w:val="auto"/>
              </w:rPr>
            </w:pPr>
          </w:p>
        </w:tc>
        <w:tc>
          <w:tcPr>
            <w:tcW w:w="360" w:type="dxa"/>
            <w:vAlign w:val="bottom"/>
          </w:tcPr>
          <w:p>
            <w:pPr>
              <w:jc w:val="right"/>
              <w:ind w:right="70"/>
              <w:spacing w:after="0" w:line="176" w:lineRule="exact"/>
              <w:rPr>
                <w:sz w:val="20"/>
                <w:szCs w:val="20"/>
                <w:color w:val="auto"/>
              </w:rPr>
            </w:pPr>
            <w:r>
              <w:rPr>
                <w:rFonts w:ascii="Arial" w:cs="Arial" w:eastAsia="Arial" w:hAnsi="Arial"/>
                <w:sz w:val="18"/>
                <w:szCs w:val="18"/>
                <w:color w:val="auto"/>
              </w:rPr>
              <w:t>$</w:t>
            </w:r>
          </w:p>
        </w:tc>
        <w:tc>
          <w:tcPr>
            <w:tcW w:w="1000" w:type="dxa"/>
            <w:vAlign w:val="bottom"/>
          </w:tcPr>
          <w:p>
            <w:pPr>
              <w:ind w:left="160"/>
              <w:spacing w:after="0" w:line="176" w:lineRule="exact"/>
              <w:rPr>
                <w:sz w:val="20"/>
                <w:szCs w:val="20"/>
                <w:color w:val="auto"/>
              </w:rPr>
            </w:pPr>
            <w:r>
              <w:rPr>
                <w:rFonts w:ascii="Arial" w:cs="Arial" w:eastAsia="Arial" w:hAnsi="Arial"/>
                <w:sz w:val="18"/>
                <w:szCs w:val="18"/>
                <w:color w:val="auto"/>
              </w:rPr>
              <w:t>34.38</w:t>
            </w:r>
          </w:p>
        </w:tc>
      </w:tr>
      <w:tr>
        <w:trPr>
          <w:trHeight w:val="176"/>
        </w:trPr>
        <w:tc>
          <w:tcPr>
            <w:tcW w:w="604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Third Quarter</w:t>
            </w:r>
          </w:p>
        </w:tc>
        <w:tc>
          <w:tcPr>
            <w:tcW w:w="360" w:type="dxa"/>
            <w:vAlign w:val="bottom"/>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0"/>
              <w:spacing w:after="0" w:line="176" w:lineRule="exact"/>
              <w:rPr>
                <w:sz w:val="20"/>
                <w:szCs w:val="20"/>
                <w:color w:val="auto"/>
              </w:rPr>
            </w:pPr>
            <w:r>
              <w:rPr>
                <w:rFonts w:ascii="Arial" w:cs="Arial" w:eastAsia="Arial" w:hAnsi="Arial"/>
                <w:sz w:val="18"/>
                <w:szCs w:val="18"/>
                <w:color w:val="auto"/>
              </w:rPr>
              <w:t>71.67</w:t>
            </w: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41.41</w:t>
            </w:r>
          </w:p>
        </w:tc>
      </w:tr>
      <w:tr>
        <w:trPr>
          <w:trHeight w:val="230"/>
        </w:trPr>
        <w:tc>
          <w:tcPr>
            <w:tcW w:w="604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92.00</w:t>
            </w:r>
          </w:p>
        </w:tc>
        <w:tc>
          <w:tcPr>
            <w:tcW w:w="280" w:type="dxa"/>
            <w:vAlign w:val="bottom"/>
          </w:tcPr>
          <w:p>
            <w:pPr>
              <w:spacing w:after="0"/>
              <w:rPr>
                <w:sz w:val="20"/>
                <w:szCs w:val="20"/>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ind w:left="160"/>
              <w:spacing w:after="0"/>
              <w:rPr>
                <w:sz w:val="20"/>
                <w:szCs w:val="20"/>
                <w:color w:val="auto"/>
              </w:rPr>
            </w:pPr>
            <w:r>
              <w:rPr>
                <w:rFonts w:ascii="Arial" w:cs="Arial" w:eastAsia="Arial" w:hAnsi="Arial"/>
                <w:sz w:val="18"/>
                <w:szCs w:val="18"/>
                <w:color w:val="auto"/>
              </w:rPr>
              <w:t>61.58</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89" w:lineRule="exact"/>
        <w:rPr>
          <w:sz w:val="20"/>
          <w:szCs w:val="20"/>
          <w:color w:val="auto"/>
        </w:rPr>
      </w:pPr>
    </w:p>
    <w:p>
      <w:pPr>
        <w:ind w:right="260" w:firstLine="648"/>
        <w:spacing w:after="0" w:line="235" w:lineRule="auto"/>
        <w:rPr>
          <w:sz w:val="20"/>
          <w:szCs w:val="20"/>
          <w:color w:val="auto"/>
        </w:rPr>
      </w:pPr>
      <w:r>
        <w:rPr>
          <w:rFonts w:ascii="Arial" w:cs="Arial" w:eastAsia="Arial" w:hAnsi="Arial"/>
          <w:sz w:val="18"/>
          <w:szCs w:val="18"/>
          <w:color w:val="auto"/>
        </w:rPr>
        <w:t>As of February 15, 2018, there were approximately 21 holders of record of our common stock. This number does not include beneficial owners whose shares are held by nominees in street name.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9" w:lineRule="exact"/>
        <w:rPr>
          <w:sz w:val="20"/>
          <w:szCs w:val="20"/>
          <w:color w:val="auto"/>
        </w:rPr>
      </w:pPr>
    </w:p>
    <w:p>
      <w:pPr>
        <w:ind w:right="60" w:firstLine="648"/>
        <w:spacing w:after="0" w:line="237"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available funds and any future earnings, if any, to fund the development and expansion of our business, and we do not anticipate paying any cash dividends in the foreseeable future. In addition, pursuant to our loan and security agreement with Silicon Valley Bank, we are prohibited from paying cash dividends without the prior written consent of Silicon Valley Bank. Moreover, the terms of any future debt agreements may preclude us from paying dividends. Any future determination to pay dividends will be made at the discretion of our board of directors and will depend on various factors, including applicable laws, our results of operations, financial condition, future prospects and any other factors deemed relevant by our board of directors. Investors should not purchase our common stock with the expectation of receiving cash dividend.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89" w:lineRule="exact"/>
        <w:rPr>
          <w:sz w:val="20"/>
          <w:szCs w:val="20"/>
          <w:color w:val="auto"/>
        </w:rPr>
      </w:pPr>
    </w:p>
    <w:p>
      <w:pPr>
        <w:ind w:right="100" w:firstLine="648"/>
        <w:spacing w:after="0" w:line="216" w:lineRule="auto"/>
        <w:rPr>
          <w:sz w:val="20"/>
          <w:szCs w:val="20"/>
          <w:color w:val="auto"/>
        </w:rPr>
      </w:pPr>
      <w:r>
        <w:rPr>
          <w:rFonts w:ascii="Arial" w:cs="Arial" w:eastAsia="Arial" w:hAnsi="Arial"/>
          <w:sz w:val="18"/>
          <w:szCs w:val="18"/>
          <w:color w:val="auto"/>
        </w:rPr>
        <w:t>The following performance graph and related information shall not be deemed to be “soliciting material” or to be “filed” with the Securities and Exchange Commission, or SEC, for purposes of Section 18 of the Securities Exchange Act of 1934, as amended, or the Exchange Act, nor shall such information be incorporated by reference into any future filing under the Exchange Act or Securities Act of 1933, as amended, or the Securities Act, except to the extent that we specifically incorporate it by reference into such filing.</w:t>
      </w:r>
    </w:p>
    <w:p>
      <w:pPr>
        <w:spacing w:after="0" w:line="162" w:lineRule="exact"/>
        <w:rPr>
          <w:sz w:val="20"/>
          <w:szCs w:val="20"/>
          <w:color w:val="auto"/>
        </w:rPr>
      </w:pPr>
    </w:p>
    <w:p>
      <w:pPr>
        <w:ind w:right="120" w:firstLine="648"/>
        <w:spacing w:after="0" w:line="249" w:lineRule="auto"/>
        <w:rPr>
          <w:sz w:val="20"/>
          <w:szCs w:val="20"/>
          <w:color w:val="auto"/>
        </w:rPr>
      </w:pPr>
      <w:r>
        <w:rPr>
          <w:rFonts w:ascii="Arial" w:cs="Arial" w:eastAsia="Arial" w:hAnsi="Arial"/>
          <w:sz w:val="16"/>
          <w:szCs w:val="16"/>
          <w:color w:val="auto"/>
        </w:rPr>
        <w:t>The following performance graph compares the performance of our common stock to the Nasdaq Composite Index and to the Nasdaq Biotechnology Index from April 30, 2015 (the first date that shares of our common stock were publicly traded) through December 31, 2017. The comparison assumes $100 was invested in our common stock and in each of the foregoing indices after the market closed on April 30, 2015, and it assumes reinvestment of dividends, if any.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The stock price performance included in this graph is not necessarily indicative of, nor is it intended to forecast,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120650</wp:posOffset>
            </wp:positionV>
            <wp:extent cx="5488305" cy="30956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488305" cy="309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40"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You should read the following selected consolidated financial data together with our financial statements and the related notes appearing at the end of this Annual Report on Form 10-K and Item 7 “Management’s Discussion and Analysis of Financial Condition and Results of Operations” section of this Annual Report on Form 10-K. We have derived the consolidated statement of operations data for the years ended December 31, 2017, 2016 and 2015 and the consolidated balance sheet data as of December 31, 2017 and 2016 from our audited consolidated financial statements included elsewhere in this Annual Report on Form 10-K. We have derived the consolidated statement of operations data for the year ended December 31, 2014 and the consolidated balance sheet data as of December 31, 2015 and 2014 from our audited consolidated financial statements and related notes not included in this Annual Report on Form 10-K. The selected historical financial information in this section is not intended to replace our financial statements and the related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notes thereto. Our historical results for any prior period are not necessarily indicative of results to be expected in any future period.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4"/>
          </w:tcPr>
          <w:p>
            <w:pPr>
              <w:jc w:val="center"/>
              <w:ind w:left="174"/>
              <w:spacing w:after="0"/>
              <w:rPr>
                <w:sz w:val="20"/>
                <w:szCs w:val="20"/>
                <w:color w:val="auto"/>
              </w:rPr>
            </w:pPr>
            <w:r>
              <w:rPr>
                <w:rFonts w:ascii="Arial" w:cs="Arial" w:eastAsia="Arial" w:hAnsi="Arial"/>
                <w:sz w:val="14"/>
                <w:szCs w:val="14"/>
                <w:b w:val="1"/>
                <w:bCs w:val="1"/>
                <w:color w:val="auto"/>
                <w:w w:val="93"/>
              </w:rPr>
              <w:t>Year Ended</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2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jc w:val="center"/>
              <w:ind w:right="291"/>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20" w:type="dxa"/>
            <w:vAlign w:val="bottom"/>
            <w:gridSpan w:val="10"/>
          </w:tcPr>
          <w:p>
            <w:pPr>
              <w:jc w:val="center"/>
              <w:ind w:left="313"/>
              <w:spacing w:after="0" w:line="155" w:lineRule="exact"/>
              <w:rPr>
                <w:sz w:val="20"/>
                <w:szCs w:val="20"/>
                <w:color w:val="auto"/>
              </w:rPr>
            </w:pPr>
            <w:r>
              <w:rPr>
                <w:rFonts w:ascii="Arial" w:cs="Arial" w:eastAsia="Arial" w:hAnsi="Arial"/>
                <w:sz w:val="14"/>
                <w:szCs w:val="14"/>
                <w:b w:val="1"/>
                <w:bCs w:val="1"/>
                <w:color w:val="auto"/>
                <w:w w:val="91"/>
              </w:rPr>
              <w:t>(in thousands, except per share data)</w:t>
            </w: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9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Statements of Operations Data:</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40" w:type="dxa"/>
            <w:vAlign w:val="bottom"/>
            <w:gridSpan w:val="2"/>
          </w:tcPr>
          <w:p>
            <w:pPr>
              <w:spacing w:after="0" w:line="189" w:lineRule="exact"/>
              <w:rPr>
                <w:sz w:val="20"/>
                <w:szCs w:val="20"/>
                <w:color w:val="auto"/>
              </w:rPr>
            </w:pPr>
            <w:r>
              <w:rPr>
                <w:rFonts w:ascii="Arial" w:cs="Arial" w:eastAsia="Arial" w:hAnsi="Arial"/>
                <w:sz w:val="18"/>
                <w:szCs w:val="18"/>
                <w:color w:val="auto"/>
              </w:rPr>
              <w:t>Collaboration revenue</w:t>
            </w:r>
          </w:p>
        </w:tc>
        <w:tc>
          <w:tcPr>
            <w:tcW w:w="2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21,426</w:t>
            </w:r>
          </w:p>
        </w:tc>
        <w:tc>
          <w:tcPr>
            <w:tcW w:w="3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27,772</w:t>
            </w:r>
          </w:p>
        </w:tc>
        <w:tc>
          <w:tcPr>
            <w:tcW w:w="100" w:type="dxa"/>
            <w:vAlign w:val="bottom"/>
          </w:tcPr>
          <w:p>
            <w:pPr>
              <w:spacing w:after="0"/>
              <w:rPr>
                <w:sz w:val="16"/>
                <w:szCs w:val="16"/>
                <w:color w:val="auto"/>
              </w:rPr>
            </w:pPr>
          </w:p>
        </w:tc>
        <w:tc>
          <w:tcPr>
            <w:tcW w:w="2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11,400</w:t>
            </w:r>
          </w:p>
        </w:tc>
        <w:tc>
          <w:tcPr>
            <w:tcW w:w="280" w:type="dxa"/>
            <w:vAlign w:val="bottom"/>
            <w:gridSpan w:val="2"/>
          </w:tcPr>
          <w:p>
            <w:pPr>
              <w:jc w:val="right"/>
              <w:ind w:right="65"/>
              <w:spacing w:after="0" w:line="189"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9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4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144,687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81,131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48,588</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31,844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27,986</w:t>
            </w:r>
          </w:p>
        </w:tc>
        <w:tc>
          <w:tcPr>
            <w:tcW w:w="2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19,218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14,456</w:t>
            </w:r>
          </w:p>
        </w:tc>
        <w:tc>
          <w:tcPr>
            <w:tcW w:w="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7,890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line="182" w:lineRule="exact"/>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172,673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w w:val="92"/>
              </w:rPr>
              <w:t>100,349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63,044</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39,734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4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3,349</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551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(429)</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(98)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(221)</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(469)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(696)</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183"/>
        </w:trPr>
        <w:tc>
          <w:tcPr>
            <w:tcW w:w="4940" w:type="dxa"/>
            <w:vAlign w:val="bottom"/>
            <w:tcBorders>
              <w:bottom w:val="single" w:sz="8" w:color="CCEEFF"/>
            </w:tcBorders>
            <w:gridSpan w:val="2"/>
          </w:tcPr>
          <w:p>
            <w:pPr>
              <w:spacing w:after="0" w:line="182" w:lineRule="exact"/>
              <w:rPr>
                <w:sz w:val="20"/>
                <w:szCs w:val="20"/>
                <w:color w:val="auto"/>
              </w:rPr>
            </w:pPr>
            <w:r>
              <w:rPr>
                <w:rFonts w:ascii="Arial" w:cs="Arial" w:eastAsia="Arial" w:hAnsi="Arial"/>
                <w:sz w:val="18"/>
                <w:szCs w:val="18"/>
                <w:color w:val="auto"/>
              </w:rPr>
              <w:t>Total other income (expense)</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3,128</w:t>
            </w:r>
          </w:p>
        </w:tc>
        <w:tc>
          <w:tcPr>
            <w:tcW w:w="2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(1,125)</w:t>
            </w:r>
          </w:p>
        </w:tc>
        <w:tc>
          <w:tcPr>
            <w:tcW w:w="6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(551)</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4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3"/>
              </w:rPr>
              <w:t>(148,119)</w:t>
            </w: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8"/>
              </w:rPr>
              <w:t>(72,495)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2"/>
              </w:rPr>
              <w:t>(52,769)</w:t>
            </w:r>
          </w:p>
        </w:tc>
        <w:tc>
          <w:tcPr>
            <w:tcW w:w="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(40,285)</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40" w:type="dxa"/>
            <w:vAlign w:val="bottom"/>
            <w:tcBorders>
              <w:bottom w:val="single" w:sz="8" w:color="CCEEFF"/>
            </w:tcBorders>
            <w:gridSpan w:val="2"/>
          </w:tcPr>
          <w:p>
            <w:pPr>
              <w:spacing w:after="0" w:line="182" w:lineRule="exact"/>
              <w:rPr>
                <w:sz w:val="20"/>
                <w:szCs w:val="20"/>
                <w:color w:val="auto"/>
              </w:rPr>
            </w:pPr>
            <w:r>
              <w:rPr>
                <w:rFonts w:ascii="Arial" w:cs="Arial" w:eastAsia="Arial" w:hAnsi="Arial"/>
                <w:sz w:val="18"/>
                <w:szCs w:val="18"/>
                <w:color w:val="auto"/>
              </w:rPr>
              <w:t>Convertible preferred stock dividends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(3,153)</w:t>
            </w: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(5,765)</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40" w:type="dxa"/>
            <w:vAlign w:val="bottom"/>
            <w:tcBorders>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Net loss applicable to common stockholders</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3"/>
              </w:rPr>
              <w:t>(148,119)</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8"/>
              </w:rPr>
              <w:t>(72,495)</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2"/>
              </w:rPr>
              <w:t>(55,922)</w:t>
            </w: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(46,050)</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940" w:type="dxa"/>
            <w:vAlign w:val="bottom"/>
            <w:gridSpan w:val="2"/>
          </w:tcPr>
          <w:p>
            <w:pPr>
              <w:spacing w:after="0" w:line="135" w:lineRule="exact"/>
              <w:rPr>
                <w:sz w:val="20"/>
                <w:szCs w:val="20"/>
                <w:color w:val="auto"/>
              </w:rPr>
            </w:pPr>
            <w:r>
              <w:rPr>
                <w:rFonts w:ascii="Arial" w:cs="Arial" w:eastAsia="Arial" w:hAnsi="Arial"/>
                <w:sz w:val="15"/>
                <w:szCs w:val="15"/>
                <w:color w:val="auto"/>
              </w:rPr>
              <w:t>Net loss per share applicable to common stockholders — basic and</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(3.92)</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64)</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07)</w:t>
            </w:r>
          </w:p>
        </w:tc>
        <w:tc>
          <w:tcPr>
            <w:tcW w:w="280" w:type="dxa"/>
            <w:vAlign w:val="bottom"/>
            <w:gridSpan w:val="2"/>
            <w:vMerge w:val="restart"/>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(32.41)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94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diluted(1)</w:t>
            </w:r>
          </w:p>
        </w:tc>
        <w:tc>
          <w:tcPr>
            <w:tcW w:w="26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940" w:type="dxa"/>
            <w:vAlign w:val="bottom"/>
            <w:tcBorders>
              <w:top w:val="single" w:sz="8" w:color="CCEEFF"/>
            </w:tcBorders>
            <w:gridSpan w:val="2"/>
            <w:shd w:val="clear" w:color="auto" w:fill="CCEEFF"/>
          </w:tcPr>
          <w:p>
            <w:pPr>
              <w:spacing w:after="0" w:line="148" w:lineRule="exact"/>
              <w:rPr>
                <w:sz w:val="20"/>
                <w:szCs w:val="20"/>
                <w:color w:val="auto"/>
              </w:rPr>
            </w:pPr>
            <w:r>
              <w:rPr>
                <w:rFonts w:ascii="Arial" w:cs="Arial" w:eastAsia="Arial" w:hAnsi="Arial"/>
                <w:sz w:val="17"/>
                <w:szCs w:val="17"/>
                <w:color w:val="auto"/>
              </w:rPr>
              <w:t>Weighted-average number of common shares used in net loss</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94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per share applicable to common stockholders — basic and</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37,793</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27,492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18,236</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940" w:type="dxa"/>
            <w:vAlign w:val="bottom"/>
            <w:tcBorders>
              <w:bottom w:val="single" w:sz="8" w:color="CCEEFF"/>
            </w:tcBorders>
            <w:gridSpan w:val="2"/>
            <w:shd w:val="clear" w:color="auto" w:fill="CCEEFF"/>
          </w:tcPr>
          <w:p>
            <w:pPr>
              <w:ind w:left="140"/>
              <w:spacing w:after="0" w:line="203" w:lineRule="exact"/>
              <w:rPr>
                <w:sz w:val="20"/>
                <w:szCs w:val="20"/>
                <w:color w:val="auto"/>
              </w:rPr>
            </w:pPr>
            <w:r>
              <w:rPr>
                <w:rFonts w:ascii="Arial" w:cs="Arial" w:eastAsia="Arial" w:hAnsi="Arial"/>
                <w:sz w:val="18"/>
                <w:szCs w:val="18"/>
                <w:color w:val="auto"/>
              </w:rPr>
              <w:t>diluted(1)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280" w:hanging="333"/>
        <w:spacing w:after="0" w:line="269" w:lineRule="auto"/>
        <w:tabs>
          <w:tab w:leader="none" w:pos="660" w:val="left"/>
        </w:tabs>
        <w:numPr>
          <w:ilvl w:val="0"/>
          <w:numId w:val="49"/>
        </w:numPr>
        <w:rPr>
          <w:rFonts w:ascii="Arial" w:cs="Arial" w:eastAsia="Arial" w:hAnsi="Arial"/>
          <w:sz w:val="13"/>
          <w:szCs w:val="13"/>
          <w:color w:val="auto"/>
        </w:rPr>
      </w:pPr>
      <w:r>
        <w:rPr>
          <w:rFonts w:ascii="Arial" w:cs="Arial" w:eastAsia="Arial" w:hAnsi="Arial"/>
          <w:sz w:val="13"/>
          <w:szCs w:val="13"/>
          <w:color w:val="auto"/>
        </w:rPr>
        <w:t>See Note 12, “Net Loss per Share” in the accompanying notes to our audited consolidated financial statements appearing elsewhere in this Annual Report on Form 10-K for further details on the calculation of basic and diluted net loss per share applicable to common stockholders.</w:t>
      </w:r>
    </w:p>
    <w:p>
      <w:pPr>
        <w:spacing w:after="0" w:line="110" w:lineRule="exact"/>
        <w:rPr>
          <w:sz w:val="20"/>
          <w:szCs w:val="20"/>
          <w:color w:val="auto"/>
        </w:rPr>
      </w:pPr>
    </w:p>
    <w:p>
      <w:pPr>
        <w:jc w:val="center"/>
        <w:ind w:left="5360"/>
        <w:spacing w:after="0"/>
        <w:rPr>
          <w:sz w:val="20"/>
          <w:szCs w:val="20"/>
          <w:color w:val="auto"/>
        </w:rPr>
      </w:pPr>
      <w:r>
        <w:rPr>
          <w:rFonts w:ascii="Arial" w:cs="Arial" w:eastAsia="Arial" w:hAnsi="Arial"/>
          <w:sz w:val="14"/>
          <w:szCs w:val="14"/>
          <w:b w:val="1"/>
          <w:bCs w:val="1"/>
          <w:color w:val="auto"/>
        </w:rPr>
        <w:t>As of</w:t>
      </w:r>
    </w:p>
    <w:p>
      <w:pPr>
        <w:jc w:val="center"/>
        <w:ind w:left="5360"/>
        <w:spacing w:after="0" w:line="221"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36"/>
        </w:trPr>
        <w:tc>
          <w:tcPr>
            <w:tcW w:w="39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ind w:right="216"/>
              <w:spacing w:after="0" w:line="136" w:lineRule="exact"/>
              <w:rPr>
                <w:sz w:val="20"/>
                <w:szCs w:val="20"/>
                <w:color w:val="auto"/>
              </w:rPr>
            </w:pPr>
            <w:r>
              <w:rPr>
                <w:rFonts w:ascii="Arial" w:cs="Arial" w:eastAsia="Arial" w:hAnsi="Arial"/>
                <w:sz w:val="14"/>
                <w:szCs w:val="14"/>
                <w:b w:val="1"/>
                <w:bCs w:val="1"/>
                <w:color w:val="auto"/>
              </w:rPr>
              <w:t>2017</w:t>
            </w:r>
          </w:p>
        </w:tc>
        <w:tc>
          <w:tcPr>
            <w:tcW w:w="920" w:type="dxa"/>
            <w:vAlign w:val="bottom"/>
            <w:tcBorders>
              <w:top w:val="single" w:sz="8" w:color="auto"/>
              <w:bottom w:val="single" w:sz="8" w:color="auto"/>
            </w:tcBorders>
          </w:tcPr>
          <w:p>
            <w:pPr>
              <w:jc w:val="right"/>
              <w:ind w:right="213"/>
              <w:spacing w:after="0" w:line="136" w:lineRule="exact"/>
              <w:rPr>
                <w:sz w:val="20"/>
                <w:szCs w:val="20"/>
                <w:color w:val="auto"/>
              </w:rPr>
            </w:pPr>
            <w:r>
              <w:rPr>
                <w:rFonts w:ascii="Arial" w:cs="Arial" w:eastAsia="Arial" w:hAnsi="Arial"/>
                <w:sz w:val="14"/>
                <w:szCs w:val="14"/>
                <w:b w:val="1"/>
                <w:bCs w:val="1"/>
                <w:color w:val="auto"/>
              </w:rPr>
              <w:t>2016</w:t>
            </w:r>
          </w:p>
        </w:tc>
        <w:tc>
          <w:tcPr>
            <w:tcW w:w="920" w:type="dxa"/>
            <w:vAlign w:val="bottom"/>
            <w:tcBorders>
              <w:top w:val="single" w:sz="8" w:color="auto"/>
              <w:bottom w:val="single" w:sz="8" w:color="auto"/>
            </w:tcBorders>
          </w:tcPr>
          <w:p>
            <w:pPr>
              <w:jc w:val="right"/>
              <w:ind w:right="112"/>
              <w:spacing w:after="0" w:line="136" w:lineRule="exact"/>
              <w:rPr>
                <w:sz w:val="20"/>
                <w:szCs w:val="20"/>
                <w:color w:val="auto"/>
              </w:rPr>
            </w:pPr>
            <w:r>
              <w:rPr>
                <w:rFonts w:ascii="Arial" w:cs="Arial" w:eastAsia="Arial" w:hAnsi="Arial"/>
                <w:sz w:val="14"/>
                <w:szCs w:val="14"/>
                <w:b w:val="1"/>
                <w:bCs w:val="1"/>
                <w:color w:val="auto"/>
              </w:rPr>
              <w:t>2015 (1)</w:t>
            </w:r>
          </w:p>
        </w:tc>
        <w:tc>
          <w:tcPr>
            <w:tcW w:w="860" w:type="dxa"/>
            <w:vAlign w:val="bottom"/>
            <w:tcBorders>
              <w:top w:val="single" w:sz="8" w:color="auto"/>
              <w:bottom w:val="single" w:sz="8" w:color="auto"/>
            </w:tcBorders>
          </w:tcPr>
          <w:p>
            <w:pPr>
              <w:jc w:val="right"/>
              <w:ind w:right="152"/>
              <w:spacing w:after="0" w:line="136"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1"/>
                <w:szCs w:val="11"/>
                <w:color w:val="auto"/>
              </w:rPr>
            </w:pPr>
          </w:p>
        </w:tc>
      </w:tr>
      <w:tr>
        <w:trPr>
          <w:trHeight w:val="129"/>
        </w:trPr>
        <w:tc>
          <w:tcPr>
            <w:tcW w:w="39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2"/>
          </w:tcPr>
          <w:p>
            <w:pPr>
              <w:jc w:val="right"/>
              <w:ind w:right="372"/>
              <w:spacing w:after="0" w:line="129" w:lineRule="exact"/>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76"/>
        </w:trPr>
        <w:tc>
          <w:tcPr>
            <w:tcW w:w="398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Balance Sheet Data:</w:t>
            </w:r>
          </w:p>
        </w:tc>
        <w:tc>
          <w:tcPr>
            <w:tcW w:w="1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6"/>
        </w:trPr>
        <w:tc>
          <w:tcPr>
            <w:tcW w:w="3980" w:type="dxa"/>
            <w:vAlign w:val="bottom"/>
          </w:tcPr>
          <w:p>
            <w:pPr>
              <w:spacing w:after="0" w:line="176" w:lineRule="exact"/>
              <w:rPr>
                <w:sz w:val="20"/>
                <w:szCs w:val="20"/>
                <w:color w:val="auto"/>
              </w:rPr>
            </w:pPr>
            <w:r>
              <w:rPr>
                <w:rFonts w:ascii="Arial" w:cs="Arial" w:eastAsia="Arial" w:hAnsi="Arial"/>
                <w:sz w:val="18"/>
                <w:szCs w:val="18"/>
                <w:color w:val="auto"/>
              </w:rPr>
              <w:t>Cash and cash equivalents</w:t>
            </w:r>
          </w:p>
        </w:tc>
        <w:tc>
          <w:tcPr>
            <w:tcW w:w="2300" w:type="dxa"/>
            <w:vAlign w:val="bottom"/>
            <w:gridSpan w:val="2"/>
          </w:tcPr>
          <w:p>
            <w:pPr>
              <w:jc w:val="right"/>
              <w:ind w:right="16"/>
              <w:spacing w:after="0" w:line="176" w:lineRule="exact"/>
              <w:rPr>
                <w:sz w:val="20"/>
                <w:szCs w:val="20"/>
                <w:color w:val="auto"/>
              </w:rPr>
            </w:pPr>
            <w:r>
              <w:rPr>
                <w:rFonts w:ascii="Arial" w:cs="Arial" w:eastAsia="Arial" w:hAnsi="Arial"/>
                <w:sz w:val="18"/>
                <w:szCs w:val="18"/>
                <w:color w:val="auto"/>
              </w:rPr>
              <w:t>$ 400,304</w:t>
            </w:r>
          </w:p>
        </w:tc>
        <w:tc>
          <w:tcPr>
            <w:tcW w:w="920" w:type="dxa"/>
            <w:vAlign w:val="bottom"/>
          </w:tcPr>
          <w:p>
            <w:pPr>
              <w:jc w:val="right"/>
              <w:ind w:right="13"/>
              <w:spacing w:after="0" w:line="176" w:lineRule="exact"/>
              <w:rPr>
                <w:sz w:val="20"/>
                <w:szCs w:val="20"/>
                <w:color w:val="auto"/>
              </w:rPr>
            </w:pPr>
            <w:r>
              <w:rPr>
                <w:rFonts w:ascii="Arial" w:cs="Arial" w:eastAsia="Arial" w:hAnsi="Arial"/>
                <w:sz w:val="18"/>
                <w:szCs w:val="18"/>
                <w:color w:val="auto"/>
              </w:rPr>
              <w:t>$  52,069</w:t>
            </w:r>
          </w:p>
        </w:tc>
        <w:tc>
          <w:tcPr>
            <w:tcW w:w="920" w:type="dxa"/>
            <w:vAlign w:val="bottom"/>
          </w:tcPr>
          <w:p>
            <w:pPr>
              <w:jc w:val="right"/>
              <w:ind w:right="12"/>
              <w:spacing w:after="0" w:line="176" w:lineRule="exact"/>
              <w:rPr>
                <w:sz w:val="20"/>
                <w:szCs w:val="20"/>
                <w:color w:val="auto"/>
              </w:rPr>
            </w:pPr>
            <w:r>
              <w:rPr>
                <w:rFonts w:ascii="Arial" w:cs="Arial" w:eastAsia="Arial" w:hAnsi="Arial"/>
                <w:sz w:val="18"/>
                <w:szCs w:val="18"/>
                <w:color w:val="auto"/>
                <w:w w:val="99"/>
              </w:rPr>
              <w:t>$ 162,707</w:t>
            </w: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  47,240</w:t>
            </w:r>
          </w:p>
        </w:tc>
        <w:tc>
          <w:tcPr>
            <w:tcW w:w="80" w:type="dxa"/>
            <w:vAlign w:val="bottom"/>
          </w:tcPr>
          <w:p>
            <w:pPr>
              <w:spacing w:after="0"/>
              <w:rPr>
                <w:sz w:val="15"/>
                <w:szCs w:val="15"/>
                <w:color w:val="auto"/>
              </w:rPr>
            </w:pPr>
          </w:p>
        </w:tc>
      </w:tr>
      <w:tr>
        <w:trPr>
          <w:trHeight w:val="176"/>
        </w:trPr>
        <w:tc>
          <w:tcPr>
            <w:tcW w:w="3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Investments</w:t>
            </w:r>
          </w:p>
        </w:tc>
        <w:tc>
          <w:tcPr>
            <w:tcW w:w="2300" w:type="dxa"/>
            <w:vAlign w:val="bottom"/>
            <w:gridSpan w:val="2"/>
            <w:shd w:val="clear" w:color="auto" w:fill="CCEEFF"/>
          </w:tcPr>
          <w:p>
            <w:pPr>
              <w:jc w:val="right"/>
              <w:ind w:right="16"/>
              <w:spacing w:after="0" w:line="176" w:lineRule="exact"/>
              <w:rPr>
                <w:sz w:val="20"/>
                <w:szCs w:val="20"/>
                <w:color w:val="auto"/>
              </w:rPr>
            </w:pPr>
            <w:r>
              <w:rPr>
                <w:rFonts w:ascii="Arial" w:cs="Arial" w:eastAsia="Arial" w:hAnsi="Arial"/>
                <w:sz w:val="18"/>
                <w:szCs w:val="18"/>
                <w:color w:val="auto"/>
              </w:rPr>
              <w:t>273,052</w:t>
            </w:r>
          </w:p>
        </w:tc>
        <w:tc>
          <w:tcPr>
            <w:tcW w:w="920" w:type="dxa"/>
            <w:vAlign w:val="bottom"/>
            <w:shd w:val="clear" w:color="auto" w:fill="CCEEFF"/>
          </w:tcPr>
          <w:p>
            <w:pPr>
              <w:jc w:val="right"/>
              <w:ind w:right="13"/>
              <w:spacing w:after="0" w:line="176" w:lineRule="exact"/>
              <w:rPr>
                <w:sz w:val="20"/>
                <w:szCs w:val="20"/>
                <w:color w:val="auto"/>
              </w:rPr>
            </w:pPr>
            <w:r>
              <w:rPr>
                <w:rFonts w:ascii="Arial" w:cs="Arial" w:eastAsia="Arial" w:hAnsi="Arial"/>
                <w:sz w:val="18"/>
                <w:szCs w:val="18"/>
                <w:color w:val="auto"/>
              </w:rPr>
              <w:t>216,149</w:t>
            </w:r>
          </w:p>
        </w:tc>
        <w:tc>
          <w:tcPr>
            <w:tcW w:w="92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w:t>
            </w:r>
          </w:p>
        </w:tc>
      </w:tr>
      <w:tr>
        <w:trPr>
          <w:trHeight w:val="176"/>
        </w:trPr>
        <w:tc>
          <w:tcPr>
            <w:tcW w:w="3980" w:type="dxa"/>
            <w:vAlign w:val="bottom"/>
          </w:tcPr>
          <w:p>
            <w:pPr>
              <w:spacing w:after="0" w:line="176" w:lineRule="exact"/>
              <w:rPr>
                <w:sz w:val="20"/>
                <w:szCs w:val="20"/>
                <w:color w:val="auto"/>
              </w:rPr>
            </w:pPr>
            <w:r>
              <w:rPr>
                <w:rFonts w:ascii="Arial" w:cs="Arial" w:eastAsia="Arial" w:hAnsi="Arial"/>
                <w:sz w:val="18"/>
                <w:szCs w:val="18"/>
                <w:color w:val="auto"/>
              </w:rPr>
              <w:t>Working capital(2)</w:t>
            </w:r>
          </w:p>
        </w:tc>
        <w:tc>
          <w:tcPr>
            <w:tcW w:w="2300" w:type="dxa"/>
            <w:vAlign w:val="bottom"/>
            <w:gridSpan w:val="2"/>
          </w:tcPr>
          <w:p>
            <w:pPr>
              <w:jc w:val="right"/>
              <w:ind w:right="16"/>
              <w:spacing w:after="0" w:line="176" w:lineRule="exact"/>
              <w:rPr>
                <w:sz w:val="20"/>
                <w:szCs w:val="20"/>
                <w:color w:val="auto"/>
              </w:rPr>
            </w:pPr>
            <w:r>
              <w:rPr>
                <w:rFonts w:ascii="Arial" w:cs="Arial" w:eastAsia="Arial" w:hAnsi="Arial"/>
                <w:sz w:val="18"/>
                <w:szCs w:val="18"/>
                <w:color w:val="auto"/>
              </w:rPr>
              <w:t>642,615</w:t>
            </w:r>
          </w:p>
        </w:tc>
        <w:tc>
          <w:tcPr>
            <w:tcW w:w="920" w:type="dxa"/>
            <w:vAlign w:val="bottom"/>
          </w:tcPr>
          <w:p>
            <w:pPr>
              <w:jc w:val="right"/>
              <w:ind w:right="13"/>
              <w:spacing w:after="0" w:line="176" w:lineRule="exact"/>
              <w:rPr>
                <w:sz w:val="20"/>
                <w:szCs w:val="20"/>
                <w:color w:val="auto"/>
              </w:rPr>
            </w:pPr>
            <w:r>
              <w:rPr>
                <w:rFonts w:ascii="Arial" w:cs="Arial" w:eastAsia="Arial" w:hAnsi="Arial"/>
                <w:sz w:val="18"/>
                <w:szCs w:val="18"/>
                <w:color w:val="auto"/>
              </w:rPr>
              <w:t>191,913</w:t>
            </w:r>
          </w:p>
        </w:tc>
        <w:tc>
          <w:tcPr>
            <w:tcW w:w="920" w:type="dxa"/>
            <w:vAlign w:val="bottom"/>
          </w:tcPr>
          <w:p>
            <w:pPr>
              <w:jc w:val="right"/>
              <w:ind w:right="12"/>
              <w:spacing w:after="0" w:line="176" w:lineRule="exact"/>
              <w:rPr>
                <w:sz w:val="20"/>
                <w:szCs w:val="20"/>
                <w:color w:val="auto"/>
              </w:rPr>
            </w:pPr>
            <w:r>
              <w:rPr>
                <w:rFonts w:ascii="Arial" w:cs="Arial" w:eastAsia="Arial" w:hAnsi="Arial"/>
                <w:sz w:val="18"/>
                <w:szCs w:val="18"/>
                <w:color w:val="auto"/>
              </w:rPr>
              <w:t>151,776</w:t>
            </w: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41,510</w:t>
            </w:r>
          </w:p>
        </w:tc>
        <w:tc>
          <w:tcPr>
            <w:tcW w:w="80" w:type="dxa"/>
            <w:vAlign w:val="bottom"/>
          </w:tcPr>
          <w:p>
            <w:pPr>
              <w:spacing w:after="0"/>
              <w:rPr>
                <w:sz w:val="15"/>
                <w:szCs w:val="15"/>
                <w:color w:val="auto"/>
              </w:rPr>
            </w:pPr>
          </w:p>
        </w:tc>
      </w:tr>
      <w:tr>
        <w:trPr>
          <w:trHeight w:val="176"/>
        </w:trPr>
        <w:tc>
          <w:tcPr>
            <w:tcW w:w="3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Total assets</w:t>
            </w:r>
          </w:p>
        </w:tc>
        <w:tc>
          <w:tcPr>
            <w:tcW w:w="2300" w:type="dxa"/>
            <w:vAlign w:val="bottom"/>
            <w:gridSpan w:val="2"/>
            <w:shd w:val="clear" w:color="auto" w:fill="CCEEFF"/>
          </w:tcPr>
          <w:p>
            <w:pPr>
              <w:jc w:val="right"/>
              <w:ind w:right="16"/>
              <w:spacing w:after="0" w:line="176" w:lineRule="exact"/>
              <w:rPr>
                <w:sz w:val="20"/>
                <w:szCs w:val="20"/>
                <w:color w:val="auto"/>
              </w:rPr>
            </w:pPr>
            <w:r>
              <w:rPr>
                <w:rFonts w:ascii="Arial" w:cs="Arial" w:eastAsia="Arial" w:hAnsi="Arial"/>
                <w:sz w:val="18"/>
                <w:szCs w:val="18"/>
                <w:color w:val="auto"/>
              </w:rPr>
              <w:t>715,737</w:t>
            </w:r>
          </w:p>
        </w:tc>
        <w:tc>
          <w:tcPr>
            <w:tcW w:w="920" w:type="dxa"/>
            <w:vAlign w:val="bottom"/>
            <w:shd w:val="clear" w:color="auto" w:fill="CCEEFF"/>
          </w:tcPr>
          <w:p>
            <w:pPr>
              <w:jc w:val="right"/>
              <w:ind w:right="13"/>
              <w:spacing w:after="0" w:line="176" w:lineRule="exact"/>
              <w:rPr>
                <w:sz w:val="20"/>
                <w:szCs w:val="20"/>
                <w:color w:val="auto"/>
              </w:rPr>
            </w:pPr>
            <w:r>
              <w:rPr>
                <w:rFonts w:ascii="Arial" w:cs="Arial" w:eastAsia="Arial" w:hAnsi="Arial"/>
                <w:sz w:val="18"/>
                <w:szCs w:val="18"/>
                <w:color w:val="auto"/>
              </w:rPr>
              <w:t>282,795</w:t>
            </w:r>
          </w:p>
        </w:tc>
        <w:tc>
          <w:tcPr>
            <w:tcW w:w="92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178,898</w:t>
            </w: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49,925</w:t>
            </w:r>
          </w:p>
        </w:tc>
        <w:tc>
          <w:tcPr>
            <w:tcW w:w="80" w:type="dxa"/>
            <w:vAlign w:val="bottom"/>
            <w:shd w:val="clear" w:color="auto" w:fill="CCEEFF"/>
          </w:tcPr>
          <w:p>
            <w:pPr>
              <w:spacing w:after="0"/>
              <w:rPr>
                <w:sz w:val="15"/>
                <w:szCs w:val="15"/>
                <w:color w:val="auto"/>
              </w:rPr>
            </w:pPr>
          </w:p>
        </w:tc>
      </w:tr>
      <w:tr>
        <w:trPr>
          <w:trHeight w:val="176"/>
        </w:trPr>
        <w:tc>
          <w:tcPr>
            <w:tcW w:w="3980" w:type="dxa"/>
            <w:vAlign w:val="bottom"/>
          </w:tcPr>
          <w:p>
            <w:pPr>
              <w:spacing w:after="0" w:line="176" w:lineRule="exact"/>
              <w:rPr>
                <w:sz w:val="20"/>
                <w:szCs w:val="20"/>
                <w:color w:val="auto"/>
              </w:rPr>
            </w:pPr>
            <w:r>
              <w:rPr>
                <w:rFonts w:ascii="Arial" w:cs="Arial" w:eastAsia="Arial" w:hAnsi="Arial"/>
                <w:sz w:val="18"/>
                <w:szCs w:val="18"/>
                <w:color w:val="auto"/>
              </w:rPr>
              <w:t>Deferred revenue</w:t>
            </w:r>
          </w:p>
        </w:tc>
        <w:tc>
          <w:tcPr>
            <w:tcW w:w="2300" w:type="dxa"/>
            <w:vAlign w:val="bottom"/>
            <w:gridSpan w:val="2"/>
          </w:tcPr>
          <w:p>
            <w:pPr>
              <w:jc w:val="right"/>
              <w:ind w:right="16"/>
              <w:spacing w:after="0" w:line="176" w:lineRule="exact"/>
              <w:rPr>
                <w:sz w:val="20"/>
                <w:szCs w:val="20"/>
                <w:color w:val="auto"/>
              </w:rPr>
            </w:pPr>
            <w:r>
              <w:rPr>
                <w:rFonts w:ascii="Arial" w:cs="Arial" w:eastAsia="Arial" w:hAnsi="Arial"/>
                <w:sz w:val="18"/>
                <w:szCs w:val="18"/>
                <w:color w:val="auto"/>
              </w:rPr>
              <w:t>35,373</w:t>
            </w:r>
          </w:p>
        </w:tc>
        <w:tc>
          <w:tcPr>
            <w:tcW w:w="920" w:type="dxa"/>
            <w:vAlign w:val="bottom"/>
          </w:tcPr>
          <w:p>
            <w:pPr>
              <w:jc w:val="right"/>
              <w:ind w:right="13"/>
              <w:spacing w:after="0" w:line="176" w:lineRule="exact"/>
              <w:rPr>
                <w:sz w:val="20"/>
                <w:szCs w:val="20"/>
                <w:color w:val="auto"/>
              </w:rPr>
            </w:pPr>
            <w:r>
              <w:rPr>
                <w:rFonts w:ascii="Arial" w:cs="Arial" w:eastAsia="Arial" w:hAnsi="Arial"/>
                <w:sz w:val="18"/>
                <w:szCs w:val="18"/>
                <w:color w:val="auto"/>
              </w:rPr>
              <w:t>47,235</w:t>
            </w:r>
          </w:p>
        </w:tc>
        <w:tc>
          <w:tcPr>
            <w:tcW w:w="920" w:type="dxa"/>
            <w:vAlign w:val="bottom"/>
          </w:tcPr>
          <w:p>
            <w:pPr>
              <w:jc w:val="right"/>
              <w:ind w:right="12"/>
              <w:spacing w:after="0" w:line="176" w:lineRule="exact"/>
              <w:rPr>
                <w:sz w:val="20"/>
                <w:szCs w:val="20"/>
                <w:color w:val="auto"/>
              </w:rPr>
            </w:pPr>
            <w:r>
              <w:rPr>
                <w:rFonts w:ascii="Arial" w:cs="Arial" w:eastAsia="Arial" w:hAnsi="Arial"/>
                <w:sz w:val="18"/>
                <w:szCs w:val="18"/>
                <w:color w:val="auto"/>
              </w:rPr>
              <w:t>13,640</w:t>
            </w:r>
          </w:p>
        </w:tc>
        <w:tc>
          <w:tcPr>
            <w:tcW w:w="94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w:t>
            </w:r>
          </w:p>
        </w:tc>
      </w:tr>
      <w:tr>
        <w:trPr>
          <w:trHeight w:val="176"/>
        </w:trPr>
        <w:tc>
          <w:tcPr>
            <w:tcW w:w="3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Term loan payable</w:t>
            </w:r>
          </w:p>
        </w:tc>
        <w:tc>
          <w:tcPr>
            <w:tcW w:w="2300" w:type="dxa"/>
            <w:vAlign w:val="bottom"/>
            <w:gridSpan w:val="2"/>
            <w:shd w:val="clear" w:color="auto" w:fill="CCEEFF"/>
          </w:tcPr>
          <w:p>
            <w:pPr>
              <w:jc w:val="right"/>
              <w:ind w:right="16"/>
              <w:spacing w:after="0" w:line="176" w:lineRule="exact"/>
              <w:rPr>
                <w:sz w:val="20"/>
                <w:szCs w:val="20"/>
                <w:color w:val="auto"/>
              </w:rPr>
            </w:pPr>
            <w:r>
              <w:rPr>
                <w:rFonts w:ascii="Arial" w:cs="Arial" w:eastAsia="Arial" w:hAnsi="Arial"/>
                <w:sz w:val="18"/>
                <w:szCs w:val="18"/>
                <w:color w:val="auto"/>
              </w:rPr>
              <w:t>1,518</w:t>
            </w:r>
          </w:p>
        </w:tc>
        <w:tc>
          <w:tcPr>
            <w:tcW w:w="920" w:type="dxa"/>
            <w:vAlign w:val="bottom"/>
            <w:shd w:val="clear" w:color="auto" w:fill="CCEEFF"/>
          </w:tcPr>
          <w:p>
            <w:pPr>
              <w:jc w:val="right"/>
              <w:ind w:right="13"/>
              <w:spacing w:after="0" w:line="176" w:lineRule="exact"/>
              <w:rPr>
                <w:sz w:val="20"/>
                <w:szCs w:val="20"/>
                <w:color w:val="auto"/>
              </w:rPr>
            </w:pPr>
            <w:r>
              <w:rPr>
                <w:rFonts w:ascii="Arial" w:cs="Arial" w:eastAsia="Arial" w:hAnsi="Arial"/>
                <w:sz w:val="18"/>
                <w:szCs w:val="18"/>
                <w:color w:val="auto"/>
              </w:rPr>
              <w:t>4,069</w:t>
            </w:r>
          </w:p>
        </w:tc>
        <w:tc>
          <w:tcPr>
            <w:tcW w:w="92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7,338</w:t>
            </w: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9,042</w:t>
            </w:r>
          </w:p>
        </w:tc>
        <w:tc>
          <w:tcPr>
            <w:tcW w:w="80" w:type="dxa"/>
            <w:vAlign w:val="bottom"/>
            <w:shd w:val="clear" w:color="auto" w:fill="CCEEFF"/>
          </w:tcPr>
          <w:p>
            <w:pPr>
              <w:spacing w:after="0"/>
              <w:rPr>
                <w:sz w:val="15"/>
                <w:szCs w:val="15"/>
                <w:color w:val="auto"/>
              </w:rPr>
            </w:pPr>
          </w:p>
        </w:tc>
      </w:tr>
      <w:tr>
        <w:trPr>
          <w:trHeight w:val="176"/>
        </w:trPr>
        <w:tc>
          <w:tcPr>
            <w:tcW w:w="3980" w:type="dxa"/>
            <w:vAlign w:val="bottom"/>
          </w:tcPr>
          <w:p>
            <w:pPr>
              <w:spacing w:after="0" w:line="176" w:lineRule="exact"/>
              <w:rPr>
                <w:sz w:val="20"/>
                <w:szCs w:val="20"/>
                <w:color w:val="auto"/>
              </w:rPr>
            </w:pPr>
            <w:r>
              <w:rPr>
                <w:rFonts w:ascii="Arial" w:cs="Arial" w:eastAsia="Arial" w:hAnsi="Arial"/>
                <w:sz w:val="18"/>
                <w:szCs w:val="18"/>
                <w:color w:val="auto"/>
              </w:rPr>
              <w:t>Warrant liability</w:t>
            </w:r>
          </w:p>
        </w:tc>
        <w:tc>
          <w:tcPr>
            <w:tcW w:w="1480" w:type="dxa"/>
            <w:vAlign w:val="bottom"/>
          </w:tcPr>
          <w:p>
            <w:pPr>
              <w:spacing w:after="0"/>
              <w:rPr>
                <w:sz w:val="15"/>
                <w:szCs w:val="15"/>
                <w:color w:val="auto"/>
              </w:rPr>
            </w:pPr>
          </w:p>
        </w:tc>
        <w:tc>
          <w:tcPr>
            <w:tcW w:w="820" w:type="dxa"/>
            <w:vAlign w:val="bottom"/>
          </w:tcPr>
          <w:p>
            <w:pPr>
              <w:jc w:val="right"/>
              <w:ind w:right="16"/>
              <w:spacing w:after="0" w:line="176"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line="176"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line="17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365</w:t>
            </w:r>
          </w:p>
        </w:tc>
        <w:tc>
          <w:tcPr>
            <w:tcW w:w="80" w:type="dxa"/>
            <w:vAlign w:val="bottom"/>
          </w:tcPr>
          <w:p>
            <w:pPr>
              <w:spacing w:after="0"/>
              <w:rPr>
                <w:sz w:val="15"/>
                <w:szCs w:val="15"/>
                <w:color w:val="auto"/>
              </w:rPr>
            </w:pPr>
          </w:p>
        </w:tc>
      </w:tr>
      <w:tr>
        <w:trPr>
          <w:trHeight w:val="176"/>
        </w:trPr>
        <w:tc>
          <w:tcPr>
            <w:tcW w:w="3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Convertible preferred stock</w:t>
            </w:r>
          </w:p>
        </w:tc>
        <w:tc>
          <w:tcPr>
            <w:tcW w:w="14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6"/>
              <w:spacing w:after="0" w:line="17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
              <w:spacing w:after="0" w:line="17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114,811</w:t>
            </w:r>
          </w:p>
        </w:tc>
        <w:tc>
          <w:tcPr>
            <w:tcW w:w="80" w:type="dxa"/>
            <w:vAlign w:val="bottom"/>
            <w:shd w:val="clear" w:color="auto" w:fill="CCEEFF"/>
          </w:tcPr>
          <w:p>
            <w:pPr>
              <w:spacing w:after="0"/>
              <w:rPr>
                <w:sz w:val="15"/>
                <w:szCs w:val="15"/>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2300" w:type="dxa"/>
            <w:vAlign w:val="bottom"/>
            <w:gridSpan w:val="2"/>
          </w:tcPr>
          <w:p>
            <w:pPr>
              <w:jc w:val="right"/>
              <w:ind w:right="16"/>
              <w:spacing w:after="0"/>
              <w:rPr>
                <w:sz w:val="20"/>
                <w:szCs w:val="20"/>
                <w:color w:val="auto"/>
              </w:rPr>
            </w:pPr>
            <w:r>
              <w:rPr>
                <w:rFonts w:ascii="Arial" w:cs="Arial" w:eastAsia="Arial" w:hAnsi="Arial"/>
                <w:sz w:val="18"/>
                <w:szCs w:val="18"/>
                <w:color w:val="auto"/>
              </w:rPr>
              <w:t>623,970</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213,078</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143,979</w:t>
            </w:r>
          </w:p>
        </w:tc>
        <w:tc>
          <w:tcPr>
            <w:tcW w:w="860" w:type="dxa"/>
            <w:vAlign w:val="bottom"/>
          </w:tcPr>
          <w:p>
            <w:pPr>
              <w:jc w:val="right"/>
              <w:spacing w:after="0"/>
              <w:rPr>
                <w:sz w:val="20"/>
                <w:szCs w:val="20"/>
                <w:color w:val="auto"/>
              </w:rPr>
            </w:pPr>
            <w:r>
              <w:rPr>
                <w:rFonts w:ascii="Arial" w:cs="Arial" w:eastAsia="Arial" w:hAnsi="Arial"/>
                <w:sz w:val="18"/>
                <w:szCs w:val="18"/>
                <w:color w:val="auto"/>
              </w:rPr>
              <w:t>(79,382)</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14408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136" w:lineRule="exact"/>
        <w:rPr>
          <w:sz w:val="20"/>
          <w:szCs w:val="20"/>
          <w:color w:val="auto"/>
        </w:rPr>
      </w:pPr>
    </w:p>
    <w:p>
      <w:pPr>
        <w:ind w:left="660" w:right="40" w:hanging="333"/>
        <w:spacing w:after="0" w:line="224" w:lineRule="auto"/>
        <w:tabs>
          <w:tab w:leader="none" w:pos="6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Upon the closing of our IPO in May 2015, all outstanding shares of our convertible preferred stock were converted into 15,467,479 shares of common stock, and warrants exercisable for convertible preferred stock were automatically converted into warrants exercisable for 42,423 shares of common stock.</w:t>
      </w:r>
    </w:p>
    <w:p>
      <w:pPr>
        <w:spacing w:after="0" w:line="170" w:lineRule="exact"/>
        <w:rPr>
          <w:rFonts w:ascii="Arial" w:cs="Arial" w:eastAsia="Arial" w:hAnsi="Arial"/>
          <w:sz w:val="14"/>
          <w:szCs w:val="14"/>
          <w:color w:val="auto"/>
        </w:rPr>
      </w:pPr>
    </w:p>
    <w:p>
      <w:pPr>
        <w:ind w:left="660" w:hanging="333"/>
        <w:spacing w:after="0"/>
        <w:tabs>
          <w:tab w:leader="none" w:pos="6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2"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audited consolidated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or timing of certain events could differ materially from the results or timing described in, or implied by, these forward-looking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120" w:firstLine="648"/>
        <w:spacing w:after="0" w:line="223" w:lineRule="auto"/>
        <w:rPr>
          <w:sz w:val="20"/>
          <w:szCs w:val="20"/>
          <w:color w:val="auto"/>
        </w:rPr>
      </w:pPr>
      <w:r>
        <w:rPr>
          <w:rFonts w:ascii="Arial" w:cs="Arial" w:eastAsia="Arial" w:hAnsi="Arial"/>
          <w:sz w:val="17"/>
          <w:szCs w:val="17"/>
          <w:color w:val="auto"/>
        </w:rPr>
        <w:t>We are a biopharmaceutical company focused on developing potentially transformational medicines to improve the lives of patients with genomically defined cancers and rare diseases. Our approach is to leverage our novel target discovery engine to systematically and reproducibly identify kinases that are drivers of diseases in genomically defined patient populations and to craft highly selective and potent drug candidates that may provide significant and durable clinical responses for patients without adequate treatment options. This integrated biology and chemistry approach enables us to identify, characterize and design drug candidates to inhibit novel kinase targets that have been difficult to selectively inhibit. By focusing on diseases in genomically defined patient populations, we believe that we will have a more efficient development path with a greater likelihood of success.</w:t>
      </w:r>
    </w:p>
    <w:p>
      <w:pPr>
        <w:spacing w:after="0" w:line="168"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Our most advanced drug candidates are avapritinib (formerly known as BLU</w:t>
      </w:r>
      <w:r>
        <w:rPr>
          <w:rFonts w:ascii="MS PGothic" w:cs="MS PGothic" w:eastAsia="MS PGothic" w:hAnsi="MS PGothic"/>
          <w:sz w:val="17"/>
          <w:szCs w:val="17"/>
          <w:color w:val="auto"/>
        </w:rPr>
        <w:t>‑</w:t>
      </w:r>
      <w:r>
        <w:rPr>
          <w:rFonts w:ascii="Arial" w:cs="Arial" w:eastAsia="Arial" w:hAnsi="Arial"/>
          <w:sz w:val="17"/>
          <w:szCs w:val="17"/>
          <w:color w:val="auto"/>
        </w:rPr>
        <w:t>285), BLU</w:t>
      </w:r>
      <w:r>
        <w:rPr>
          <w:rFonts w:ascii="MS PGothic" w:cs="MS PGothic" w:eastAsia="MS PGothic" w:hAnsi="MS PGothic"/>
          <w:sz w:val="17"/>
          <w:szCs w:val="17"/>
          <w:color w:val="auto"/>
        </w:rPr>
        <w:t>‑</w:t>
      </w:r>
      <w:r>
        <w:rPr>
          <w:rFonts w:ascii="Arial" w:cs="Arial" w:eastAsia="Arial" w:hAnsi="Arial"/>
          <w:sz w:val="17"/>
          <w:szCs w:val="17"/>
          <w:color w:val="auto"/>
        </w:rPr>
        <w:t>554 and BLU</w:t>
      </w:r>
      <w:r>
        <w:rPr>
          <w:rFonts w:ascii="MS PGothic" w:cs="MS PGothic" w:eastAsia="MS PGothic" w:hAnsi="MS PGothic"/>
          <w:sz w:val="17"/>
          <w:szCs w:val="17"/>
          <w:color w:val="auto"/>
        </w:rPr>
        <w:t>‑</w:t>
      </w:r>
      <w:r>
        <w:rPr>
          <w:rFonts w:ascii="Arial" w:cs="Arial" w:eastAsia="Arial" w:hAnsi="Arial"/>
          <w:sz w:val="17"/>
          <w:szCs w:val="17"/>
          <w:color w:val="auto"/>
        </w:rPr>
        <w:t>667. Our lead drug candidate, avapritinib, is an orally available, potent and highly selective inhibitor that targets KIT and PDGFRα mutations. These mutations abnormally activate receptor tyrosine kinases that are drivers of cancer and proliferative disorders, including gastrointestinal stromal tumors, or GIST, and systemic mastocytosis, or SM. We are currently evaluating avapritinib in an ongoing Phase 1 clinical trial for defined subsets of patients with GIST, which we refer to as the Navigator trial, and an ongoing Phase 1 clinical trial for advanced SM, which we refer to as the Explorer trial. GIST is a rare disease that is a sarcoma, or tumor of bone or connective tissue, of the gastrointestinal tract, or GI tract, and SM is a rare disorder that causes an overproduction of mast cells and the accumulation of mast cells in the bone marrow and other organs, which can lead to a wide range of debilitating symptoms and organ dysfunction and failure.</w:t>
      </w:r>
    </w:p>
    <w:p>
      <w:pPr>
        <w:spacing w:after="0" w:line="162" w:lineRule="exact"/>
        <w:rPr>
          <w:sz w:val="20"/>
          <w:szCs w:val="20"/>
          <w:color w:val="auto"/>
        </w:rPr>
      </w:pPr>
    </w:p>
    <w:p>
      <w:pPr>
        <w:jc w:val="both"/>
        <w:ind w:right="140" w:firstLine="648"/>
        <w:spacing w:after="0" w:line="194" w:lineRule="exact"/>
        <w:rPr>
          <w:sz w:val="20"/>
          <w:szCs w:val="20"/>
          <w:color w:val="auto"/>
        </w:rPr>
      </w:pPr>
      <w:r>
        <w:rPr>
          <w:rFonts w:ascii="Arial" w:cs="Arial" w:eastAsia="Arial" w:hAnsi="Arial"/>
          <w:sz w:val="17"/>
          <w:szCs w:val="17"/>
          <w:color w:val="auto"/>
        </w:rPr>
        <w:t>BLU</w:t>
      </w:r>
      <w:r>
        <w:rPr>
          <w:rFonts w:ascii="MS PGothic" w:cs="MS PGothic" w:eastAsia="MS PGothic" w:hAnsi="MS PGothic"/>
          <w:sz w:val="17"/>
          <w:szCs w:val="17"/>
          <w:color w:val="auto"/>
        </w:rPr>
        <w:t>‑</w:t>
      </w:r>
      <w:r>
        <w:rPr>
          <w:rFonts w:ascii="Arial" w:cs="Arial" w:eastAsia="Arial" w:hAnsi="Arial"/>
          <w:sz w:val="17"/>
          <w:szCs w:val="17"/>
          <w:color w:val="auto"/>
        </w:rPr>
        <w:t>554 is an orally available, potent and highly selective inhibitor that targets FGFR4, a kinase that is aberrantly activated in a defined subset of patients with hepatocellular carcinoma, or HCC, the most common type of liver cancer. We are currently evaluating BLU</w:t>
      </w:r>
      <w:r>
        <w:rPr>
          <w:rFonts w:ascii="MS PGothic" w:cs="MS PGothic" w:eastAsia="MS PGothic" w:hAnsi="MS PGothic"/>
          <w:sz w:val="17"/>
          <w:szCs w:val="17"/>
          <w:color w:val="auto"/>
        </w:rPr>
        <w:t>‑</w:t>
      </w:r>
      <w:r>
        <w:rPr>
          <w:rFonts w:ascii="Arial" w:cs="Arial" w:eastAsia="Arial" w:hAnsi="Arial"/>
          <w:sz w:val="17"/>
          <w:szCs w:val="17"/>
          <w:color w:val="auto"/>
        </w:rPr>
        <w:t>554 in an ongoing Phase 1 clinical trial in patients with advanced HCC.</w:t>
      </w:r>
    </w:p>
    <w:p>
      <w:pPr>
        <w:spacing w:after="0" w:line="161" w:lineRule="exact"/>
        <w:rPr>
          <w:sz w:val="20"/>
          <w:szCs w:val="20"/>
          <w:color w:val="auto"/>
        </w:rPr>
      </w:pPr>
    </w:p>
    <w:p>
      <w:pPr>
        <w:ind w:firstLine="648"/>
        <w:spacing w:after="0" w:line="185" w:lineRule="exact"/>
        <w:rPr>
          <w:sz w:val="20"/>
          <w:szCs w:val="20"/>
          <w:color w:val="auto"/>
        </w:rPr>
      </w:pPr>
      <w:r>
        <w:rPr>
          <w:rFonts w:ascii="Arial" w:cs="Arial" w:eastAsia="Arial" w:hAnsi="Arial"/>
          <w:sz w:val="17"/>
          <w:szCs w:val="17"/>
          <w:color w:val="auto"/>
        </w:rPr>
        <w:t>BLU</w:t>
      </w:r>
      <w:r>
        <w:rPr>
          <w:rFonts w:ascii="MS PGothic" w:cs="MS PGothic" w:eastAsia="MS PGothic" w:hAnsi="MS PGothic"/>
          <w:sz w:val="17"/>
          <w:szCs w:val="17"/>
          <w:color w:val="auto"/>
        </w:rPr>
        <w:t>‑</w:t>
      </w:r>
      <w:r>
        <w:rPr>
          <w:rFonts w:ascii="Arial" w:cs="Arial" w:eastAsia="Arial" w:hAnsi="Arial"/>
          <w:sz w:val="17"/>
          <w:szCs w:val="17"/>
          <w:color w:val="auto"/>
        </w:rPr>
        <w:t>667 targets RET, a receptor tyrosine kinase that is abnormally activated by mutations or translocations, and RET resistance mutations that we predict will arise from treatment with first generation therapies. RET drives disease in subsets of patients with non</w:t>
      </w:r>
      <w:r>
        <w:rPr>
          <w:rFonts w:ascii="MS PGothic" w:cs="MS PGothic" w:eastAsia="MS PGothic" w:hAnsi="MS PGothic"/>
          <w:sz w:val="17"/>
          <w:szCs w:val="17"/>
          <w:color w:val="auto"/>
        </w:rPr>
        <w:t>‑</w:t>
      </w:r>
      <w:r>
        <w:rPr>
          <w:rFonts w:ascii="Arial" w:cs="Arial" w:eastAsia="Arial" w:hAnsi="Arial"/>
          <w:sz w:val="17"/>
          <w:szCs w:val="17"/>
          <w:color w:val="auto"/>
        </w:rPr>
        <w:t>small cell lung cancer, or NSCLC, and cancers of the thyroid, including medullary thyroid carcinoma, or MTC, and papillary thyroid cancer, and our research suggests that RET may drive disease in subsets of patients with colon cancer, breast cancer and other cancers. We are currently evaluating BLU</w:t>
      </w:r>
      <w:r>
        <w:rPr>
          <w:rFonts w:ascii="MS PGothic" w:cs="MS PGothic" w:eastAsia="MS PGothic" w:hAnsi="MS PGothic"/>
          <w:sz w:val="17"/>
          <w:szCs w:val="17"/>
          <w:color w:val="auto"/>
        </w:rPr>
        <w:t>‑</w:t>
      </w:r>
      <w:r>
        <w:rPr>
          <w:rFonts w:ascii="Arial" w:cs="Arial" w:eastAsia="Arial" w:hAnsi="Arial"/>
          <w:sz w:val="17"/>
          <w:szCs w:val="17"/>
          <w:color w:val="auto"/>
        </w:rPr>
        <w:t>667 in an ongoing Phase 1 clinical trial in patients with RET</w:t>
      </w:r>
      <w:r>
        <w:rPr>
          <w:rFonts w:ascii="MS PGothic" w:cs="MS PGothic" w:eastAsia="MS PGothic" w:hAnsi="MS PGothic"/>
          <w:sz w:val="17"/>
          <w:szCs w:val="17"/>
          <w:color w:val="auto"/>
        </w:rPr>
        <w:t>‑</w:t>
      </w:r>
      <w:r>
        <w:rPr>
          <w:rFonts w:ascii="Arial" w:cs="Arial" w:eastAsia="Arial" w:hAnsi="Arial"/>
          <w:sz w:val="17"/>
          <w:szCs w:val="17"/>
          <w:color w:val="auto"/>
        </w:rPr>
        <w:t>altered NSCLC, MTC and other advanced solid tumors.</w:t>
      </w:r>
    </w:p>
    <w:p>
      <w:pPr>
        <w:spacing w:after="0" w:line="165" w:lineRule="exact"/>
        <w:rPr>
          <w:sz w:val="20"/>
          <w:szCs w:val="20"/>
          <w:color w:val="auto"/>
        </w:rPr>
      </w:pPr>
    </w:p>
    <w:p>
      <w:pPr>
        <w:ind w:right="120" w:firstLine="648"/>
        <w:spacing w:after="0" w:line="189" w:lineRule="exact"/>
        <w:rPr>
          <w:sz w:val="20"/>
          <w:szCs w:val="20"/>
          <w:color w:val="auto"/>
        </w:rPr>
      </w:pPr>
      <w:r>
        <w:rPr>
          <w:rFonts w:ascii="Arial" w:cs="Arial" w:eastAsia="Arial" w:hAnsi="Arial"/>
          <w:sz w:val="18"/>
          <w:szCs w:val="18"/>
          <w:color w:val="auto"/>
        </w:rPr>
        <w:t>In addition, in the fourth quarter of 2017, we nominated a development candidate, BLU</w:t>
      </w:r>
      <w:r>
        <w:rPr>
          <w:rFonts w:ascii="MS PGothic" w:cs="MS PGothic" w:eastAsia="MS PGothic" w:hAnsi="MS PGothic"/>
          <w:sz w:val="18"/>
          <w:szCs w:val="18"/>
          <w:color w:val="auto"/>
        </w:rPr>
        <w:t>‑</w:t>
      </w:r>
      <w:r>
        <w:rPr>
          <w:rFonts w:ascii="Arial" w:cs="Arial" w:eastAsia="Arial" w:hAnsi="Arial"/>
          <w:sz w:val="18"/>
          <w:szCs w:val="18"/>
          <w:color w:val="auto"/>
        </w:rPr>
        <w:t>782, for our discovery program targeting the kinase ALK2 for the treatment of fibrodysplasia ossificans progressiva, or FOP, a rare genetic disease caused by mutations in the ALK2 gene, ACVR1. We anticipate initiating IND</w:t>
      </w:r>
      <w:r>
        <w:rPr>
          <w:rFonts w:ascii="MS PGothic" w:cs="MS PGothic" w:eastAsia="MS PGothic" w:hAnsi="MS PGothic"/>
          <w:sz w:val="18"/>
          <w:szCs w:val="18"/>
          <w:color w:val="auto"/>
        </w:rPr>
        <w:t>‑</w:t>
      </w:r>
      <w:r>
        <w:rPr>
          <w:rFonts w:ascii="Arial" w:cs="Arial" w:eastAsia="Arial" w:hAnsi="Arial"/>
          <w:sz w:val="18"/>
          <w:szCs w:val="18"/>
          <w:color w:val="auto"/>
        </w:rPr>
        <w:t>enabling studies for BLU-782 in the first half of 2018.</w:t>
      </w:r>
    </w:p>
    <w:p>
      <w:pPr>
        <w:spacing w:after="0" w:line="163" w:lineRule="exact"/>
        <w:rPr>
          <w:sz w:val="20"/>
          <w:szCs w:val="20"/>
          <w:color w:val="auto"/>
        </w:rPr>
      </w:pPr>
    </w:p>
    <w:p>
      <w:pPr>
        <w:ind w:right="140" w:firstLine="648"/>
        <w:spacing w:after="0" w:line="219" w:lineRule="auto"/>
        <w:rPr>
          <w:sz w:val="20"/>
          <w:szCs w:val="20"/>
          <w:color w:val="auto"/>
        </w:rPr>
      </w:pPr>
      <w:r>
        <w:rPr>
          <w:rFonts w:ascii="Arial" w:cs="Arial" w:eastAsia="Arial" w:hAnsi="Arial"/>
          <w:sz w:val="18"/>
          <w:szCs w:val="18"/>
          <w:color w:val="auto"/>
        </w:rPr>
        <w:t>We plan to continue to leverage our discovery platform to systematically and reproducibly identify kinases that are drivers of diseases in genomically defined patient populations and craft drug candidates that potently and selectively target these kinases. We currently have two wholly-owned discovery programs for undisclosed kinase targets, and we anticipate nominating at least two additional discovery programs in 2018.</w:t>
      </w:r>
    </w:p>
    <w:p>
      <w:pPr>
        <w:spacing w:after="0" w:line="163" w:lineRule="exact"/>
        <w:rPr>
          <w:sz w:val="20"/>
          <w:szCs w:val="20"/>
          <w:color w:val="auto"/>
        </w:rPr>
      </w:pPr>
    </w:p>
    <w:p>
      <w:pPr>
        <w:ind w:right="20" w:firstLine="648"/>
        <w:spacing w:after="0" w:line="184" w:lineRule="exact"/>
        <w:rPr>
          <w:sz w:val="20"/>
          <w:szCs w:val="20"/>
          <w:color w:val="auto"/>
        </w:rPr>
      </w:pPr>
      <w:r>
        <w:rPr>
          <w:rFonts w:ascii="Arial" w:cs="Arial" w:eastAsia="Arial" w:hAnsi="Arial"/>
          <w:sz w:val="16"/>
          <w:szCs w:val="16"/>
          <w:color w:val="auto"/>
        </w:rPr>
        <w:t>In addition to our wholly-owned clinical and pre-clinical programs, in March 2016, we entered into an agreement with F. Hoffmann</w:t>
      </w:r>
      <w:r>
        <w:rPr>
          <w:rFonts w:ascii="MS PGothic" w:cs="MS PGothic" w:eastAsia="MS PGothic" w:hAnsi="MS PGothic"/>
          <w:sz w:val="16"/>
          <w:szCs w:val="16"/>
          <w:color w:val="auto"/>
        </w:rPr>
        <w:t>‑</w:t>
      </w:r>
      <w:r>
        <w:rPr>
          <w:rFonts w:ascii="Arial" w:cs="Arial" w:eastAsia="Arial" w:hAnsi="Arial"/>
          <w:sz w:val="16"/>
          <w:szCs w:val="16"/>
          <w:color w:val="auto"/>
        </w:rPr>
        <w:t>La Roche Ltd and Hoffmann</w:t>
      </w:r>
      <w:r>
        <w:rPr>
          <w:rFonts w:ascii="MS PGothic" w:cs="MS PGothic" w:eastAsia="MS PGothic" w:hAnsi="MS PGothic"/>
          <w:sz w:val="16"/>
          <w:szCs w:val="16"/>
          <w:color w:val="auto"/>
        </w:rPr>
        <w:t>‑</w:t>
      </w:r>
      <w:r>
        <w:rPr>
          <w:rFonts w:ascii="Arial" w:cs="Arial" w:eastAsia="Arial" w:hAnsi="Arial"/>
          <w:sz w:val="16"/>
          <w:szCs w:val="16"/>
          <w:color w:val="auto"/>
        </w:rPr>
        <w:t>La Roche Inc. to discover, develop and commercialize up to five small molecule therapeutics targeting kinases believed to be important in cancer immunotherapy, as single products or possibly in combination with other therapeutics. We will continue to evaluate additional collaborations that could maximize the value for our programs and allow us to leverage the expertise of strategic collaborators. We are also focused on engaging in collaborations to capitalize on our discovery platform outside of our primary strategic focus area of cancer.</w:t>
      </w:r>
    </w:p>
    <w:p>
      <w:pPr>
        <w:spacing w:after="0" w:line="166"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We currently have worldwide development and commercialization rights to avapritinib, BLU-554, BLU-667 and BLU-782 and all of our discovery programs other than the pre-clinical programs under the Roche collaboration. In September 2015, the FDA granted orphan drug designation to BLU-554 for the treatment of HCC, and in January 2016, the FDA granted orphan drug designation to avapritinib for the treatment of GIST and mastocytosis. In October 2016, the FDA granted fast track designation to avapritinib for the treatment of patients with unresectable or metastatic GIST that progressed following treatment with imatinib and a second tyrosine kinase, or TKI, inhibitor and for the treatment 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patients with unresectable or metastatic GIST with the PDGFRα D842V mutation regardless of prior therapy. In addition, in June 2017, the FDA granted breakthrough therapy designation to avapritinib for the treatment of patients with unresectable or metastatic GIST harboring the PDGFRα D842V mutation, and in July 2017, the European Commission granted orphan drug designation to avapritinib for the treatment of GIST.</w:t>
      </w:r>
    </w:p>
    <w:p>
      <w:pPr>
        <w:spacing w:after="0" w:line="163"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Since inception, our operations have focused on organizing and staffing our company, business planning, raising capital, establishing our intellectual property, building our discovery platform, including our proprietary compound library and new target discovery engine, identifying kinase drug targets and potential drug candidates, producing drug substance and drug product material for use in pre-clinical studies and clinical trials, conducting pre-clinical studies, including GLP toxicology studies and commencing clinical development activities. We do not have any drugs approved for sale and have not generated any revenue from drug sales.</w:t>
      </w:r>
    </w:p>
    <w:p>
      <w:pPr>
        <w:spacing w:after="0" w:line="162"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To date, we have financed our operations primarily through public offerings of our common stock, private placements of our convertible preferred stock, collaborations and a debt financing. Through December 31, 2017, we have received an aggregate of $1.1 billion from such transactions, including $887.4 million in aggregate gross proceeds from the sale of common stock in our May 2015 initial public offering, or IPO, and December 2016, April 2017 and December 2017 follow</w:t>
      </w:r>
      <w:r>
        <w:rPr>
          <w:rFonts w:ascii="MS PGothic" w:cs="MS PGothic" w:eastAsia="MS PGothic" w:hAnsi="MS PGothic"/>
          <w:sz w:val="17"/>
          <w:szCs w:val="17"/>
          <w:color w:val="auto"/>
        </w:rPr>
        <w:t>‑</w:t>
      </w:r>
      <w:r>
        <w:rPr>
          <w:rFonts w:ascii="Arial" w:cs="Arial" w:eastAsia="Arial" w:hAnsi="Arial"/>
          <w:sz w:val="17"/>
          <w:szCs w:val="17"/>
          <w:color w:val="auto"/>
        </w:rPr>
        <w:t>on public offerings, $115.1 million in gross proceeds from the issuance of convertible preferred stock, $18.8 million of upfront and milestone payments under our former collaboration with Alexion Pharma Holding, or Alexion, a $45.0 million upfront payment under our existing collaboration with F. Hoffmann-La Roche Ltd and Hoffmann-La Roche Inc., which we refer to collectively as Roche, and $10.0 million in gross proceeds from the debt financing.</w:t>
      </w:r>
    </w:p>
    <w:p>
      <w:pPr>
        <w:spacing w:after="0" w:line="168"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Since inception, we have incurred significant operating losses. Our net losses were $148.1 million, $72.5 million and $52.8 million for the years ended December 31, 2017, 2016 and 2015. As of December 31, 2017, we had an accumulated deficit of $355.6 million. We expect to continue to incur significant expenses and operating losses over the next several years. We anticipate that our expenses will increase significantly in connection with our ongoing activities, particularly as we:</w:t>
      </w:r>
    </w:p>
    <w:p>
      <w:pPr>
        <w:spacing w:after="0" w:line="155" w:lineRule="exact"/>
        <w:rPr>
          <w:sz w:val="20"/>
          <w:szCs w:val="20"/>
          <w:color w:val="auto"/>
        </w:rPr>
      </w:pPr>
    </w:p>
    <w:p>
      <w:pPr>
        <w:ind w:left="1300" w:right="120" w:hanging="325"/>
        <w:spacing w:after="0" w:line="258" w:lineRule="auto"/>
        <w:tabs>
          <w:tab w:leader="none" w:pos="13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continue to advance and initiate clinical development activities for our lead drug candidate, avapritinib, as well as our other most advanced drug candidates, BLU-554, BLU-667 and BLU-782;</w:t>
      </w:r>
    </w:p>
    <w:p>
      <w:pPr>
        <w:spacing w:after="0" w:line="146" w:lineRule="exact"/>
        <w:rPr>
          <w:rFonts w:ascii="Arial" w:cs="Arial" w:eastAsia="Arial" w:hAnsi="Arial"/>
          <w:sz w:val="17"/>
          <w:szCs w:val="17"/>
          <w:color w:val="auto"/>
        </w:rPr>
      </w:pPr>
    </w:p>
    <w:p>
      <w:pPr>
        <w:ind w:left="1300" w:hanging="325"/>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seek marketing approvals for our drug candidates that successfully complete clinical trials;</w:t>
      </w:r>
    </w:p>
    <w:p>
      <w:pPr>
        <w:spacing w:after="0" w:line="184" w:lineRule="exact"/>
        <w:rPr>
          <w:rFonts w:ascii="Arial" w:cs="Arial" w:eastAsia="Arial" w:hAnsi="Arial"/>
          <w:sz w:val="18"/>
          <w:szCs w:val="18"/>
          <w:color w:val="auto"/>
        </w:rPr>
      </w:pPr>
    </w:p>
    <w:p>
      <w:pPr>
        <w:ind w:left="1300" w:right="240" w:hanging="325"/>
        <w:spacing w:after="0" w:line="235"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medicines for which we may obtain marketing approval;</w:t>
      </w:r>
    </w:p>
    <w:p>
      <w:pPr>
        <w:spacing w:after="0" w:line="161" w:lineRule="exact"/>
        <w:rPr>
          <w:rFonts w:ascii="Arial" w:cs="Arial" w:eastAsia="Arial" w:hAnsi="Arial"/>
          <w:sz w:val="18"/>
          <w:szCs w:val="18"/>
          <w:color w:val="auto"/>
        </w:rPr>
      </w:pPr>
    </w:p>
    <w:p>
      <w:pPr>
        <w:ind w:left="1300" w:right="200" w:hanging="325"/>
        <w:spacing w:after="0" w:line="235"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continue to manufacture increasing quantities of drug substance and drug product material for use in pre-clinical studies, clinical trials and for any potential commercialization;</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continue to discover, validate and develop additional drug candidates;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conduct research and development activities under our collaboration with Roche;</w:t>
      </w:r>
    </w:p>
    <w:p>
      <w:pPr>
        <w:spacing w:after="0" w:line="184" w:lineRule="exact"/>
        <w:rPr>
          <w:rFonts w:ascii="Arial" w:cs="Arial" w:eastAsia="Arial" w:hAnsi="Arial"/>
          <w:sz w:val="18"/>
          <w:szCs w:val="18"/>
          <w:color w:val="auto"/>
        </w:rPr>
      </w:pPr>
    </w:p>
    <w:p>
      <w:pPr>
        <w:ind w:left="1300" w:right="340" w:hanging="325"/>
        <w:spacing w:after="0" w:line="189" w:lineRule="exact"/>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conduct development and commercialization activities for companion diagnostic tests, including our companion diagnostic tests for avapritinib in order to identify GIST patients with the PDGFRα D842V mutation, BLU</w:t>
      </w:r>
      <w:r>
        <w:rPr>
          <w:rFonts w:ascii="MS PGothic" w:cs="MS PGothic" w:eastAsia="MS PGothic" w:hAnsi="MS PGothic"/>
          <w:sz w:val="18"/>
          <w:szCs w:val="18"/>
          <w:color w:val="auto"/>
        </w:rPr>
        <w:t>‑</w:t>
      </w:r>
      <w:r>
        <w:rPr>
          <w:rFonts w:ascii="Arial" w:cs="Arial" w:eastAsia="Arial" w:hAnsi="Arial"/>
          <w:sz w:val="18"/>
          <w:szCs w:val="18"/>
          <w:color w:val="auto"/>
        </w:rPr>
        <w:t>554 in order to identify HCC patients with FGFR4 pathway activation and BLU-667 in order to identify NSCLC patients with RET fusions;</w:t>
      </w:r>
    </w:p>
    <w:p>
      <w:pPr>
        <w:spacing w:after="0" w:line="162" w:lineRule="exact"/>
        <w:rPr>
          <w:rFonts w:ascii="Arial" w:cs="Arial" w:eastAsia="Arial" w:hAnsi="Arial"/>
          <w:sz w:val="18"/>
          <w:szCs w:val="18"/>
          <w:color w:val="auto"/>
        </w:rPr>
      </w:pPr>
    </w:p>
    <w:p>
      <w:pPr>
        <w:ind w:left="1300" w:hanging="325"/>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acquire or in-license other drug candidates or technologies;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hire additional research, clinical, quality, manufacturing and commercial personnel;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public company.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To date, we have not generated any revenue from drug sales and do not expect to generate any revenue from the sale of drugs in the near future. Our revenue consists of collaboration revenue under our former collaboration with Alexion, which was terminated in October 2017, and our existing collaboration with Roche, including amounts that are recognized related to upfront payments, milestone payments and amounts due to us for research and development services. In the future, revenue may include additional milestone payments and royalties on any net product sales under our collaboration with Roche. As a result of the termination of our Alexion collaboration, we will not be entitled to receive any future payments from Alexion for any research and development expenses or milestones. We expect that any revenue we generate will fluctuate from quarter to quarter as a result of the timing and amount of license fees, research and development reimbursements, payments for manufacturing services, and milestone and other payments.</w:t>
      </w:r>
    </w:p>
    <w:p>
      <w:pPr>
        <w:spacing w:after="0" w:line="162" w:lineRule="exact"/>
        <w:rPr>
          <w:sz w:val="20"/>
          <w:szCs w:val="20"/>
          <w:color w:val="auto"/>
        </w:rPr>
      </w:pPr>
    </w:p>
    <w:p>
      <w:pPr>
        <w:ind w:right="900" w:firstLine="648"/>
        <w:spacing w:after="0" w:line="235" w:lineRule="auto"/>
        <w:rPr>
          <w:sz w:val="20"/>
          <w:szCs w:val="20"/>
          <w:color w:val="auto"/>
        </w:rPr>
      </w:pPr>
      <w:r>
        <w:rPr>
          <w:rFonts w:ascii="Arial" w:cs="Arial" w:eastAsia="Arial" w:hAnsi="Arial"/>
          <w:sz w:val="18"/>
          <w:szCs w:val="18"/>
          <w:color w:val="auto"/>
        </w:rPr>
        <w:t>In the future, we will seek to generate revenue from a combination of drug sales and additional strategic relationships we may enter into.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ind w:right="40" w:firstLine="648"/>
        <w:spacing w:after="0" w:line="258" w:lineRule="auto"/>
        <w:rPr>
          <w:sz w:val="20"/>
          <w:szCs w:val="20"/>
          <w:color w:val="auto"/>
        </w:rPr>
      </w:pPr>
      <w:r>
        <w:rPr>
          <w:rFonts w:ascii="Arial" w:cs="Arial" w:eastAsia="Arial" w:hAnsi="Arial"/>
          <w:sz w:val="17"/>
          <w:szCs w:val="17"/>
          <w:color w:val="auto"/>
        </w:rPr>
        <w:t>Research and development expenses consist primarily of costs incurred for our research and development activities, including our drug discovery efforts, and the development of our drug candidates, which include:</w:t>
      </w:r>
    </w:p>
    <w:p>
      <w:pPr>
        <w:spacing w:after="0" w:line="147" w:lineRule="exact"/>
        <w:rPr>
          <w:sz w:val="20"/>
          <w:szCs w:val="20"/>
          <w:color w:val="auto"/>
        </w:rPr>
      </w:pPr>
    </w:p>
    <w:p>
      <w:pPr>
        <w:ind w:left="1300" w:hanging="325"/>
        <w:spacing w:after="0" w:line="207" w:lineRule="exact"/>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employee</w:t>
      </w:r>
      <w:r>
        <w:rPr>
          <w:rFonts w:ascii="MS PGothic" w:cs="MS PGothic" w:eastAsia="MS PGothic" w:hAnsi="MS PGothic"/>
          <w:sz w:val="18"/>
          <w:szCs w:val="18"/>
          <w:color w:val="auto"/>
        </w:rPr>
        <w:t>‑</w:t>
      </w:r>
      <w:r>
        <w:rPr>
          <w:rFonts w:ascii="Arial" w:cs="Arial" w:eastAsia="Arial" w:hAnsi="Arial"/>
          <w:sz w:val="18"/>
          <w:szCs w:val="18"/>
          <w:color w:val="auto"/>
        </w:rPr>
        <w:t>related expenses including salaries, benefits, and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p>
      <w:pPr>
        <w:spacing w:after="0" w:line="184" w:lineRule="exact"/>
        <w:rPr>
          <w:rFonts w:ascii="Arial" w:cs="Arial" w:eastAsia="Arial" w:hAnsi="Arial"/>
          <w:sz w:val="18"/>
          <w:szCs w:val="18"/>
          <w:color w:val="auto"/>
        </w:rPr>
      </w:pPr>
    </w:p>
    <w:p>
      <w:pPr>
        <w:ind w:left="1300" w:right="80" w:hanging="325"/>
        <w:spacing w:after="0" w:line="235"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that conduct research and development, pre-clinical activities, clinical activities and manufacturing on our behalf;</w:t>
      </w:r>
    </w:p>
    <w:p>
      <w:pPr>
        <w:spacing w:after="0" w:line="161" w:lineRule="exact"/>
        <w:rPr>
          <w:rFonts w:ascii="Arial" w:cs="Arial" w:eastAsia="Arial" w:hAnsi="Arial"/>
          <w:sz w:val="18"/>
          <w:szCs w:val="18"/>
          <w:color w:val="auto"/>
        </w:rPr>
      </w:pPr>
    </w:p>
    <w:p>
      <w:pPr>
        <w:ind w:left="1300" w:right="480" w:hanging="325"/>
        <w:spacing w:after="0" w:line="235"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for the development and commercialization of companion diagnostic tests;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cost of consultants;</w:t>
      </w:r>
    </w:p>
    <w:p>
      <w:pPr>
        <w:spacing w:after="0" w:line="184" w:lineRule="exact"/>
        <w:rPr>
          <w:rFonts w:ascii="Arial" w:cs="Arial" w:eastAsia="Arial" w:hAnsi="Arial"/>
          <w:sz w:val="18"/>
          <w:szCs w:val="18"/>
          <w:color w:val="auto"/>
        </w:rPr>
      </w:pPr>
    </w:p>
    <w:p>
      <w:pPr>
        <w:ind w:left="1300" w:right="100" w:hanging="325"/>
        <w:spacing w:after="0" w:line="235"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cost of lab supplies and acquiring, developing and manufacturing pre-clinical study materials, clinical trial materials and commercial supply materials; and</w:t>
      </w:r>
    </w:p>
    <w:p>
      <w:pPr>
        <w:spacing w:after="0" w:line="161" w:lineRule="exact"/>
        <w:rPr>
          <w:rFonts w:ascii="Arial" w:cs="Arial" w:eastAsia="Arial" w:hAnsi="Arial"/>
          <w:sz w:val="18"/>
          <w:szCs w:val="18"/>
          <w:color w:val="auto"/>
        </w:rPr>
      </w:pPr>
    </w:p>
    <w:p>
      <w:pPr>
        <w:ind w:left="1300" w:right="540" w:hanging="325"/>
        <w:spacing w:after="0" w:line="235"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facilities, depreciation, and other expenses, which include direct and allocated expenses for rent and maintenance of facilities, insurance, and other operating costs.</w:t>
      </w:r>
    </w:p>
    <w:p>
      <w:pPr>
        <w:spacing w:after="0" w:line="162"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 development activities are capitalized. The capitalized amounts are expensed as the related goods are delivered or the services are performed.</w:t>
      </w:r>
    </w:p>
    <w:p>
      <w:pPr>
        <w:spacing w:after="0" w:line="163"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if ever, material net cash inflows will commence from our drug candidates. This is due to the numerous risks and uncertainties associated with developing drugs, including the uncertainty of:</w:t>
      </w:r>
    </w:p>
    <w:p>
      <w:pPr>
        <w:spacing w:after="0" w:line="162" w:lineRule="exact"/>
        <w:rPr>
          <w:sz w:val="20"/>
          <w:szCs w:val="20"/>
          <w:color w:val="auto"/>
        </w:rPr>
      </w:pPr>
    </w:p>
    <w:p>
      <w:pPr>
        <w:ind w:left="1300" w:hanging="325"/>
        <w:spacing w:after="0" w:line="207" w:lineRule="exact"/>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w:t>
      </w:r>
      <w:r>
        <w:rPr>
          <w:rFonts w:ascii="MS PGothic" w:cs="MS PGothic" w:eastAsia="MS PGothic" w:hAnsi="MS PGothic"/>
          <w:sz w:val="18"/>
          <w:szCs w:val="18"/>
          <w:color w:val="auto"/>
        </w:rPr>
        <w:t>‑</w:t>
      </w:r>
      <w:r>
        <w:rPr>
          <w:rFonts w:ascii="Arial" w:cs="Arial" w:eastAsia="Arial" w:hAnsi="Arial"/>
          <w:sz w:val="18"/>
          <w:szCs w:val="18"/>
          <w:color w:val="auto"/>
        </w:rPr>
        <w:t>enabling toxicology studies;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90" w:name="page91"/>
    <w:bookmarkEnd w:id="9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300" w:right="1080" w:hanging="325"/>
        <w:spacing w:after="0" w:line="203" w:lineRule="exact"/>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w:t>
      </w:r>
    </w:p>
    <w:p>
      <w:pPr>
        <w:spacing w:after="0" w:line="161" w:lineRule="exact"/>
        <w:rPr>
          <w:rFonts w:ascii="Arial" w:cs="Arial" w:eastAsia="Arial" w:hAnsi="Arial"/>
          <w:sz w:val="18"/>
          <w:szCs w:val="18"/>
          <w:color w:val="auto"/>
        </w:rPr>
      </w:pPr>
    </w:p>
    <w:p>
      <w:pPr>
        <w:ind w:left="1300" w:right="600" w:hanging="325"/>
        <w:spacing w:after="0" w:line="235"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drug candidates;</w:t>
      </w:r>
    </w:p>
    <w:p>
      <w:pPr>
        <w:spacing w:after="0" w:line="161" w:lineRule="exact"/>
        <w:rPr>
          <w:rFonts w:ascii="Arial" w:cs="Arial" w:eastAsia="Arial" w:hAnsi="Arial"/>
          <w:sz w:val="18"/>
          <w:szCs w:val="18"/>
          <w:color w:val="auto"/>
        </w:rPr>
      </w:pPr>
    </w:p>
    <w:p>
      <w:pPr>
        <w:ind w:left="1300" w:right="80" w:hanging="325"/>
        <w:spacing w:after="0" w:line="235"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commercializing the drug candidates, if and when approved, whether alone or in collaboration with others; and</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continued acceptable safety profile of the drugs following approval.</w:t>
      </w:r>
    </w:p>
    <w:p>
      <w:pPr>
        <w:spacing w:after="0" w:line="185" w:lineRule="exact"/>
        <w:rPr>
          <w:sz w:val="20"/>
          <w:szCs w:val="20"/>
          <w:color w:val="auto"/>
        </w:rPr>
      </w:pPr>
    </w:p>
    <w:p>
      <w:pPr>
        <w:ind w:right="300" w:firstLine="648"/>
        <w:spacing w:after="0" w:line="258" w:lineRule="auto"/>
        <w:rPr>
          <w:sz w:val="20"/>
          <w:szCs w:val="20"/>
          <w:color w:val="auto"/>
        </w:rPr>
      </w:pPr>
      <w:r>
        <w:rPr>
          <w:rFonts w:ascii="Arial" w:cs="Arial" w:eastAsia="Arial" w:hAnsi="Arial"/>
          <w:sz w:val="17"/>
          <w:szCs w:val="17"/>
          <w:color w:val="auto"/>
        </w:rPr>
        <w:t>A change in the outcome of any of these variables with respect to the development of any of our drug candidates would significantly change the costs and timing associated with the development of that drug candidate.</w:t>
      </w:r>
    </w:p>
    <w:p>
      <w:pPr>
        <w:spacing w:after="0" w:line="147" w:lineRule="exact"/>
        <w:rPr>
          <w:sz w:val="20"/>
          <w:szCs w:val="20"/>
          <w:color w:val="auto"/>
        </w:rPr>
      </w:pPr>
    </w:p>
    <w:p>
      <w:pPr>
        <w:ind w:right="200" w:firstLine="648"/>
        <w:spacing w:after="0" w:line="182" w:lineRule="exact"/>
        <w:rPr>
          <w:sz w:val="20"/>
          <w:szCs w:val="20"/>
          <w:color w:val="auto"/>
        </w:rPr>
      </w:pPr>
      <w:r>
        <w:rPr>
          <w:rFonts w:ascii="Arial" w:cs="Arial" w:eastAsia="Arial" w:hAnsi="Arial"/>
          <w:sz w:val="17"/>
          <w:szCs w:val="17"/>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w:t>
      </w:r>
      <w:r>
        <w:rPr>
          <w:rFonts w:ascii="MS PGothic" w:cs="MS PGothic" w:eastAsia="MS PGothic" w:hAnsi="MS PGothic"/>
          <w:sz w:val="17"/>
          <w:szCs w:val="17"/>
          <w:color w:val="auto"/>
        </w:rPr>
        <w:t>‑</w:t>
      </w:r>
      <w:r>
        <w:rPr>
          <w:rFonts w:ascii="Arial" w:cs="Arial" w:eastAsia="Arial" w:hAnsi="Arial"/>
          <w:sz w:val="17"/>
          <w:szCs w:val="17"/>
          <w:color w:val="auto"/>
        </w:rPr>
        <w:t>stage clinical trials. We expect research and development costs to increase significantly for the foreseeable future as our drug candidate development programs progress. However, we do not believe that it is possible at this time to accurately project total program</w:t>
      </w:r>
      <w:r>
        <w:rPr>
          <w:rFonts w:ascii="MS PGothic" w:cs="MS PGothic" w:eastAsia="MS PGothic" w:hAnsi="MS PGothic"/>
          <w:sz w:val="17"/>
          <w:szCs w:val="17"/>
          <w:color w:val="auto"/>
        </w:rPr>
        <w:t>‑</w:t>
      </w:r>
      <w:r>
        <w:rPr>
          <w:rFonts w:ascii="Arial" w:cs="Arial" w:eastAsia="Arial" w:hAnsi="Arial"/>
          <w:sz w:val="17"/>
          <w:szCs w:val="17"/>
          <w:color w:val="auto"/>
        </w:rPr>
        <w:t>specific expenses through commercialization. There are numerous factors associated with the successful commercialization of any of our drug candidates, including future trial design and various regulatory requirements, many of which cannot be determined with accuracy at this time based on our stage of development. In addition, future commercial and regulatory factors beyond our control will impact our clinical development programs and plans.</w:t>
      </w:r>
    </w:p>
    <w:p>
      <w:pPr>
        <w:spacing w:after="0" w:line="162"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A significant portion of our research and development expenses have been external expenses, which we track on a program</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program basis following nomination as a development candidate. Our internal research and development expenses are primarily personnel</w:t>
      </w:r>
      <w:r>
        <w:rPr>
          <w:rFonts w:ascii="MS PGothic" w:cs="MS PGothic" w:eastAsia="MS PGothic" w:hAnsi="MS PGothic"/>
          <w:sz w:val="18"/>
          <w:szCs w:val="18"/>
          <w:color w:val="auto"/>
        </w:rPr>
        <w:t>‑</w:t>
      </w:r>
      <w:r>
        <w:rPr>
          <w:rFonts w:ascii="Arial" w:cs="Arial" w:eastAsia="Arial" w:hAnsi="Arial"/>
          <w:sz w:val="18"/>
          <w:szCs w:val="18"/>
          <w:color w:val="auto"/>
        </w:rPr>
        <w:t>related expenses, including stock-based compensation expense. We do not track our internal research and development expenses on a program</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program basis as they are deployed across multiple projects under development.</w:t>
      </w:r>
    </w:p>
    <w:p>
      <w:pPr>
        <w:spacing w:after="0" w:line="162" w:lineRule="exact"/>
        <w:rPr>
          <w:sz w:val="20"/>
          <w:szCs w:val="20"/>
          <w:color w:val="auto"/>
        </w:rPr>
      </w:pPr>
    </w:p>
    <w:p>
      <w:pPr>
        <w:ind w:right="100" w:firstLine="648"/>
        <w:spacing w:after="0" w:line="194" w:lineRule="exact"/>
        <w:rPr>
          <w:sz w:val="20"/>
          <w:szCs w:val="20"/>
          <w:color w:val="auto"/>
        </w:rPr>
      </w:pPr>
      <w:r>
        <w:rPr>
          <w:rFonts w:ascii="Arial" w:cs="Arial" w:eastAsia="Arial" w:hAnsi="Arial"/>
          <w:sz w:val="17"/>
          <w:szCs w:val="17"/>
          <w:color w:val="auto"/>
        </w:rPr>
        <w:t>The following table summarizes our external research and development expenses by program for the years ended December 31, 2017, 2016 and 2015. Other development and pre</w:t>
      </w:r>
      <w:r>
        <w:rPr>
          <w:rFonts w:ascii="MS PGothic" w:cs="MS PGothic" w:eastAsia="MS PGothic" w:hAnsi="MS PGothic"/>
          <w:sz w:val="17"/>
          <w:szCs w:val="17"/>
          <w:color w:val="auto"/>
        </w:rPr>
        <w:t>‑</w:t>
      </w:r>
      <w:r>
        <w:rPr>
          <w:rFonts w:ascii="Arial" w:cs="Arial" w:eastAsia="Arial" w:hAnsi="Arial"/>
          <w:sz w:val="17"/>
          <w:szCs w:val="17"/>
          <w:color w:val="auto"/>
        </w:rPr>
        <w:t>development candidate expenses, unallocated expenses and internal research and development expenses have been classified separately.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492"/>
              <w:spacing w:after="0" w:line="129"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494"/>
              <w:spacing w:after="0" w:line="129"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472"/>
              <w:spacing w:after="0" w:line="129"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Avapritinib external expenses</w:t>
            </w:r>
          </w:p>
        </w:tc>
        <w:tc>
          <w:tcPr>
            <w:tcW w:w="540" w:type="dxa"/>
            <w:vAlign w:val="bottom"/>
            <w:gridSpan w:val="2"/>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46,851</w:t>
            </w:r>
          </w:p>
        </w:tc>
        <w:tc>
          <w:tcPr>
            <w:tcW w:w="4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10,653</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6,338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80" w:type="dxa"/>
            <w:vAlign w:val="bottom"/>
          </w:tcPr>
          <w:p>
            <w:pPr>
              <w:spacing w:after="0" w:line="176" w:lineRule="exact"/>
              <w:rPr>
                <w:sz w:val="20"/>
                <w:szCs w:val="20"/>
                <w:color w:val="auto"/>
              </w:rPr>
            </w:pPr>
            <w:r>
              <w:rPr>
                <w:rFonts w:ascii="Arial" w:cs="Arial" w:eastAsia="Arial" w:hAnsi="Arial"/>
                <w:sz w:val="18"/>
                <w:szCs w:val="18"/>
                <w:color w:val="auto"/>
              </w:rPr>
              <w:t>BLU-554 external expenses</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15,078</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8"/>
                <w:szCs w:val="18"/>
                <w:color w:val="auto"/>
              </w:rPr>
              <w:t>13,160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5,134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BLU-667 external expenses</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13,512</w:t>
            </w: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6,599</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880" w:type="dxa"/>
            <w:vAlign w:val="bottom"/>
          </w:tcPr>
          <w:p>
            <w:pPr>
              <w:spacing w:after="0" w:line="176" w:lineRule="exact"/>
              <w:rPr>
                <w:sz w:val="20"/>
                <w:szCs w:val="20"/>
                <w:color w:val="auto"/>
              </w:rPr>
            </w:pPr>
            <w:r>
              <w:rPr>
                <w:rFonts w:ascii="Arial" w:cs="Arial" w:eastAsia="Arial" w:hAnsi="Arial"/>
                <w:sz w:val="18"/>
                <w:szCs w:val="18"/>
                <w:color w:val="auto"/>
              </w:rPr>
              <w:t>BLU-782 external expenses</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1,114</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w w:val="99"/>
              </w:rPr>
              <w:t>Other development and pre-development candidate</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39,981</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32,232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23,104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expenses and unallocated expenses</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8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Internal research and development expenses</w:t>
            </w:r>
          </w:p>
        </w:tc>
        <w:tc>
          <w:tcPr>
            <w:tcW w:w="2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28,151</w:t>
            </w:r>
          </w:p>
        </w:tc>
        <w:tc>
          <w:tcPr>
            <w:tcW w:w="2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18,487</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14,012</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8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research and development expenses</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50"/>
              <w:spacing w:after="0" w:line="170"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144,687</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81,131</w:t>
            </w:r>
          </w:p>
        </w:tc>
        <w:tc>
          <w:tcPr>
            <w:tcW w:w="1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80"/>
              <w:spacing w:after="0" w:line="170"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48,588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8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648"/>
        <w:spacing w:after="0" w:line="182" w:lineRule="exact"/>
        <w:rPr>
          <w:sz w:val="20"/>
          <w:szCs w:val="20"/>
          <w:color w:val="auto"/>
        </w:rPr>
      </w:pPr>
      <w:r>
        <w:rPr>
          <w:rFonts w:ascii="Arial" w:cs="Arial" w:eastAsia="Arial" w:hAnsi="Arial"/>
          <w:sz w:val="16"/>
          <w:szCs w:val="16"/>
          <w:color w:val="auto"/>
        </w:rPr>
        <w:t>We expect that our research and development expenses will increase in future periods as we expand our operations and incur additional costs in connection with our clinical trials. These increases will likely include the costs related to the implementation and expansion of clinical trial sites and related patient enrollment, monitoring, program management and drug product and drug substance manufacturing expenses. In addition, we expect that our research and development expenses will increase in future periods as we incur additional costs in connection with research and development activities under our collaboration with Roche and development activities for companion diagnostic tests, including our companion diagnostic tests for avapritinib in order to identify GIST patients with the PDGFRα D842V mutation, BLU</w:t>
      </w:r>
      <w:r>
        <w:rPr>
          <w:rFonts w:ascii="MS PGothic" w:cs="MS PGothic" w:eastAsia="MS PGothic" w:hAnsi="MS PGothic"/>
          <w:sz w:val="16"/>
          <w:szCs w:val="16"/>
          <w:color w:val="auto"/>
        </w:rPr>
        <w:t>‑</w:t>
      </w:r>
      <w:r>
        <w:rPr>
          <w:rFonts w:ascii="Arial" w:cs="Arial" w:eastAsia="Arial" w:hAnsi="Arial"/>
          <w:sz w:val="16"/>
          <w:szCs w:val="16"/>
          <w:color w:val="auto"/>
        </w:rPr>
        <w:t>554 in order to identify HCC patients with FGFR4 pathway activation and BLU-667 in order to identify NSCLC patients with RET fusions.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5" w:lineRule="exact"/>
        <w:rPr>
          <w:sz w:val="20"/>
          <w:szCs w:val="20"/>
          <w:color w:val="auto"/>
        </w:rPr>
      </w:pPr>
    </w:p>
    <w:p>
      <w:pPr>
        <w:ind w:right="40" w:firstLine="648"/>
        <w:spacing w:after="0" w:line="185" w:lineRule="exact"/>
        <w:rPr>
          <w:sz w:val="20"/>
          <w:szCs w:val="20"/>
          <w:color w:val="auto"/>
        </w:rPr>
      </w:pPr>
      <w:r>
        <w:rPr>
          <w:rFonts w:ascii="Arial" w:cs="Arial" w:eastAsia="Arial" w:hAnsi="Arial"/>
          <w:sz w:val="17"/>
          <w:szCs w:val="17"/>
          <w:color w:val="auto"/>
        </w:rPr>
        <w:t>General and administrative expenses consist primarily of salaries and other related costs, including stock</w:t>
      </w:r>
      <w:r>
        <w:rPr>
          <w:rFonts w:ascii="MS PGothic" w:cs="MS PGothic" w:eastAsia="MS PGothic" w:hAnsi="MS PGothic"/>
          <w:sz w:val="17"/>
          <w:szCs w:val="17"/>
          <w:color w:val="auto"/>
        </w:rPr>
        <w:t>‑</w:t>
      </w:r>
      <w:r>
        <w:rPr>
          <w:rFonts w:ascii="Arial" w:cs="Arial" w:eastAsia="Arial" w:hAnsi="Arial"/>
          <w:sz w:val="17"/>
          <w:szCs w:val="17"/>
          <w:color w:val="auto"/>
        </w:rPr>
        <w:t>based compensation, for personnel in executive, finance, accounting, commercial, business development, legal and human resources functions. Prior to 2017, stock</w:t>
      </w:r>
      <w:r>
        <w:rPr>
          <w:rFonts w:ascii="MS PGothic" w:cs="MS PGothic" w:eastAsia="MS PGothic" w:hAnsi="MS PGothic"/>
          <w:sz w:val="17"/>
          <w:szCs w:val="17"/>
          <w:color w:val="auto"/>
        </w:rPr>
        <w:t>‑</w:t>
      </w:r>
      <w:r>
        <w:rPr>
          <w:rFonts w:ascii="Arial" w:cs="Arial" w:eastAsia="Arial" w:hAnsi="Arial"/>
          <w:sz w:val="17"/>
          <w:szCs w:val="17"/>
          <w:color w:val="auto"/>
        </w:rPr>
        <w:t>based compensation included expense associated with stock</w:t>
      </w:r>
      <w:r>
        <w:rPr>
          <w:rFonts w:ascii="MS PGothic" w:cs="MS PGothic" w:eastAsia="MS PGothic" w:hAnsi="MS PGothic"/>
          <w:sz w:val="17"/>
          <w:szCs w:val="17"/>
          <w:color w:val="auto"/>
        </w:rPr>
        <w:t>‑</w:t>
      </w:r>
      <w:r>
        <w:rPr>
          <w:rFonts w:ascii="Arial" w:cs="Arial" w:eastAsia="Arial" w:hAnsi="Arial"/>
          <w:sz w:val="17"/>
          <w:szCs w:val="17"/>
          <w:color w:val="auto"/>
        </w:rPr>
        <w:t>based awards issued to non</w:t>
      </w:r>
      <w:r>
        <w:rPr>
          <w:rFonts w:ascii="MS PGothic" w:cs="MS PGothic" w:eastAsia="MS PGothic" w:hAnsi="MS PGothic"/>
          <w:sz w:val="17"/>
          <w:szCs w:val="17"/>
          <w:color w:val="auto"/>
        </w:rPr>
        <w:t>‑</w:t>
      </w:r>
      <w:r>
        <w:rPr>
          <w:rFonts w:ascii="Arial" w:cs="Arial" w:eastAsia="Arial" w:hAnsi="Arial"/>
          <w:sz w:val="17"/>
          <w:szCs w:val="17"/>
          <w:color w:val="auto"/>
        </w:rPr>
        <w:t>employees, including directors for non</w:t>
      </w:r>
      <w:r>
        <w:rPr>
          <w:rFonts w:ascii="MS PGothic" w:cs="MS PGothic" w:eastAsia="MS PGothic" w:hAnsi="MS PGothic"/>
          <w:sz w:val="17"/>
          <w:szCs w:val="17"/>
          <w:color w:val="auto"/>
        </w:rPr>
        <w:t>‑</w:t>
      </w:r>
      <w:r>
        <w:rPr>
          <w:rFonts w:ascii="Arial" w:cs="Arial" w:eastAsia="Arial" w:hAnsi="Arial"/>
          <w:sz w:val="17"/>
          <w:szCs w:val="17"/>
          <w:color w:val="auto"/>
        </w:rPr>
        <w:t>board related services. Other significant costs include facility costs not otherwise included in research and development expenses, pre-commercial development activities, legal fees relating to patent and corporate matters and fees for accounting and consulting services.</w:t>
      </w:r>
    </w:p>
    <w:p>
      <w:pPr>
        <w:spacing w:after="0" w:line="165" w:lineRule="exact"/>
        <w:rPr>
          <w:sz w:val="20"/>
          <w:szCs w:val="20"/>
          <w:color w:val="auto"/>
        </w:rPr>
      </w:pPr>
    </w:p>
    <w:p>
      <w:pPr>
        <w:ind w:right="60" w:firstLine="648"/>
        <w:spacing w:after="0" w:line="244" w:lineRule="auto"/>
        <w:rPr>
          <w:sz w:val="20"/>
          <w:szCs w:val="20"/>
          <w:color w:val="auto"/>
        </w:rPr>
      </w:pPr>
      <w:r>
        <w:rPr>
          <w:rFonts w:ascii="Arial" w:cs="Arial" w:eastAsia="Arial" w:hAnsi="Arial"/>
          <w:sz w:val="16"/>
          <w:szCs w:val="16"/>
          <w:color w:val="auto"/>
        </w:rPr>
        <w:t>We expect that our general and administrative expenses will increase in the future to support continued research and development activities, including as we continue our existing clinical trials and initiate additional clinical trials, as well as pre-commercial development activities. These increases will likely include increased costs related to the hiring of additional personnel, legal, auditing and filing fees and general compliance and consulting expenses, among other expenses. We have incurred and will continue to incur additional costs associated with operating as a public company.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Other income (expense), net consists primarily of income earned on cash equivalents and investments and the</w:t>
      </w:r>
    </w:p>
    <w:p>
      <w:pPr>
        <w:spacing w:after="0" w:line="176" w:lineRule="exact"/>
        <w:rPr>
          <w:sz w:val="20"/>
          <w:szCs w:val="20"/>
          <w:color w:val="auto"/>
        </w:rPr>
      </w:pPr>
      <w:r>
        <w:rPr>
          <w:rFonts w:ascii="Arial" w:cs="Arial" w:eastAsia="Arial" w:hAnsi="Arial"/>
          <w:sz w:val="16"/>
          <w:szCs w:val="16"/>
          <w:color w:val="auto"/>
        </w:rPr>
        <w:t>re</w:t>
      </w:r>
      <w:r>
        <w:rPr>
          <w:rFonts w:ascii="MS PGothic" w:cs="MS PGothic" w:eastAsia="MS PGothic" w:hAnsi="MS PGothic"/>
          <w:sz w:val="16"/>
          <w:szCs w:val="16"/>
          <w:color w:val="auto"/>
        </w:rPr>
        <w:t>‑</w:t>
      </w:r>
      <w:r>
        <w:rPr>
          <w:rFonts w:ascii="Arial" w:cs="Arial" w:eastAsia="Arial" w:hAnsi="Arial"/>
          <w:sz w:val="16"/>
          <w:szCs w:val="16"/>
          <w:color w:val="auto"/>
        </w:rPr>
        <w:t>measurement gain or loss associated with the change in the fair value of the convertible preferred stock warrant liability in</w:t>
      </w:r>
    </w:p>
    <w:p>
      <w:pPr>
        <w:spacing w:after="0"/>
        <w:rPr>
          <w:sz w:val="20"/>
          <w:szCs w:val="20"/>
          <w:color w:val="auto"/>
        </w:rPr>
      </w:pPr>
      <w:r>
        <w:rPr>
          <w:rFonts w:ascii="Arial" w:cs="Arial" w:eastAsia="Arial" w:hAnsi="Arial"/>
          <w:sz w:val="18"/>
          <w:szCs w:val="18"/>
          <w:color w:val="auto"/>
        </w:rPr>
        <w:t>periods prior to our IPO.</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ind w:right="100" w:firstLine="648"/>
        <w:spacing w:after="0" w:line="235" w:lineRule="auto"/>
        <w:rPr>
          <w:sz w:val="20"/>
          <w:szCs w:val="20"/>
          <w:color w:val="auto"/>
        </w:rPr>
      </w:pPr>
      <w:r>
        <w:rPr>
          <w:rFonts w:ascii="Arial" w:cs="Arial" w:eastAsia="Arial" w:hAnsi="Arial"/>
          <w:sz w:val="18"/>
          <w:szCs w:val="18"/>
          <w:color w:val="auto"/>
        </w:rPr>
        <w:t>Interest expense consists primarily of interest expense on amounts outstanding under a loan and security agreement that we entered into with Silicon Valley Bank in May 2013 and amortization of debt discount.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85"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judgments and estimates that affect the reported amounts of assets, liabilities, revenues, and expenses and the disclosure of contingent assets and liabilities in our consolidated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62"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Our critical accounting policies are those policies that require the most significant judgments and estimates in the preparation of our financial statements. Management has determined that our most critical accounting policies are those relating to available-for-sale investments, revenue recognition, accrued research and development expenses and stock-based compensation.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Available-for-Sale Investments</w:t>
      </w:r>
    </w:p>
    <w:p>
      <w:pPr>
        <w:spacing w:after="0" w:line="185" w:lineRule="exact"/>
        <w:rPr>
          <w:sz w:val="20"/>
          <w:szCs w:val="20"/>
          <w:color w:val="auto"/>
        </w:rPr>
      </w:pPr>
    </w:p>
    <w:p>
      <w:pPr>
        <w:ind w:right="20" w:firstLine="648"/>
        <w:spacing w:after="0" w:line="222" w:lineRule="auto"/>
        <w:rPr>
          <w:sz w:val="20"/>
          <w:szCs w:val="20"/>
          <w:color w:val="auto"/>
        </w:rPr>
      </w:pPr>
      <w:r>
        <w:rPr>
          <w:rFonts w:ascii="Arial" w:cs="Arial" w:eastAsia="Arial" w:hAnsi="Arial"/>
          <w:sz w:val="17"/>
          <w:szCs w:val="17"/>
          <w:color w:val="auto"/>
        </w:rPr>
        <w:t>We classify marketable securities with a remaining maturity when purchased of greater than three months as available-for-sale. Marketable securities with a remaining maturity date greater than one year are classified as non-current. Available-for-sale securities are maintained by an investment manager and may consist of U.S. Treasury securities and U.S. government agency securities. Available-for-sale securities are carried at fair value with the unrealized gains and losses included in other comprehensive income (loss) as a component of stockholders’ equity until realized. Any premium or discount arising at purchase is amortized and/or accreted to interest income and/or expense over the life of the instrument. Realized gains and losses are determined using the specific identification method and are included in other income (expense). If any adjustment to fair value reflects a decline in value of the investment, we consider all available evidence to evaluate the extent to which the decline is “other-than-temporary” and, if so, mark the investment to market through a charge to our statement of operations and comprehensive loss.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85" w:lineRule="exact"/>
        <w:rPr>
          <w:sz w:val="20"/>
          <w:szCs w:val="20"/>
          <w:color w:val="auto"/>
        </w:rPr>
      </w:pPr>
    </w:p>
    <w:p>
      <w:pPr>
        <w:ind w:right="460" w:firstLine="648"/>
        <w:spacing w:after="0" w:line="224" w:lineRule="auto"/>
        <w:rPr>
          <w:sz w:val="20"/>
          <w:szCs w:val="20"/>
          <w:color w:val="auto"/>
        </w:rPr>
      </w:pPr>
      <w:r>
        <w:rPr>
          <w:rFonts w:ascii="Arial" w:cs="Arial" w:eastAsia="Arial" w:hAnsi="Arial"/>
          <w:sz w:val="18"/>
          <w:szCs w:val="18"/>
          <w:color w:val="auto"/>
        </w:rPr>
        <w:t xml:space="preserve">We recognize revenue from license and collaboration agreements in accordance with Financial Accounting Standards Board, or FASB, Accounting Standards Codification, or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or ASC 605. Accordingly, revenue is recognized when all of the following criteria are met:</w:t>
      </w:r>
    </w:p>
    <w:p>
      <w:pPr>
        <w:spacing w:after="0" w:line="163" w:lineRule="exact"/>
        <w:rPr>
          <w:sz w:val="20"/>
          <w:szCs w:val="20"/>
          <w:color w:val="auto"/>
        </w:rPr>
      </w:pPr>
    </w:p>
    <w:p>
      <w:pPr>
        <w:ind w:left="1300" w:hanging="325"/>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185" w:lineRule="exact"/>
        <w:rPr>
          <w:sz w:val="20"/>
          <w:szCs w:val="20"/>
          <w:color w:val="auto"/>
        </w:rPr>
      </w:pPr>
    </w:p>
    <w:p>
      <w:pPr>
        <w:ind w:right="340" w:firstLine="648"/>
        <w:spacing w:after="0" w:line="232" w:lineRule="auto"/>
        <w:rPr>
          <w:sz w:val="20"/>
          <w:szCs w:val="20"/>
          <w:color w:val="auto"/>
        </w:rPr>
      </w:pPr>
      <w:r>
        <w:rPr>
          <w:rFonts w:ascii="Arial" w:cs="Arial" w:eastAsia="Arial" w:hAnsi="Arial"/>
          <w:sz w:val="17"/>
          <w:szCs w:val="17"/>
          <w:color w:val="auto"/>
        </w:rPr>
        <w:t>Amounts received prior to satisfying the revenue recognition criteria are recognized as deferred revenue in our balance sheets. Amounts expected to be recognized as revenue within the 12 months following the balance sheet date are classified as deferred revenue, current portion. Amounts not expected to be recognized as revenue within the 12 months following the balance sheet date are classified as deferred revenue, net of current portion.</w:t>
      </w:r>
    </w:p>
    <w:p>
      <w:pPr>
        <w:spacing w:after="0" w:line="163"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Our revenue is currently generated through our existing collaboration with Roche. For periods prior to January 1, 2018, our revenue was generated through our former collaboration with Alexion and our existing collaboration with Roche. During the year ended December 31, 2017, we recognized revenue under our former collaboration with Alexion of $16.2 million, which represents $9.5 million of reimbursable research and development costs, as well as a portion of the $15.0 million upfront payment and a $1.8 million non-substantive milestone payment previously received. During the year ended December 31, 2017, we received $12.7 million related to reimbursable research and development costs under our former collaboration with Alexion. During the year ended December 31, 2017, we recognized revenue under the Roche collaboration of $5.2 million, which represents a portion of a $45.0 million upfront payment.</w:t>
      </w:r>
    </w:p>
    <w:p>
      <w:pPr>
        <w:spacing w:after="0" w:line="168" w:lineRule="exact"/>
        <w:rPr>
          <w:sz w:val="20"/>
          <w:szCs w:val="20"/>
          <w:color w:val="auto"/>
        </w:rPr>
      </w:pPr>
    </w:p>
    <w:p>
      <w:pPr>
        <w:ind w:right="60" w:firstLine="648"/>
        <w:spacing w:after="0" w:line="236" w:lineRule="auto"/>
        <w:rPr>
          <w:sz w:val="20"/>
          <w:szCs w:val="20"/>
          <w:color w:val="auto"/>
        </w:rPr>
      </w:pPr>
      <w:r>
        <w:rPr>
          <w:rFonts w:ascii="Arial" w:cs="Arial" w:eastAsia="Arial" w:hAnsi="Arial"/>
          <w:sz w:val="16"/>
          <w:szCs w:val="16"/>
          <w:color w:val="auto"/>
        </w:rPr>
        <w:t>Our collaboration agreement with Roche contains multiple elements, or deliverables, including an exclusive license granted by us to Roche to research, develop, manufacture and commercialize the licensed products and the compounds in the field in the territory, as well as research and development activities to be performed by us on behalf of Roche related to the licensed product candidates. In addition, the terms of the Roche agreements includes payments to us of one or more of the following: a nonrefundable, upfront payment; contingent milestone payments related to specified pre-clinical milestones, development milestones and sales-based commercial milestones; fees for research and development services rendered; and royalties on commercial sales of licensed product candidates, if any. To date, we have received the upfront payment upon execution of the Roche agreement. We are eligible to earn additional milestone payments under the Roche collaboration. We have not earned royalty revenue as a result of product sales under the Roche collaboration.</w:t>
      </w:r>
    </w:p>
    <w:p>
      <w:pPr>
        <w:spacing w:after="0" w:line="168" w:lineRule="exact"/>
        <w:rPr>
          <w:sz w:val="20"/>
          <w:szCs w:val="20"/>
          <w:color w:val="auto"/>
        </w:rPr>
      </w:pPr>
    </w:p>
    <w:p>
      <w:pPr>
        <w:ind w:right="100" w:firstLine="648"/>
        <w:spacing w:after="0" w:line="226" w:lineRule="auto"/>
        <w:rPr>
          <w:sz w:val="20"/>
          <w:szCs w:val="20"/>
          <w:color w:val="auto"/>
        </w:rPr>
      </w:pPr>
      <w:r>
        <w:rPr>
          <w:rFonts w:ascii="Arial" w:cs="Arial" w:eastAsia="Arial" w:hAnsi="Arial"/>
          <w:sz w:val="17"/>
          <w:szCs w:val="17"/>
          <w:color w:val="auto"/>
        </w:rPr>
        <w:t>Our collaboration agreement with Alexion, which terminated effective October 2017, also contained multiple deliverables. Under the former Alexion collaboration, we received an upfront payment upon execution of the Alexion collaboration agreement and payments for the achievement of certain pre-clinical milestones and research and development services. We did not earn royalty revenue as a result of product sales under the former Alexion collaboration agreement, and as a result of the termination of the Alexion collaboration, we will not be entitled to receive payment from Alexion for any additional milestones or research and development expenses.</w:t>
      </w:r>
    </w:p>
    <w:p>
      <w:pPr>
        <w:spacing w:after="0" w:line="165" w:lineRule="exact"/>
        <w:rPr>
          <w:sz w:val="20"/>
          <w:szCs w:val="20"/>
          <w:color w:val="auto"/>
        </w:rPr>
      </w:pPr>
    </w:p>
    <w:p>
      <w:pPr>
        <w:ind w:right="20" w:firstLine="648"/>
        <w:spacing w:after="0" w:line="235" w:lineRule="auto"/>
        <w:rPr>
          <w:sz w:val="20"/>
          <w:szCs w:val="20"/>
          <w:color w:val="auto"/>
        </w:rPr>
      </w:pPr>
      <w:r>
        <w:rPr>
          <w:rFonts w:ascii="Arial" w:cs="Arial" w:eastAsia="Arial" w:hAnsi="Arial"/>
          <w:sz w:val="16"/>
          <w:szCs w:val="16"/>
          <w:color w:val="auto"/>
        </w:rPr>
        <w:t>When evaluating multiple element arrangements, we consider whether the deliverables under the arrangement represent separate units of accounting. This evaluation requires subjective determinations and requires management to make judgments about the individual deliverables and whether such deliverables are separable from the other aspects of the contractual relationship. In determining the units of accounting, management evaluates certain criteria, including whether the deliverables have standalone value, based on the consideration of the relevant facts and circumstances for each arrangement. The consideration received is allocated among the separate units of accounting using the relative selling price method, and the applicable revenue recognition criteria are applied to each of the separate units. Deliverables are considered separate units of accounting provided that: (i) the delivered item(s) has value to the customer on a stand-alone basis, and (ii) if the arrangement includes a general right of return relative to the delivered item(s), delivery or performance of the undelivered item(s) is considered probable and substantially in our control. In assessing whether an item has stand-alone value, we consider factors such as the research, manufacturing and commercialization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3" w:name="page94"/>
    <w:bookmarkEnd w:id="9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capabilities of the collaboration partner and the availability of the associated expertise in the general marketplace. In addition, we consider whether the collaboration partner can use the other deliverable(s) for their intended purpose without the receipt of the remaining element(s), whether the value of the deliverable is dependent on the undelivered item(s) and whether there are other vendors that can provide the undelivered element(s). Our collaboration agreement with Roche does not contain, and our terminated collaboration agreement with Alexion did not contain, a general right of return relative to the delivered item(s).</w:t>
      </w:r>
    </w:p>
    <w:p>
      <w:pPr>
        <w:spacing w:after="0" w:line="162"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Arrangement consideration that is fixed or determinable is allocated among the separate units of accounting using the relative selling price method. Then, the applicable revenue recognition criteria in ASC 605-25 are applied to each of the separate units of accounting in determining the appropriate period and pattern of recognition. We determine the selling price of a unit of accounting following the hierarchy of evidence prescribed by ASC 605-25. Accordingly, we determine the estimated selling price for units of accounting within each arrangement using vendor-specific objective evidence, or VSOE, of selling price, if available, third-party evidence, or TPE, of selling price if VSOE is not available, or best estimate of selling price, or BESP, if neither VSOE nor TPE is available. We typically use BESP to estimate the selling price, since it generally does not have VSOE or TPE of selling price for its units of accounting. Determining the BESP for a unit of accounting requires significant judgment. In developing the BESP for a unit of accounting, we consider applicable market conditions and relevant entity-specific factors, including factors that were contemplated in negotiating the agreement with the customer and estimated costs. We validate the BESP for units of accounting by evaluating whether changes in the key assumptions used to determine the BESP will have a significant effect on the allocation of arrangement consideration between multiple units of accounting.</w:t>
      </w:r>
    </w:p>
    <w:p>
      <w:pPr>
        <w:spacing w:after="0" w:line="169" w:lineRule="exact"/>
        <w:rPr>
          <w:sz w:val="20"/>
          <w:szCs w:val="20"/>
          <w:color w:val="auto"/>
        </w:rPr>
      </w:pPr>
    </w:p>
    <w:p>
      <w:pPr>
        <w:ind w:right="120" w:firstLine="648"/>
        <w:spacing w:after="0" w:line="236" w:lineRule="auto"/>
        <w:rPr>
          <w:sz w:val="20"/>
          <w:szCs w:val="20"/>
          <w:color w:val="auto"/>
        </w:rPr>
      </w:pPr>
      <w:r>
        <w:rPr>
          <w:rFonts w:ascii="Arial" w:cs="Arial" w:eastAsia="Arial" w:hAnsi="Arial"/>
          <w:sz w:val="16"/>
          <w:szCs w:val="16"/>
          <w:color w:val="auto"/>
        </w:rPr>
        <w:t>In the event that an element of a multiple element arrangement does not represent a separate unit of accounting, we recognize revenue from the combined element over the period over which we expect to fulfill its performance obligations or as undelivered items are delivered, as appropriate, if all of the other revenue recognition criteria in ASC 605-25 are met. If the pattern of performance in which the service is provided to the customer can be determined and objectively measurable performance measures exist, then we recognize revenue under the arrangement using the proportional performance method. If there is no discernible pattern of performance and/or objectively measurable performance measures do not exist, then we recognize revenue under the arrangement on a straight-line basis over the period we are expected to complete our performance obligations. Revenue recognized is limited to the lesser of the cumulative amount of payments received or the cumulative amount of revenue earned, as determined using the straight-line method or proportional performance method, as applicable, as of the period ending date.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multiple-element revenue arrangements may include the following:</w:t>
      </w:r>
    </w:p>
    <w:p>
      <w:pPr>
        <w:spacing w:after="0" w:line="185"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i w:val="1"/>
          <w:iCs w:val="1"/>
          <w:color w:val="auto"/>
        </w:rPr>
        <w:t xml:space="preserve">Exclusive Licenses. </w:t>
      </w:r>
      <w:r>
        <w:rPr>
          <w:rFonts w:ascii="Arial" w:cs="Arial" w:eastAsia="Arial" w:hAnsi="Arial"/>
          <w:sz w:val="16"/>
          <w:szCs w:val="16"/>
          <w:color w:val="auto"/>
        </w:rPr>
        <w:t>The deliverables under our collaboration agreements may include exclusive licenses to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develop, manufacture and commercialize licensed products. To account for this element of an arrangement, management evaluates whether an exclusive license has stand-alone value from the undelivered elements based on the consideration of the relevant facts and circumstances of the arrangement, including the research and development capabilities of the collaboration partner. We may recognize the arrangement consideration allocated to licenses upon delivery of the license if facts and circumstances indicate that the license has stand-alone value from the undelivered elements, which generally include research and development services. We defer arrangement consideration allocated to licenses if facts and circumstances indicate that the delivered license does not have stand-alone value from the undelivered elements.</w:t>
      </w:r>
    </w:p>
    <w:p>
      <w:pPr>
        <w:spacing w:after="0" w:line="167" w:lineRule="exact"/>
        <w:rPr>
          <w:sz w:val="20"/>
          <w:szCs w:val="20"/>
          <w:color w:val="auto"/>
        </w:rPr>
      </w:pPr>
    </w:p>
    <w:p>
      <w:pPr>
        <w:ind w:right="80" w:firstLine="648"/>
        <w:spacing w:after="0" w:line="239" w:lineRule="auto"/>
        <w:rPr>
          <w:sz w:val="20"/>
          <w:szCs w:val="20"/>
          <w:color w:val="auto"/>
        </w:rPr>
      </w:pPr>
      <w:r>
        <w:rPr>
          <w:rFonts w:ascii="Arial" w:cs="Arial" w:eastAsia="Arial" w:hAnsi="Arial"/>
          <w:sz w:val="16"/>
          <w:szCs w:val="16"/>
          <w:color w:val="auto"/>
        </w:rPr>
        <w:t>When management believes a license does not have stand-alone value from the other deliverables to be provided in the arrangement, we recognize revenue attributed to the license on a proportional basis over our contractual or estimated performance period, which is typically the term of our research and development obligations. If management cannot reasonably estimate when our performance obligation ends, then revenue is deferred until management can reasonably estimate when the performance obligation ends. The periods over which revenue should be recognized are subject to estimates by management and may change over the course of the research and development and licensing agreement. Such a change could have a material impact on the amount of revenue we record in future periods.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4" w:name="page95"/>
    <w:bookmarkEnd w:id="9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i w:val="1"/>
          <w:iCs w:val="1"/>
          <w:color w:val="auto"/>
        </w:rPr>
        <w:t xml:space="preserve">Research and Development Services. </w:t>
      </w:r>
      <w:r>
        <w:rPr>
          <w:rFonts w:ascii="Arial" w:cs="Arial" w:eastAsia="Arial" w:hAnsi="Arial"/>
          <w:sz w:val="18"/>
          <w:szCs w:val="18"/>
          <w:color w:val="auto"/>
        </w:rPr>
        <w:t>The deliverables under our collaboration agreements may include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services to be performed by us on behalf of the partner. Payments or reimbursements resulting from our research and development efforts are recognized as the services are performed and presented on a gross basis because we are the principal for such efforts, so long as there is persuasive evidence of an arrangement, the fee is fixed or determinable, and collection of the related amount is reasonably assured.</w:t>
      </w:r>
    </w:p>
    <w:p>
      <w:pPr>
        <w:spacing w:after="0" w:line="162" w:lineRule="exact"/>
        <w:rPr>
          <w:sz w:val="20"/>
          <w:szCs w:val="20"/>
          <w:color w:val="auto"/>
        </w:rPr>
      </w:pPr>
    </w:p>
    <w:p>
      <w:pPr>
        <w:ind w:right="180" w:firstLine="648"/>
        <w:spacing w:after="0" w:line="235" w:lineRule="auto"/>
        <w:rPr>
          <w:sz w:val="20"/>
          <w:szCs w:val="20"/>
          <w:color w:val="auto"/>
        </w:rPr>
      </w:pPr>
      <w:r>
        <w:rPr>
          <w:rFonts w:ascii="Arial" w:cs="Arial" w:eastAsia="Arial" w:hAnsi="Arial"/>
          <w:sz w:val="18"/>
          <w:szCs w:val="18"/>
          <w:i w:val="1"/>
          <w:iCs w:val="1"/>
          <w:color w:val="auto"/>
        </w:rPr>
        <w:t xml:space="preserve">Milestone Revenue. </w:t>
      </w:r>
      <w:r>
        <w:rPr>
          <w:rFonts w:ascii="Arial" w:cs="Arial" w:eastAsia="Arial" w:hAnsi="Arial"/>
          <w:sz w:val="18"/>
          <w:szCs w:val="18"/>
          <w:color w:val="auto"/>
        </w:rPr>
        <w:t>Our collaboration agreements may include contingent milestone payments related to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pre-clinical milestones, development milestones and sales-based commercial milestones.</w:t>
      </w:r>
    </w:p>
    <w:p>
      <w:pPr>
        <w:spacing w:after="0" w:line="162" w:lineRule="exact"/>
        <w:rPr>
          <w:sz w:val="20"/>
          <w:szCs w:val="20"/>
          <w:color w:val="auto"/>
        </w:rPr>
      </w:pPr>
    </w:p>
    <w:p>
      <w:pPr>
        <w:ind w:right="460" w:firstLine="648"/>
        <w:spacing w:after="0" w:line="224" w:lineRule="auto"/>
        <w:rPr>
          <w:sz w:val="20"/>
          <w:szCs w:val="20"/>
          <w:color w:val="auto"/>
        </w:rPr>
      </w:pPr>
      <w:r>
        <w:rPr>
          <w:rFonts w:ascii="Arial" w:cs="Arial" w:eastAsia="Arial" w:hAnsi="Arial"/>
          <w:sz w:val="18"/>
          <w:szCs w:val="18"/>
          <w:color w:val="auto"/>
        </w:rPr>
        <w:t>At the inception of an arrangement that includes milestone payments, we evaluate whether each milestone is substantive and at risk to both parties on the basis of the contingent nature of the milestone. This evaluation includes an assessment of whether:</w:t>
      </w:r>
    </w:p>
    <w:p>
      <w:pPr>
        <w:spacing w:after="0" w:line="163" w:lineRule="exact"/>
        <w:rPr>
          <w:sz w:val="20"/>
          <w:szCs w:val="20"/>
          <w:color w:val="auto"/>
        </w:rPr>
      </w:pPr>
    </w:p>
    <w:p>
      <w:pPr>
        <w:ind w:left="1300" w:right="220" w:hanging="325"/>
        <w:spacing w:after="0" w:line="224"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consideration is commensurate with either our performance to achieve the milestone or the enhancement of the value of the delivered item(s) as a result of a specific outcome resulting from the our performance to achieve the milestone;</w:t>
      </w:r>
    </w:p>
    <w:p>
      <w:pPr>
        <w:spacing w:after="0" w:line="163" w:lineRule="exact"/>
        <w:rPr>
          <w:rFonts w:ascii="Arial" w:cs="Arial" w:eastAsia="Arial" w:hAnsi="Arial"/>
          <w:sz w:val="18"/>
          <w:szCs w:val="18"/>
          <w:color w:val="auto"/>
        </w:rPr>
      </w:pPr>
    </w:p>
    <w:p>
      <w:pPr>
        <w:ind w:left="1300" w:hanging="325"/>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consideration relates solely to past performance;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consideration is reasonable relative to all of the deliverables and payment terms within the arrangement.</w:t>
      </w:r>
    </w:p>
    <w:p>
      <w:pPr>
        <w:spacing w:after="0" w:line="208"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We evaluate factors such as the scientific, clinical, regulatory, commercial and other risks that must be overcome to achieve the respective milestone and the level of effort and investment required to achieve the respective milestone in making this assessment. There is considerable judgment involved in determining whether a milestone satisfies all of the criteria required to conclude that a milestone is substantive. Milestones that are not considered substantive are accounted for as license payments and recognized over the remaining period of performance from the date of achievement of the milestone. Milestones that are considered substantive will be recognized in their entirety upon successful accomplishment of the milestone, assuming all other revenue recognition criteria are met.</w:t>
      </w:r>
    </w:p>
    <w:p>
      <w:pPr>
        <w:spacing w:after="0" w:line="162" w:lineRule="exact"/>
        <w:rPr>
          <w:sz w:val="20"/>
          <w:szCs w:val="20"/>
          <w:color w:val="auto"/>
        </w:rPr>
      </w:pPr>
    </w:p>
    <w:p>
      <w:pPr>
        <w:ind w:right="200" w:firstLine="648"/>
        <w:spacing w:after="0" w:line="224" w:lineRule="auto"/>
        <w:rPr>
          <w:sz w:val="20"/>
          <w:szCs w:val="20"/>
          <w:color w:val="auto"/>
        </w:rPr>
      </w:pPr>
      <w:r>
        <w:rPr>
          <w:rFonts w:ascii="Arial" w:cs="Arial" w:eastAsia="Arial" w:hAnsi="Arial"/>
          <w:sz w:val="18"/>
          <w:szCs w:val="18"/>
          <w:i w:val="1"/>
          <w:iCs w:val="1"/>
          <w:color w:val="auto"/>
        </w:rPr>
        <w:t xml:space="preserve">Royalty Revenue. </w:t>
      </w:r>
      <w:r>
        <w:rPr>
          <w:rFonts w:ascii="Arial" w:cs="Arial" w:eastAsia="Arial" w:hAnsi="Arial"/>
          <w:sz w:val="18"/>
          <w:szCs w:val="18"/>
          <w:color w:val="auto"/>
        </w:rPr>
        <w:t>We will recognize royalty revenue in the period of sale of the related product(s),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underlying contract terms, provided that the reported sales are reliably measurable, and we have no remaining performance obligations, assuming all other revenue recognition criteria are met.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Research and Development Expenses</w:t>
      </w:r>
    </w:p>
    <w:p>
      <w:pPr>
        <w:spacing w:after="0" w:line="185"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68"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95" w:name="page96"/>
    <w:bookmarkEnd w:id="9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0" w:firstLine="648"/>
        <w:spacing w:after="0" w:line="232" w:lineRule="auto"/>
        <w:rPr>
          <w:sz w:val="20"/>
          <w:szCs w:val="20"/>
          <w:color w:val="auto"/>
        </w:rPr>
      </w:pPr>
      <w:r>
        <w:rPr>
          <w:rFonts w:ascii="Arial" w:cs="Arial" w:eastAsia="Arial" w:hAnsi="Arial"/>
          <w:sz w:val="17"/>
          <w:szCs w:val="17"/>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85" w:lineRule="exact"/>
        <w:rPr>
          <w:sz w:val="20"/>
          <w:szCs w:val="20"/>
          <w:color w:val="auto"/>
        </w:rPr>
      </w:pPr>
    </w:p>
    <w:p>
      <w:pPr>
        <w:jc w:val="both"/>
        <w:ind w:right="60" w:firstLine="648"/>
        <w:spacing w:after="0" w:line="234" w:lineRule="auto"/>
        <w:rPr>
          <w:sz w:val="20"/>
          <w:szCs w:val="20"/>
          <w:color w:val="auto"/>
        </w:rPr>
      </w:pPr>
      <w:r>
        <w:rPr>
          <w:rFonts w:ascii="Arial" w:cs="Arial" w:eastAsia="Arial" w:hAnsi="Arial"/>
          <w:sz w:val="16"/>
          <w:szCs w:val="16"/>
          <w:color w:val="auto"/>
        </w:rPr>
        <w:t xml:space="preserve">We expense the fair value of employee stock awards over the requisite service period, which is typically the vesting period. Prior to 2017, expense was recognized net of estimated forfeitures and adjusted to reflect actual forfeitures. Effective January 1, 2017, upon adoption of ASU No. 2016-09,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under the modified retrospective approach, we began recognizing gross stock compensation expense with actual forfeitures recognized as they occur.</w:t>
      </w:r>
    </w:p>
    <w:p>
      <w:pPr>
        <w:spacing w:after="0" w:line="1" w:lineRule="exact"/>
        <w:rPr>
          <w:sz w:val="20"/>
          <w:szCs w:val="20"/>
          <w:color w:val="auto"/>
        </w:rPr>
      </w:pPr>
    </w:p>
    <w:p>
      <w:pPr>
        <w:ind w:right="240"/>
        <w:spacing w:after="0" w:line="185" w:lineRule="exact"/>
        <w:rPr>
          <w:sz w:val="20"/>
          <w:szCs w:val="20"/>
          <w:color w:val="auto"/>
        </w:rPr>
      </w:pPr>
      <w:r>
        <w:rPr>
          <w:rFonts w:ascii="Arial" w:cs="Arial" w:eastAsia="Arial" w:hAnsi="Arial"/>
          <w:sz w:val="18"/>
          <w:szCs w:val="18"/>
          <w:color w:val="auto"/>
        </w:rPr>
        <w:t>Compensation cost for restricted stock awards issued to employees is measured using the grant date intrinsic value of the award and is adjusted to reflect actual forfeitures. We estimate the fair value of options granted to employees at the date of grant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w:t>
      </w:r>
      <w:r>
        <w:rPr>
          <w:rFonts w:ascii="MS PGothic" w:cs="MS PGothic" w:eastAsia="MS PGothic" w:hAnsi="MS PGothic"/>
          <w:sz w:val="18"/>
          <w:szCs w:val="18"/>
          <w:color w:val="auto"/>
        </w:rPr>
        <w:t>‑</w:t>
      </w:r>
      <w:r>
        <w:rPr>
          <w:rFonts w:ascii="Arial" w:cs="Arial" w:eastAsia="Arial" w:hAnsi="Arial"/>
          <w:sz w:val="18"/>
          <w:szCs w:val="18"/>
          <w:color w:val="auto"/>
        </w:rPr>
        <w:t>pricing model that requires management to apply judgment and make estimates, including:</w:t>
      </w:r>
    </w:p>
    <w:p>
      <w:pPr>
        <w:spacing w:after="0" w:line="164" w:lineRule="exact"/>
        <w:rPr>
          <w:sz w:val="20"/>
          <w:szCs w:val="20"/>
          <w:color w:val="auto"/>
        </w:rPr>
      </w:pPr>
    </w:p>
    <w:p>
      <w:pPr>
        <w:ind w:left="1300" w:right="100" w:hanging="325"/>
        <w:spacing w:after="0" w:line="237" w:lineRule="auto"/>
        <w:tabs>
          <w:tab w:leader="none" w:pos="13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expected volatility, which is calculated based on reported volatility data for a representative group of publicly traded companies for which historical information is available. Prior to April 30, 2015, we were a privately-held company and lacked company-specific historical and implied volatility information. As such, we have used an average of expected volatility based on the volatilities of a representative group of publicly traded biopharmaceutical companies for a period equal to the expected term of the option grant. Beginning in the fourth quarter of 2015, we began to include our own volatility into the average calculation. We intend to consistently apply this process using representative companies until a sufficient amount of historical information regarding the volatility of our own share price becomes available;</w:t>
      </w:r>
    </w:p>
    <w:p>
      <w:pPr>
        <w:spacing w:after="0" w:line="167" w:lineRule="exact"/>
        <w:rPr>
          <w:rFonts w:ascii="Arial" w:cs="Arial" w:eastAsia="Arial" w:hAnsi="Arial"/>
          <w:sz w:val="16"/>
          <w:szCs w:val="16"/>
          <w:color w:val="auto"/>
        </w:rPr>
      </w:pPr>
    </w:p>
    <w:p>
      <w:pPr>
        <w:ind w:left="1300" w:right="680" w:hanging="325"/>
        <w:spacing w:after="0" w:line="203" w:lineRule="exact"/>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interest rate, which is based on the U.S. Treasury yield curve in effect at the time of grant commensurate with the expected term assumption;</w:t>
      </w:r>
    </w:p>
    <w:p>
      <w:pPr>
        <w:spacing w:after="0" w:line="161" w:lineRule="exact"/>
        <w:rPr>
          <w:rFonts w:ascii="Arial" w:cs="Arial" w:eastAsia="Arial" w:hAnsi="Arial"/>
          <w:sz w:val="18"/>
          <w:szCs w:val="18"/>
          <w:color w:val="auto"/>
        </w:rPr>
      </w:pPr>
    </w:p>
    <w:p>
      <w:pPr>
        <w:ind w:left="1300" w:right="160" w:hanging="325"/>
        <w:spacing w:after="0" w:line="194" w:lineRule="exact"/>
        <w:tabs>
          <w:tab w:leader="none" w:pos="13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expected term, which we calculate using the simplified method, as prescribed by the Securities and Exchange Commission Staff Accounting Bulletin No. 107, </w:t>
      </w:r>
      <w:r>
        <w:rPr>
          <w:rFonts w:ascii="Arial" w:cs="Arial" w:eastAsia="Arial" w:hAnsi="Arial"/>
          <w:sz w:val="17"/>
          <w:szCs w:val="17"/>
          <w:i w:val="1"/>
          <w:iCs w:val="1"/>
          <w:color w:val="auto"/>
        </w:rPr>
        <w:t>Share</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Based Payment,</w:t>
      </w:r>
      <w:r>
        <w:rPr>
          <w:rFonts w:ascii="Arial" w:cs="Arial" w:eastAsia="Arial" w:hAnsi="Arial"/>
          <w:sz w:val="17"/>
          <w:szCs w:val="17"/>
          <w:color w:val="auto"/>
        </w:rPr>
        <w:t xml:space="preserve"> as we have insufficient historical information regarding our stock options to provide a basis for an estimate;</w:t>
      </w:r>
    </w:p>
    <w:p>
      <w:pPr>
        <w:spacing w:after="0" w:line="161" w:lineRule="exact"/>
        <w:rPr>
          <w:rFonts w:ascii="Arial" w:cs="Arial" w:eastAsia="Arial" w:hAnsi="Arial"/>
          <w:sz w:val="17"/>
          <w:szCs w:val="17"/>
          <w:color w:val="auto"/>
        </w:rPr>
      </w:pPr>
    </w:p>
    <w:p>
      <w:pPr>
        <w:ind w:left="1300" w:right="60" w:hanging="325"/>
        <w:spacing w:after="0" w:line="187" w:lineRule="exact"/>
        <w:tabs>
          <w:tab w:leader="none" w:pos="13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prior to becoming a public company, fair value estimates of the underlying shares of common stock, which were determined using the option</w:t>
      </w:r>
      <w:r>
        <w:rPr>
          <w:rFonts w:ascii="MS PGothic" w:cs="MS PGothic" w:eastAsia="MS PGothic" w:hAnsi="MS PGothic"/>
          <w:sz w:val="17"/>
          <w:szCs w:val="17"/>
          <w:color w:val="auto"/>
        </w:rPr>
        <w:t>‑</w:t>
      </w:r>
      <w:r>
        <w:rPr>
          <w:rFonts w:ascii="Arial" w:cs="Arial" w:eastAsia="Arial" w:hAnsi="Arial"/>
          <w:sz w:val="17"/>
          <w:szCs w:val="17"/>
          <w:color w:val="auto"/>
        </w:rPr>
        <w:t>pricing method, or OPM, or a hybrid of the probability</w:t>
      </w:r>
      <w:r>
        <w:rPr>
          <w:rFonts w:ascii="MS PGothic" w:cs="MS PGothic" w:eastAsia="MS PGothic" w:hAnsi="MS PGothic"/>
          <w:sz w:val="17"/>
          <w:szCs w:val="17"/>
          <w:color w:val="auto"/>
        </w:rPr>
        <w:t>‑</w:t>
      </w:r>
      <w:r>
        <w:rPr>
          <w:rFonts w:ascii="Arial" w:cs="Arial" w:eastAsia="Arial" w:hAnsi="Arial"/>
          <w:sz w:val="17"/>
          <w:szCs w:val="17"/>
          <w:color w:val="auto"/>
        </w:rPr>
        <w:t>weighted expected return method and the OPM and were approved by our board of directors. Upon becoming a public company, the fair value of the underlying shares of common stock equals the closing price of our stock on The Nasdaq Global Select Market on the date of grant; and</w:t>
      </w:r>
    </w:p>
    <w:p>
      <w:pPr>
        <w:spacing w:after="0" w:line="161" w:lineRule="exact"/>
        <w:rPr>
          <w:rFonts w:ascii="Arial" w:cs="Arial" w:eastAsia="Arial" w:hAnsi="Arial"/>
          <w:sz w:val="17"/>
          <w:szCs w:val="17"/>
          <w:color w:val="auto"/>
        </w:rPr>
      </w:pPr>
    </w:p>
    <w:p>
      <w:pPr>
        <w:ind w:left="1300" w:right="120" w:hanging="325"/>
        <w:spacing w:after="0" w:line="235"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dividend yield, which is zero based on the fact that we never paid cash dividends and do not expect to pay any cash dividends in the foreseeable future.</w:t>
      </w:r>
    </w:p>
    <w:p>
      <w:pPr>
        <w:spacing w:after="0" w:line="162" w:lineRule="exact"/>
        <w:rPr>
          <w:sz w:val="20"/>
          <w:szCs w:val="20"/>
          <w:color w:val="auto"/>
        </w:rPr>
      </w:pPr>
    </w:p>
    <w:p>
      <w:pPr>
        <w:ind w:right="680" w:firstLine="648"/>
        <w:spacing w:after="0" w:line="203" w:lineRule="exact"/>
        <w:rPr>
          <w:sz w:val="20"/>
          <w:szCs w:val="20"/>
          <w:color w:val="auto"/>
        </w:rPr>
      </w:pPr>
      <w:r>
        <w:rPr>
          <w:rFonts w:ascii="Arial" w:cs="Arial" w:eastAsia="Arial" w:hAnsi="Arial"/>
          <w:sz w:val="18"/>
          <w:szCs w:val="18"/>
          <w:color w:val="auto"/>
        </w:rPr>
        <w:t>We have computed the fair value of stock options at the date of grant using the following weighted</w:t>
      </w:r>
      <w:r>
        <w:rPr>
          <w:rFonts w:ascii="MS PGothic" w:cs="MS PGothic" w:eastAsia="MS PGothic" w:hAnsi="MS PGothic"/>
          <w:sz w:val="18"/>
          <w:szCs w:val="18"/>
          <w:color w:val="auto"/>
        </w:rPr>
        <w:t>‑</w:t>
      </w:r>
      <w:r>
        <w:rPr>
          <w:rFonts w:ascii="Arial" w:cs="Arial" w:eastAsia="Arial" w:hAnsi="Arial"/>
          <w:sz w:val="18"/>
          <w:szCs w:val="18"/>
          <w:color w:val="auto"/>
        </w:rPr>
        <w:t>average assumptions: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b w:val="1"/>
                <w:bCs w:val="1"/>
                <w:color w:val="auto"/>
              </w:rPr>
              <w:t>Year Ended</w:t>
            </w:r>
          </w:p>
        </w:tc>
        <w:tc>
          <w:tcPr>
            <w:tcW w:w="1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35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40" w:type="dxa"/>
            <w:vAlign w:val="bottom"/>
            <w:gridSpan w:val="2"/>
          </w:tcPr>
          <w:p>
            <w:pPr>
              <w:jc w:val="right"/>
              <w:ind w:right="190"/>
              <w:spacing w:after="0" w:line="129" w:lineRule="exact"/>
              <w:rPr>
                <w:sz w:val="20"/>
                <w:szCs w:val="20"/>
                <w:color w:val="auto"/>
              </w:rPr>
            </w:pPr>
            <w:r>
              <w:rPr>
                <w:rFonts w:ascii="Arial" w:cs="Arial" w:eastAsia="Arial" w:hAnsi="Arial"/>
                <w:sz w:val="14"/>
                <w:szCs w:val="14"/>
                <w:b w:val="1"/>
                <w:bCs w:val="1"/>
                <w:color w:val="auto"/>
                <w:w w:val="90"/>
              </w:rPr>
              <w:t>December 31, 2017</w:t>
            </w:r>
          </w:p>
        </w:tc>
        <w:tc>
          <w:tcPr>
            <w:tcW w:w="1360" w:type="dxa"/>
            <w:vAlign w:val="bottom"/>
            <w:gridSpan w:val="2"/>
          </w:tcPr>
          <w:p>
            <w:pPr>
              <w:jc w:val="right"/>
              <w:ind w:right="90"/>
              <w:spacing w:after="0" w:line="129" w:lineRule="exact"/>
              <w:rPr>
                <w:sz w:val="20"/>
                <w:szCs w:val="20"/>
                <w:color w:val="auto"/>
              </w:rPr>
            </w:pPr>
            <w:r>
              <w:rPr>
                <w:rFonts w:ascii="Arial" w:cs="Arial" w:eastAsia="Arial" w:hAnsi="Arial"/>
                <w:sz w:val="14"/>
                <w:szCs w:val="14"/>
                <w:b w:val="1"/>
                <w:bCs w:val="1"/>
                <w:color w:val="auto"/>
                <w:w w:val="91"/>
              </w:rPr>
              <w:t>December 31, 2016</w:t>
            </w:r>
          </w:p>
        </w:tc>
        <w:tc>
          <w:tcPr>
            <w:tcW w:w="12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1"/>
              </w:rPr>
              <w:t>December 31, 2015</w:t>
            </w:r>
          </w:p>
        </w:tc>
        <w:tc>
          <w:tcPr>
            <w:tcW w:w="160" w:type="dxa"/>
            <w:vAlign w:val="bottom"/>
          </w:tcPr>
          <w:p>
            <w:pPr>
              <w:spacing w:after="0"/>
              <w:rPr>
                <w:sz w:val="11"/>
                <w:szCs w:val="11"/>
                <w:color w:val="auto"/>
              </w:rPr>
            </w:pPr>
          </w:p>
        </w:tc>
      </w:tr>
      <w:tr>
        <w:trPr>
          <w:trHeight w:val="169"/>
        </w:trPr>
        <w:tc>
          <w:tcPr>
            <w:tcW w:w="354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Risk-free interest rate</w:t>
            </w:r>
          </w:p>
        </w:tc>
        <w:tc>
          <w:tcPr>
            <w:tcW w:w="136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2.07</w:t>
            </w:r>
          </w:p>
        </w:tc>
        <w:tc>
          <w:tcPr>
            <w:tcW w:w="240" w:type="dxa"/>
            <w:vAlign w:val="bottom"/>
            <w:tcBorders>
              <w:top w:val="single" w:sz="8" w:color="CCEEFF"/>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4"/>
              </w:rPr>
              <w:t>%</w:t>
            </w:r>
          </w:p>
        </w:tc>
        <w:tc>
          <w:tcPr>
            <w:tcW w:w="12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1.55</w:t>
            </w:r>
          </w:p>
        </w:tc>
        <w:tc>
          <w:tcPr>
            <w:tcW w:w="16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4"/>
              </w:rPr>
              <w:t>%</w:t>
            </w:r>
          </w:p>
        </w:tc>
        <w:tc>
          <w:tcPr>
            <w:tcW w:w="12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1.66</w:t>
            </w:r>
          </w:p>
        </w:tc>
        <w:tc>
          <w:tcPr>
            <w:tcW w:w="16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w:t>
            </w:r>
          </w:p>
        </w:tc>
      </w:tr>
      <w:tr>
        <w:trPr>
          <w:trHeight w:val="176"/>
        </w:trPr>
        <w:tc>
          <w:tcPr>
            <w:tcW w:w="3540" w:type="dxa"/>
            <w:vAlign w:val="bottom"/>
          </w:tcPr>
          <w:p>
            <w:pPr>
              <w:spacing w:after="0" w:line="176" w:lineRule="exact"/>
              <w:rPr>
                <w:sz w:val="20"/>
                <w:szCs w:val="20"/>
                <w:color w:val="auto"/>
              </w:rPr>
            </w:pPr>
            <w:r>
              <w:rPr>
                <w:rFonts w:ascii="Arial" w:cs="Arial" w:eastAsia="Arial" w:hAnsi="Arial"/>
                <w:sz w:val="18"/>
                <w:szCs w:val="18"/>
                <w:color w:val="auto"/>
              </w:rPr>
              <w:t>Expected dividend yield</w:t>
            </w:r>
          </w:p>
        </w:tc>
        <w:tc>
          <w:tcPr>
            <w:tcW w:w="1360" w:type="dxa"/>
            <w:vAlign w:val="bottom"/>
          </w:tcPr>
          <w:p>
            <w:pPr>
              <w:spacing w:after="0"/>
              <w:rPr>
                <w:sz w:val="15"/>
                <w:szCs w:val="15"/>
                <w:color w:val="auto"/>
              </w:rPr>
            </w:pPr>
          </w:p>
        </w:tc>
        <w:tc>
          <w:tcPr>
            <w:tcW w:w="1440" w:type="dxa"/>
            <w:vAlign w:val="bottom"/>
            <w:gridSpan w:val="2"/>
          </w:tcPr>
          <w:p>
            <w:pPr>
              <w:jc w:val="right"/>
              <w:ind w:right="10"/>
              <w:spacing w:after="0" w:line="176" w:lineRule="exact"/>
              <w:rPr>
                <w:sz w:val="20"/>
                <w:szCs w:val="20"/>
                <w:color w:val="auto"/>
              </w:rPr>
            </w:pPr>
            <w:r>
              <w:rPr>
                <w:rFonts w:ascii="Arial" w:cs="Arial" w:eastAsia="Arial" w:hAnsi="Arial"/>
                <w:sz w:val="18"/>
                <w:szCs w:val="18"/>
                <w:color w:val="auto"/>
              </w:rPr>
              <w:t>— %</w:t>
            </w:r>
          </w:p>
        </w:tc>
        <w:tc>
          <w:tcPr>
            <w:tcW w:w="13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 %</w:t>
            </w:r>
          </w:p>
        </w:tc>
        <w:tc>
          <w:tcPr>
            <w:tcW w:w="13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 %</w:t>
            </w:r>
          </w:p>
        </w:tc>
      </w:tr>
      <w:tr>
        <w:trPr>
          <w:trHeight w:val="176"/>
        </w:trPr>
        <w:tc>
          <w:tcPr>
            <w:tcW w:w="3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Expected term (years)</w:t>
            </w:r>
          </w:p>
        </w:tc>
        <w:tc>
          <w:tcPr>
            <w:tcW w:w="25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5"/>
                <w:szCs w:val="15"/>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2800" w:type="dxa"/>
            <w:vAlign w:val="bottom"/>
            <w:gridSpan w:val="3"/>
          </w:tcPr>
          <w:p>
            <w:pPr>
              <w:jc w:val="right"/>
              <w:ind w:right="10"/>
              <w:spacing w:after="0"/>
              <w:rPr>
                <w:sz w:val="20"/>
                <w:szCs w:val="20"/>
                <w:color w:val="auto"/>
              </w:rPr>
            </w:pPr>
            <w:r>
              <w:rPr>
                <w:rFonts w:ascii="Arial" w:cs="Arial" w:eastAsia="Arial" w:hAnsi="Arial"/>
                <w:sz w:val="18"/>
                <w:szCs w:val="18"/>
                <w:color w:val="auto"/>
              </w:rPr>
              <w:t>74.58 %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75.94 %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85.43 %</w:t>
            </w:r>
          </w:p>
        </w:tc>
      </w:tr>
    </w:tbl>
    <w:p>
      <w:pPr>
        <w:spacing w:after="0" w:line="133" w:lineRule="exact"/>
        <w:rPr>
          <w:sz w:val="20"/>
          <w:szCs w:val="20"/>
          <w:color w:val="auto"/>
        </w:rPr>
      </w:pPr>
    </w:p>
    <w:p>
      <w:pPr>
        <w:ind w:right="20" w:firstLine="648"/>
        <w:spacing w:after="0" w:line="189" w:lineRule="exact"/>
        <w:rPr>
          <w:sz w:val="20"/>
          <w:szCs w:val="20"/>
          <w:color w:val="auto"/>
        </w:rPr>
      </w:pPr>
      <w:r>
        <w:rPr>
          <w:rFonts w:ascii="Arial" w:cs="Arial" w:eastAsia="Arial" w:hAnsi="Arial"/>
          <w:sz w:val="16"/>
          <w:szCs w:val="16"/>
          <w:color w:val="auto"/>
        </w:rPr>
        <w:t>Stock</w:t>
      </w:r>
      <w:r>
        <w:rPr>
          <w:rFonts w:ascii="MS PGothic" w:cs="MS PGothic" w:eastAsia="MS PGothic" w:hAnsi="MS PGothic"/>
          <w:sz w:val="16"/>
          <w:szCs w:val="16"/>
          <w:color w:val="auto"/>
        </w:rPr>
        <w:t>‑</w:t>
      </w:r>
      <w:r>
        <w:rPr>
          <w:rFonts w:ascii="Arial" w:cs="Arial" w:eastAsia="Arial" w:hAnsi="Arial"/>
          <w:sz w:val="16"/>
          <w:szCs w:val="16"/>
          <w:color w:val="auto"/>
        </w:rPr>
        <w:t>based awards issued to non</w:t>
      </w:r>
      <w:r>
        <w:rPr>
          <w:rFonts w:ascii="MS PGothic" w:cs="MS PGothic" w:eastAsia="MS PGothic" w:hAnsi="MS PGothic"/>
          <w:sz w:val="16"/>
          <w:szCs w:val="16"/>
          <w:color w:val="auto"/>
        </w:rPr>
        <w:t>‑</w:t>
      </w:r>
      <w:r>
        <w:rPr>
          <w:rFonts w:ascii="Arial" w:cs="Arial" w:eastAsia="Arial" w:hAnsi="Arial"/>
          <w:sz w:val="16"/>
          <w:szCs w:val="16"/>
          <w:color w:val="auto"/>
        </w:rPr>
        <w:t>employees, including directors for non</w:t>
      </w:r>
      <w:r>
        <w:rPr>
          <w:rFonts w:ascii="MS PGothic" w:cs="MS PGothic" w:eastAsia="MS PGothic" w:hAnsi="MS PGothic"/>
          <w:sz w:val="16"/>
          <w:szCs w:val="16"/>
          <w:color w:val="auto"/>
        </w:rPr>
        <w:t>‑</w:t>
      </w:r>
      <w:r>
        <w:rPr>
          <w:rFonts w:ascii="Arial" w:cs="Arial" w:eastAsia="Arial" w:hAnsi="Arial"/>
          <w:sz w:val="16"/>
          <w:szCs w:val="16"/>
          <w:color w:val="auto"/>
        </w:rPr>
        <w:t>board related services, are accounted for based on the fair value of such services received or of the intrinsic value of equity instruments issued, whichever is more reliably measured. These stock</w:t>
      </w:r>
      <w:r>
        <w:rPr>
          <w:rFonts w:ascii="MS PGothic" w:cs="MS PGothic" w:eastAsia="MS PGothic" w:hAnsi="MS PGothic"/>
          <w:sz w:val="16"/>
          <w:szCs w:val="16"/>
          <w:color w:val="auto"/>
        </w:rPr>
        <w:t>‑</w:t>
      </w:r>
      <w:r>
        <w:rPr>
          <w:rFonts w:ascii="Arial" w:cs="Arial" w:eastAsia="Arial" w:hAnsi="Arial"/>
          <w:sz w:val="16"/>
          <w:szCs w:val="16"/>
          <w:color w:val="auto"/>
        </w:rPr>
        <w:t>based awards are revalued at each vesting date and period</w:t>
      </w:r>
      <w:r>
        <w:rPr>
          <w:rFonts w:ascii="MS PGothic" w:cs="MS PGothic" w:eastAsia="MS PGothic" w:hAnsi="MS PGothic"/>
          <w:sz w:val="16"/>
          <w:szCs w:val="16"/>
          <w:color w:val="auto"/>
        </w:rPr>
        <w:t>‑</w:t>
      </w:r>
      <w:r>
        <w:rPr>
          <w:rFonts w:ascii="Arial" w:cs="Arial" w:eastAsia="Arial" w:hAnsi="Arial"/>
          <w:sz w:val="16"/>
          <w:szCs w:val="16"/>
          <w:color w:val="auto"/>
        </w:rPr>
        <w:t>end. Stock</w:t>
      </w:r>
      <w:r>
        <w:rPr>
          <w:rFonts w:ascii="MS PGothic" w:cs="MS PGothic" w:eastAsia="MS PGothic" w:hAnsi="MS PGothic"/>
          <w:sz w:val="16"/>
          <w:szCs w:val="16"/>
          <w:color w:val="auto"/>
        </w:rPr>
        <w:t>‑</w:t>
      </w:r>
      <w:r>
        <w:rPr>
          <w:rFonts w:ascii="Arial" w:cs="Arial" w:eastAsia="Arial" w:hAnsi="Arial"/>
          <w:sz w:val="16"/>
          <w:szCs w:val="16"/>
          <w:color w:val="auto"/>
        </w:rPr>
        <w:t>based awards subject to service</w:t>
      </w:r>
      <w:r>
        <w:rPr>
          <w:rFonts w:ascii="MS PGothic" w:cs="MS PGothic" w:eastAsia="MS PGothic" w:hAnsi="MS PGothic"/>
          <w:sz w:val="16"/>
          <w:szCs w:val="16"/>
          <w:color w:val="auto"/>
        </w:rPr>
        <w:t>‑</w:t>
      </w:r>
      <w:r>
        <w:rPr>
          <w:rFonts w:ascii="Arial" w:cs="Arial" w:eastAsia="Arial" w:hAnsi="Arial"/>
          <w:sz w:val="16"/>
          <w:szCs w:val="16"/>
          <w:color w:val="auto"/>
        </w:rPr>
        <w:t>based vesting conditions are expensed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over the vesting period. In accordance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6" w:name="page97"/>
    <w:bookmarkEnd w:id="9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203" w:lineRule="exact"/>
        <w:rPr>
          <w:sz w:val="20"/>
          <w:szCs w:val="20"/>
          <w:color w:val="auto"/>
        </w:rPr>
      </w:pPr>
      <w:r>
        <w:rPr>
          <w:rFonts w:ascii="Arial" w:cs="Arial" w:eastAsia="Arial" w:hAnsi="Arial"/>
          <w:sz w:val="18"/>
          <w:szCs w:val="18"/>
          <w:color w:val="auto"/>
        </w:rPr>
        <w:t>with the Accounting Standards Codification, or ASC, 718, stock</w:t>
      </w:r>
      <w:r>
        <w:rPr>
          <w:rFonts w:ascii="MS PGothic" w:cs="MS PGothic" w:eastAsia="MS PGothic" w:hAnsi="MS PGothic"/>
          <w:sz w:val="18"/>
          <w:szCs w:val="18"/>
          <w:color w:val="auto"/>
        </w:rPr>
        <w:t>‑</w:t>
      </w:r>
      <w:r>
        <w:rPr>
          <w:rFonts w:ascii="Arial" w:cs="Arial" w:eastAsia="Arial" w:hAnsi="Arial"/>
          <w:sz w:val="18"/>
          <w:szCs w:val="18"/>
          <w:color w:val="auto"/>
        </w:rPr>
        <w:t>based awards subject to both performance</w:t>
      </w:r>
      <w:r>
        <w:rPr>
          <w:rFonts w:ascii="MS PGothic" w:cs="MS PGothic" w:eastAsia="MS PGothic" w:hAnsi="MS PGothic"/>
          <w:sz w:val="18"/>
          <w:szCs w:val="18"/>
          <w:color w:val="auto"/>
        </w:rPr>
        <w:t>‑</w:t>
      </w:r>
      <w:r>
        <w:rPr>
          <w:rFonts w:ascii="Arial" w:cs="Arial" w:eastAsia="Arial" w:hAnsi="Arial"/>
          <w:sz w:val="18"/>
          <w:szCs w:val="18"/>
          <w:color w:val="auto"/>
        </w:rPr>
        <w:t>and service</w:t>
      </w:r>
      <w:r>
        <w:rPr>
          <w:rFonts w:ascii="MS PGothic" w:cs="MS PGothic" w:eastAsia="MS PGothic" w:hAnsi="MS PGothic"/>
          <w:sz w:val="18"/>
          <w:szCs w:val="18"/>
          <w:color w:val="auto"/>
        </w:rPr>
        <w:t>‑</w:t>
      </w:r>
      <w:r>
        <w:rPr>
          <w:rFonts w:ascii="Arial" w:cs="Arial" w:eastAsia="Arial" w:hAnsi="Arial"/>
          <w:sz w:val="18"/>
          <w:szCs w:val="18"/>
          <w:color w:val="auto"/>
        </w:rPr>
        <w:t>based vesting conditions are recognized using an accelerated attribution model.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2017 and 2016</w:t>
      </w:r>
    </w:p>
    <w:p>
      <w:pPr>
        <w:spacing w:after="0" w:line="185"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The following table summarizes our results of operations for the years ended December 31, 2017 and 2016, together with the changes in those items in dollars and as a percentage: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11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Dollar Change</w:t>
            </w:r>
          </w:p>
        </w:tc>
        <w:tc>
          <w:tcPr>
            <w:tcW w:w="8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29"/>
        </w:trPr>
        <w:tc>
          <w:tcPr>
            <w:tcW w:w="36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75"/>
              <w:spacing w:after="0" w:line="129"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1"/>
                <w:szCs w:val="11"/>
                <w:color w:val="auto"/>
              </w:rPr>
            </w:pPr>
          </w:p>
        </w:tc>
        <w:tc>
          <w:tcPr>
            <w:tcW w:w="1180" w:type="dxa"/>
            <w:vAlign w:val="bottom"/>
            <w:gridSpan w:val="4"/>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6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4"/>
          </w:tcPr>
          <w:p>
            <w:pPr>
              <w:ind w:left="120"/>
              <w:spacing w:after="0" w:line="129" w:lineRule="exact"/>
              <w:rPr>
                <w:sz w:val="20"/>
                <w:szCs w:val="20"/>
                <w:color w:val="auto"/>
              </w:rPr>
            </w:pPr>
            <w:r>
              <w:rPr>
                <w:rFonts w:ascii="Arial" w:cs="Arial" w:eastAsia="Arial" w:hAnsi="Arial"/>
                <w:sz w:val="14"/>
                <w:szCs w:val="14"/>
                <w:b w:val="1"/>
                <w:bCs w:val="1"/>
                <w:color w:val="auto"/>
                <w:w w:val="95"/>
              </w:rPr>
              <w:t>(in thousands)</w:t>
            </w: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Collaboration revenue</w:t>
            </w:r>
          </w:p>
        </w:tc>
        <w:tc>
          <w:tcPr>
            <w:tcW w:w="15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21,426</w:t>
            </w:r>
          </w:p>
        </w:tc>
        <w:tc>
          <w:tcPr>
            <w:tcW w:w="1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27,772</w:t>
            </w:r>
          </w:p>
        </w:tc>
        <w:tc>
          <w:tcPr>
            <w:tcW w:w="1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ind w:left="60"/>
              <w:spacing w:after="0" w:line="17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(6,346)</w:t>
            </w: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76"/>
        </w:trPr>
        <w:tc>
          <w:tcPr>
            <w:tcW w:w="368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144,687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81,131</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63,556</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8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1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27,986</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19,218</w:t>
            </w:r>
          </w:p>
        </w:tc>
        <w:tc>
          <w:tcPr>
            <w:tcW w:w="1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8,768</w:t>
            </w:r>
          </w:p>
        </w:tc>
        <w:tc>
          <w:tcPr>
            <w:tcW w:w="2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46</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operating expenses</w:t>
            </w: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172,673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89"/>
              </w:rPr>
              <w:t>100,349</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72,324</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80" w:type="dxa"/>
            <w:vAlign w:val="bottom"/>
          </w:tcPr>
          <w:p>
            <w:pPr>
              <w:spacing w:after="0" w:line="176" w:lineRule="exact"/>
              <w:rPr>
                <w:sz w:val="20"/>
                <w:szCs w:val="20"/>
                <w:color w:val="auto"/>
              </w:rPr>
            </w:pPr>
            <w:r>
              <w:rPr>
                <w:rFonts w:ascii="Arial" w:cs="Arial" w:eastAsia="Arial" w:hAnsi="Arial"/>
                <w:sz w:val="18"/>
                <w:szCs w:val="18"/>
                <w:color w:val="auto"/>
              </w:rPr>
              <w:t>Other income (expense):</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Other income (expense), net</w:t>
            </w: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3,349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551</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2,798</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508</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80" w:type="dxa"/>
            <w:vAlign w:val="bottom"/>
          </w:tcPr>
          <w:p>
            <w:pPr>
              <w:ind w:left="220"/>
              <w:spacing w:after="0" w:line="176" w:lineRule="exact"/>
              <w:rPr>
                <w:sz w:val="20"/>
                <w:szCs w:val="20"/>
                <w:color w:val="auto"/>
              </w:rPr>
            </w:pPr>
            <w:r>
              <w:rPr>
                <w:rFonts w:ascii="Arial" w:cs="Arial" w:eastAsia="Arial" w:hAnsi="Arial"/>
                <w:sz w:val="18"/>
                <w:szCs w:val="18"/>
                <w:color w:val="auto"/>
              </w:rPr>
              <w:t>Interest expense</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(221)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(469)</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248</w:t>
            </w:r>
          </w:p>
        </w:tc>
        <w:tc>
          <w:tcPr>
            <w:tcW w:w="22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53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other income (expense)</w:t>
            </w:r>
          </w:p>
        </w:tc>
        <w:tc>
          <w:tcPr>
            <w:tcW w:w="14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3,128</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82</w:t>
            </w:r>
          </w:p>
        </w:tc>
        <w:tc>
          <w:tcPr>
            <w:tcW w:w="1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3,046</w:t>
            </w:r>
          </w:p>
        </w:tc>
        <w:tc>
          <w:tcPr>
            <w:tcW w:w="22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3,715</w:t>
            </w: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80" w:type="dxa"/>
            <w:vAlign w:val="bottom"/>
          </w:tcPr>
          <w:p>
            <w:pPr>
              <w:spacing w:after="0" w:line="170" w:lineRule="exact"/>
              <w:rPr>
                <w:sz w:val="20"/>
                <w:szCs w:val="20"/>
                <w:color w:val="auto"/>
              </w:rPr>
            </w:pPr>
            <w:r>
              <w:rPr>
                <w:rFonts w:ascii="Arial" w:cs="Arial" w:eastAsia="Arial" w:hAnsi="Arial"/>
                <w:sz w:val="18"/>
                <w:szCs w:val="18"/>
                <w:color w:val="auto"/>
              </w:rPr>
              <w:t>Net loss</w:t>
            </w:r>
          </w:p>
        </w:tc>
        <w:tc>
          <w:tcPr>
            <w:tcW w:w="142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u w:val="single" w:color="auto"/>
                <w:color w:val="auto"/>
                <w:w w:val="71"/>
              </w:rPr>
              <w:t>$</w:t>
            </w:r>
          </w:p>
        </w:tc>
        <w:tc>
          <w:tcPr>
            <w:tcW w:w="7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88"/>
              </w:rPr>
              <w:t>(148,119)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5"/>
              </w:rPr>
              <w:t>(72,495)</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(75,624)</w:t>
            </w:r>
          </w:p>
        </w:tc>
        <w:tc>
          <w:tcPr>
            <w:tcW w:w="220" w:type="dxa"/>
            <w:vAlign w:val="bottom"/>
          </w:tcPr>
          <w:p>
            <w:pPr>
              <w:spacing w:after="0"/>
              <w:rPr>
                <w:sz w:val="15"/>
                <w:szCs w:val="15"/>
                <w:color w:val="auto"/>
              </w:rPr>
            </w:pPr>
          </w:p>
        </w:tc>
        <w:tc>
          <w:tcPr>
            <w:tcW w:w="6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(104)</w:t>
            </w:r>
          </w:p>
        </w:tc>
        <w:tc>
          <w:tcPr>
            <w:tcW w:w="160" w:type="dxa"/>
            <w:vAlign w:val="bottom"/>
          </w:tcPr>
          <w:p>
            <w:pPr>
              <w:jc w:val="right"/>
              <w:spacing w:after="0" w:line="170"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Collaboration Revenue</w:t>
      </w:r>
    </w:p>
    <w:p>
      <w:pPr>
        <w:spacing w:after="0" w:line="185" w:lineRule="exact"/>
        <w:rPr>
          <w:sz w:val="20"/>
          <w:szCs w:val="20"/>
          <w:color w:val="auto"/>
        </w:rPr>
      </w:pPr>
    </w:p>
    <w:p>
      <w:pPr>
        <w:ind w:right="120" w:firstLine="648"/>
        <w:spacing w:after="0" w:line="234" w:lineRule="auto"/>
        <w:rPr>
          <w:sz w:val="20"/>
          <w:szCs w:val="20"/>
          <w:color w:val="auto"/>
        </w:rPr>
      </w:pPr>
      <w:r>
        <w:rPr>
          <w:rFonts w:ascii="Arial" w:cs="Arial" w:eastAsia="Arial" w:hAnsi="Arial"/>
          <w:sz w:val="16"/>
          <w:szCs w:val="16"/>
          <w:color w:val="auto"/>
        </w:rPr>
        <w:t>Collaboration revenue decreased by $6.4 million from $27.8 million for the year ended December 31, 2016 to $21.4 million for the year ended December 31, 2017. Collaboration revenue for the year ended December 31, 2017 was related to the Alexion and Roche agreements. We recorded collaboration revenue of $16.2 million and $23.3 million under the Alexion collaboration for the years ended December 31, 2017 and December 31, 2016, respectively. The decrease was primarily due to lower reimbursable research and development expenses as a result of the termination of the agreement and the impact of the recognition of two milestone payments upon achievement included in the year ended December 31, 2016. As a result of the termination of the Alexion collaboration, we recognized the remaining deferred revenue balance related to the upfront payment and non-substantive milestone payment previously received under the collaboration utilizing the proportional performance model over the remaining period of performance, which ended October 24, 2017. We were not entitled to receive payment from Alexion for any research and development expenses incurred after the effective date of termination or any additional milestones. As a result of the termination of the Alexion collaboration, we anticipate collaboration revenue related to reimbursable research and development expenses will decrease significantly in future periods. We entered into the Roche agreement in March 2016 and recorded $5.2 million and $4.5 million in collaboration revenue under the Roche agreement for the years ended December 31, 2017 and December 31, 2016, respectively.</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Expense</w:t>
      </w:r>
    </w:p>
    <w:p>
      <w:pPr>
        <w:spacing w:after="0" w:line="185" w:lineRule="exact"/>
        <w:rPr>
          <w:sz w:val="20"/>
          <w:szCs w:val="20"/>
          <w:color w:val="auto"/>
        </w:rPr>
      </w:pPr>
    </w:p>
    <w:p>
      <w:pPr>
        <w:ind w:right="60" w:firstLine="648"/>
        <w:spacing w:after="0" w:line="224" w:lineRule="auto"/>
        <w:rPr>
          <w:sz w:val="20"/>
          <w:szCs w:val="20"/>
          <w:color w:val="auto"/>
        </w:rPr>
      </w:pPr>
      <w:r>
        <w:rPr>
          <w:rFonts w:ascii="Arial" w:cs="Arial" w:eastAsia="Arial" w:hAnsi="Arial"/>
          <w:sz w:val="18"/>
          <w:szCs w:val="18"/>
          <w:color w:val="auto"/>
        </w:rPr>
        <w:t>Research and development expense increased by $63.6 million from $81.1 million for the year ended December 31, 2016 to $144.7 million for the year ended December 31, 2017. The increase in research and development expense was primarily related to the following:</w:t>
      </w:r>
    </w:p>
    <w:p>
      <w:pPr>
        <w:spacing w:after="0" w:line="163" w:lineRule="exact"/>
        <w:rPr>
          <w:sz w:val="20"/>
          <w:szCs w:val="20"/>
          <w:color w:val="auto"/>
        </w:rPr>
      </w:pPr>
    </w:p>
    <w:p>
      <w:pPr>
        <w:ind w:left="1300" w:right="80" w:hanging="325"/>
        <w:spacing w:after="0" w:line="235"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approximately $24.7 million in increased expenses associated with clinical and commercial manufacturing activities;</w:t>
      </w:r>
    </w:p>
    <w:p>
      <w:pPr>
        <w:spacing w:after="0" w:line="161" w:lineRule="exact"/>
        <w:rPr>
          <w:rFonts w:ascii="Arial" w:cs="Arial" w:eastAsia="Arial" w:hAnsi="Arial"/>
          <w:sz w:val="18"/>
          <w:szCs w:val="18"/>
          <w:color w:val="auto"/>
        </w:rPr>
      </w:pPr>
    </w:p>
    <w:p>
      <w:pPr>
        <w:ind w:left="1300" w:right="140" w:hanging="325"/>
        <w:spacing w:after="0" w:line="203" w:lineRule="exact"/>
        <w:tabs>
          <w:tab w:leader="none" w:pos="13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approximately $20.3 million in increased expenses for external clinical activities as we advanced our lead drug candidates, avapritinib, BLU</w:t>
      </w:r>
      <w:r>
        <w:rPr>
          <w:rFonts w:ascii="MS PGothic" w:cs="MS PGothic" w:eastAsia="MS PGothic" w:hAnsi="MS PGothic"/>
          <w:sz w:val="17"/>
          <w:szCs w:val="17"/>
          <w:color w:val="auto"/>
        </w:rPr>
        <w:t>‑</w:t>
      </w:r>
      <w:r>
        <w:rPr>
          <w:rFonts w:ascii="Arial" w:cs="Arial" w:eastAsia="Arial" w:hAnsi="Arial"/>
          <w:sz w:val="17"/>
          <w:szCs w:val="17"/>
          <w:color w:val="auto"/>
        </w:rPr>
        <w:t>554 and BLU-667, further through Phase 1 clinical trials;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7" w:name="page98"/>
    <w:bookmarkEnd w:id="9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jc w:val="both"/>
        <w:ind w:left="1300" w:right="180" w:hanging="325"/>
        <w:spacing w:after="0" w:line="224"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approximately $15.0 million in increased personnel expense primarily due to a 35% increase in headcount and an increase of $3.6 million in stock-based compensation expense, which were driven by growth in the clinical and manufacturing organizations; and</w:t>
      </w:r>
    </w:p>
    <w:p>
      <w:pPr>
        <w:spacing w:after="0" w:line="163" w:lineRule="exact"/>
        <w:rPr>
          <w:rFonts w:ascii="Arial" w:cs="Arial" w:eastAsia="Arial" w:hAnsi="Arial"/>
          <w:sz w:val="18"/>
          <w:szCs w:val="18"/>
          <w:color w:val="auto"/>
        </w:rPr>
      </w:pPr>
    </w:p>
    <w:p>
      <w:pPr>
        <w:ind w:left="1300" w:right="660" w:hanging="325"/>
        <w:spacing w:after="0" w:line="235"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approximately $0.9 million in increased expenses associated with continuing to build our discovery platform and advance our discovery pipeline.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w:t>
      </w:r>
    </w:p>
    <w:p>
      <w:pPr>
        <w:spacing w:after="0" w:line="185" w:lineRule="exact"/>
        <w:rPr>
          <w:sz w:val="20"/>
          <w:szCs w:val="20"/>
          <w:color w:val="auto"/>
        </w:rPr>
      </w:pPr>
    </w:p>
    <w:p>
      <w:pPr>
        <w:ind w:right="200" w:firstLine="648"/>
        <w:spacing w:after="0" w:line="224" w:lineRule="auto"/>
        <w:rPr>
          <w:sz w:val="20"/>
          <w:szCs w:val="20"/>
          <w:color w:val="auto"/>
        </w:rPr>
      </w:pPr>
      <w:r>
        <w:rPr>
          <w:rFonts w:ascii="Arial" w:cs="Arial" w:eastAsia="Arial" w:hAnsi="Arial"/>
          <w:sz w:val="18"/>
          <w:szCs w:val="18"/>
          <w:color w:val="auto"/>
        </w:rPr>
        <w:t>General and administrative expense increased by $8.8 million from $19.2 million for the year ended December 31, 2016 to $28.0 million for the year ended December 31, 2017. The increase in general and administrative expense was primarily related to the following:</w:t>
      </w:r>
    </w:p>
    <w:p>
      <w:pPr>
        <w:spacing w:after="0" w:line="163" w:lineRule="exact"/>
        <w:rPr>
          <w:sz w:val="20"/>
          <w:szCs w:val="20"/>
          <w:color w:val="auto"/>
        </w:rPr>
      </w:pPr>
    </w:p>
    <w:p>
      <w:pPr>
        <w:ind w:left="1300" w:right="340" w:hanging="325"/>
        <w:spacing w:after="0" w:line="224"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approximately $5.1 million in increased personnel expenses due to an increase of 35% in general and administrative headcount to support our overall growth as a publicly traded company and an increase of $2.8 million in stock-based compensation expense; and</w:t>
      </w:r>
    </w:p>
    <w:p>
      <w:pPr>
        <w:spacing w:after="0" w:line="163" w:lineRule="exact"/>
        <w:rPr>
          <w:rFonts w:ascii="Arial" w:cs="Arial" w:eastAsia="Arial" w:hAnsi="Arial"/>
          <w:sz w:val="18"/>
          <w:szCs w:val="18"/>
          <w:color w:val="auto"/>
        </w:rPr>
      </w:pPr>
    </w:p>
    <w:p>
      <w:pPr>
        <w:ind w:left="1300" w:right="300" w:hanging="325"/>
        <w:spacing w:after="0" w:line="235"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approximately $2.8 million in increased professional fees including market research and public relations costs.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Income (Expense), Net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net, increased by $2.7 million from $0.6 million for the year ended December 31, 2016 to</w:t>
      </w:r>
    </w:p>
    <w:p>
      <w:pPr>
        <w:ind w:right="100"/>
        <w:spacing w:after="0" w:line="226" w:lineRule="auto"/>
        <w:rPr>
          <w:sz w:val="20"/>
          <w:szCs w:val="20"/>
          <w:color w:val="auto"/>
        </w:rPr>
      </w:pPr>
      <w:r>
        <w:rPr>
          <w:rFonts w:ascii="Arial" w:cs="Arial" w:eastAsia="Arial" w:hAnsi="Arial"/>
          <w:sz w:val="18"/>
          <w:szCs w:val="18"/>
          <w:color w:val="auto"/>
        </w:rPr>
        <w:t>$3.3 million for the year ended December 31, 2017. The increase in other income, net, was primarily related to an increase in investment income during the year ended December 31, 2017.</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ind w:right="140" w:firstLine="648"/>
        <w:spacing w:after="0" w:line="249" w:lineRule="auto"/>
        <w:rPr>
          <w:sz w:val="20"/>
          <w:szCs w:val="20"/>
          <w:color w:val="auto"/>
        </w:rPr>
      </w:pPr>
      <w:r>
        <w:rPr>
          <w:rFonts w:ascii="Arial" w:cs="Arial" w:eastAsia="Arial" w:hAnsi="Arial"/>
          <w:sz w:val="16"/>
          <w:szCs w:val="16"/>
          <w:color w:val="auto"/>
        </w:rPr>
        <w:t>Interest expense decreased by $0.3 million from $0.5 million for the year ended December 31, 2016 to $0.2 million for the year ended December 31, 2017. The decrease was primarily related to a decrease in the average outstanding principle balance under the loan and security agreement with Silicon Valley Bank for the year ended December 31, 2017. We expect that interest expense will continue to decrease in subsequent periods as the principal amount under the loan decreases.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Comparison of Years Ended December 31, 2016 and 2015</w:t>
      </w:r>
    </w:p>
    <w:p>
      <w:pPr>
        <w:spacing w:after="0" w:line="185"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The following table summarizes our results of operations for the years ended December 31, 2016 and 2015, together with the changes in those items in dollars and as a percentage: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4"/>
          </w:tcPr>
          <w:p>
            <w:pPr>
              <w:jc w:val="right"/>
              <w:ind w:right="454"/>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 Change</w:t>
            </w:r>
          </w:p>
        </w:tc>
        <w:tc>
          <w:tcPr>
            <w:tcW w:w="8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29"/>
        </w:trPr>
        <w:tc>
          <w:tcPr>
            <w:tcW w:w="33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ind w:right="175"/>
              <w:spacing w:after="0" w:line="129"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ind w:right="174"/>
              <w:spacing w:after="0" w:line="129"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80" w:type="dxa"/>
            <w:vAlign w:val="bottom"/>
            <w:gridSpan w:val="5"/>
            <w:shd w:val="clear" w:color="auto" w:fill="CCEEFF"/>
          </w:tcPr>
          <w:p>
            <w:pPr>
              <w:ind w:left="280"/>
              <w:spacing w:after="0" w:line="135" w:lineRule="exact"/>
              <w:rPr>
                <w:sz w:val="20"/>
                <w:szCs w:val="20"/>
                <w:color w:val="auto"/>
              </w:rPr>
            </w:pPr>
            <w:r>
              <w:rPr>
                <w:rFonts w:ascii="Arial" w:cs="Arial" w:eastAsia="Arial" w:hAnsi="Arial"/>
                <w:sz w:val="14"/>
                <w:szCs w:val="14"/>
                <w:b w:val="1"/>
                <w:bCs w:val="1"/>
                <w:color w:val="auto"/>
              </w:rPr>
              <w:t>(in thousands)</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360" w:type="dxa"/>
            <w:vAlign w:val="bottom"/>
          </w:tcPr>
          <w:p>
            <w:pPr>
              <w:spacing w:after="0" w:line="176" w:lineRule="exact"/>
              <w:rPr>
                <w:sz w:val="20"/>
                <w:szCs w:val="20"/>
                <w:color w:val="auto"/>
              </w:rPr>
            </w:pPr>
            <w:r>
              <w:rPr>
                <w:rFonts w:ascii="Arial" w:cs="Arial" w:eastAsia="Arial" w:hAnsi="Arial"/>
                <w:sz w:val="18"/>
                <w:szCs w:val="18"/>
                <w:color w:val="auto"/>
              </w:rPr>
              <w:t>Collaboration revenue</w:t>
            </w:r>
          </w:p>
        </w:tc>
        <w:tc>
          <w:tcPr>
            <w:tcW w:w="20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27,772</w:t>
            </w:r>
          </w:p>
        </w:tc>
        <w:tc>
          <w:tcPr>
            <w:tcW w:w="3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11,400</w:t>
            </w:r>
          </w:p>
        </w:tc>
        <w:tc>
          <w:tcPr>
            <w:tcW w:w="36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16,372</w:t>
            </w:r>
          </w:p>
        </w:tc>
        <w:tc>
          <w:tcPr>
            <w:tcW w:w="140" w:type="dxa"/>
            <w:vAlign w:val="bottom"/>
          </w:tcPr>
          <w:p>
            <w:pPr>
              <w:spacing w:after="0"/>
              <w:rPr>
                <w:sz w:val="15"/>
                <w:szCs w:val="15"/>
                <w:color w:val="auto"/>
              </w:rPr>
            </w:pPr>
          </w:p>
        </w:tc>
        <w:tc>
          <w:tcPr>
            <w:tcW w:w="840" w:type="dxa"/>
            <w:vAlign w:val="bottom"/>
            <w:gridSpan w:val="3"/>
          </w:tcPr>
          <w:p>
            <w:pPr>
              <w:jc w:val="right"/>
              <w:ind w:right="20"/>
              <w:spacing w:after="0" w:line="176" w:lineRule="exact"/>
              <w:rPr>
                <w:sz w:val="20"/>
                <w:szCs w:val="20"/>
                <w:color w:val="auto"/>
              </w:rPr>
            </w:pPr>
            <w:r>
              <w:rPr>
                <w:rFonts w:ascii="Arial" w:cs="Arial" w:eastAsia="Arial" w:hAnsi="Arial"/>
                <w:sz w:val="18"/>
                <w:szCs w:val="18"/>
                <w:color w:val="auto"/>
              </w:rPr>
              <w:t>144 %</w:t>
            </w:r>
          </w:p>
        </w:tc>
        <w:tc>
          <w:tcPr>
            <w:tcW w:w="0" w:type="dxa"/>
            <w:vAlign w:val="bottom"/>
          </w:tcPr>
          <w:p>
            <w:pPr>
              <w:spacing w:after="0"/>
              <w:rPr>
                <w:sz w:val="1"/>
                <w:szCs w:val="1"/>
                <w:color w:val="auto"/>
              </w:rPr>
            </w:pPr>
          </w:p>
        </w:tc>
      </w:tr>
      <w:tr>
        <w:trPr>
          <w:trHeight w:val="176"/>
        </w:trPr>
        <w:tc>
          <w:tcPr>
            <w:tcW w:w="3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Operating expenses:</w:t>
            </w:r>
          </w:p>
        </w:tc>
        <w:tc>
          <w:tcPr>
            <w:tcW w:w="1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1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81,131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48,588</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32,543</w:t>
            </w:r>
          </w:p>
        </w:tc>
        <w:tc>
          <w:tcPr>
            <w:tcW w:w="14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67</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19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19,218</w:t>
            </w: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14,456</w:t>
            </w:r>
          </w:p>
        </w:tc>
        <w:tc>
          <w:tcPr>
            <w:tcW w:w="1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4,762</w:t>
            </w:r>
          </w:p>
        </w:tc>
        <w:tc>
          <w:tcPr>
            <w:tcW w:w="14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60" w:type="dxa"/>
            <w:vAlign w:val="bottom"/>
          </w:tcPr>
          <w:p>
            <w:pPr>
              <w:spacing w:after="0" w:line="170" w:lineRule="exact"/>
              <w:rPr>
                <w:sz w:val="20"/>
                <w:szCs w:val="20"/>
                <w:color w:val="auto"/>
              </w:rPr>
            </w:pPr>
            <w:r>
              <w:rPr>
                <w:rFonts w:ascii="Arial" w:cs="Arial" w:eastAsia="Arial" w:hAnsi="Arial"/>
                <w:sz w:val="18"/>
                <w:szCs w:val="18"/>
                <w:color w:val="auto"/>
              </w:rPr>
              <w:t>Total operating expenses</w:t>
            </w:r>
          </w:p>
        </w:tc>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line="170" w:lineRule="exact"/>
              <w:rPr>
                <w:sz w:val="20"/>
                <w:szCs w:val="20"/>
                <w:color w:val="auto"/>
              </w:rPr>
            </w:pPr>
            <w:r>
              <w:rPr>
                <w:rFonts w:ascii="Arial" w:cs="Arial" w:eastAsia="Arial" w:hAnsi="Arial"/>
                <w:sz w:val="18"/>
                <w:szCs w:val="18"/>
                <w:color w:val="auto"/>
                <w:w w:val="95"/>
              </w:rPr>
              <w:t>100,349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70" w:lineRule="exact"/>
              <w:rPr>
                <w:sz w:val="20"/>
                <w:szCs w:val="20"/>
                <w:color w:val="auto"/>
              </w:rPr>
            </w:pPr>
            <w:r>
              <w:rPr>
                <w:rFonts w:ascii="Arial" w:cs="Arial" w:eastAsia="Arial" w:hAnsi="Arial"/>
                <w:sz w:val="18"/>
                <w:szCs w:val="18"/>
                <w:color w:val="auto"/>
              </w:rPr>
              <w:t>63,044</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line="170" w:lineRule="exact"/>
              <w:rPr>
                <w:sz w:val="20"/>
                <w:szCs w:val="20"/>
                <w:color w:val="auto"/>
              </w:rPr>
            </w:pPr>
            <w:r>
              <w:rPr>
                <w:rFonts w:ascii="Arial" w:cs="Arial" w:eastAsia="Arial" w:hAnsi="Arial"/>
                <w:sz w:val="18"/>
                <w:szCs w:val="18"/>
                <w:color w:val="auto"/>
              </w:rPr>
              <w:t>37,305</w:t>
            </w:r>
          </w:p>
        </w:tc>
        <w:tc>
          <w:tcPr>
            <w:tcW w:w="140" w:type="dxa"/>
            <w:vAlign w:val="bottom"/>
          </w:tcPr>
          <w:p>
            <w:pPr>
              <w:spacing w:after="0"/>
              <w:rPr>
                <w:sz w:val="14"/>
                <w:szCs w:val="14"/>
                <w:color w:val="auto"/>
              </w:rPr>
            </w:pPr>
          </w:p>
        </w:tc>
        <w:tc>
          <w:tcPr>
            <w:tcW w:w="680" w:type="dxa"/>
            <w:vAlign w:val="bottom"/>
          </w:tcPr>
          <w:p>
            <w:pPr>
              <w:jc w:val="right"/>
              <w:spacing w:after="0" w:line="170" w:lineRule="exact"/>
              <w:rPr>
                <w:sz w:val="20"/>
                <w:szCs w:val="20"/>
                <w:color w:val="auto"/>
              </w:rPr>
            </w:pPr>
            <w:r>
              <w:rPr>
                <w:rFonts w:ascii="Arial" w:cs="Arial" w:eastAsia="Arial" w:hAnsi="Arial"/>
                <w:sz w:val="18"/>
                <w:szCs w:val="18"/>
                <w:color w:val="auto"/>
              </w:rPr>
              <w:t>59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income (expense):</w:t>
            </w:r>
          </w:p>
        </w:tc>
        <w:tc>
          <w:tcPr>
            <w:tcW w:w="1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tcPr>
          <w:p>
            <w:pPr>
              <w:ind w:left="220"/>
              <w:spacing w:after="0" w:line="176" w:lineRule="exact"/>
              <w:rPr>
                <w:sz w:val="20"/>
                <w:szCs w:val="20"/>
                <w:color w:val="auto"/>
              </w:rPr>
            </w:pPr>
            <w:r>
              <w:rPr>
                <w:rFonts w:ascii="Arial" w:cs="Arial" w:eastAsia="Arial" w:hAnsi="Arial"/>
                <w:sz w:val="18"/>
                <w:szCs w:val="18"/>
                <w:color w:val="auto"/>
              </w:rPr>
              <w:t>Other income (expense), net</w:t>
            </w:r>
          </w:p>
        </w:tc>
        <w:tc>
          <w:tcPr>
            <w:tcW w:w="1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551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(429)</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980</w:t>
            </w:r>
          </w:p>
        </w:tc>
        <w:tc>
          <w:tcPr>
            <w:tcW w:w="14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(228)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Interest expense</w:t>
            </w:r>
          </w:p>
        </w:tc>
        <w:tc>
          <w:tcPr>
            <w:tcW w:w="19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(469)</w:t>
            </w: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(696)</w:t>
            </w:r>
          </w:p>
        </w:tc>
        <w:tc>
          <w:tcPr>
            <w:tcW w:w="1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227</w:t>
            </w:r>
          </w:p>
        </w:tc>
        <w:tc>
          <w:tcPr>
            <w:tcW w:w="14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6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other income (expense)</w:t>
            </w:r>
          </w:p>
        </w:tc>
        <w:tc>
          <w:tcPr>
            <w:tcW w:w="19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82</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(1,125)</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1,207</w:t>
            </w:r>
          </w:p>
        </w:tc>
        <w:tc>
          <w:tcPr>
            <w:tcW w:w="1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60" w:type="dxa"/>
            <w:vAlign w:val="bottom"/>
            <w:tcBorders>
              <w:bottom w:val="single" w:sz="8" w:color="CCEEFF"/>
            </w:tcBorders>
            <w:shd w:val="clear" w:color="auto" w:fill="CCEEFF"/>
          </w:tcPr>
          <w:p>
            <w:pPr>
              <w:ind w:left="1300"/>
              <w:spacing w:after="0" w:line="170" w:lineRule="exact"/>
              <w:rPr>
                <w:sz w:val="20"/>
                <w:szCs w:val="20"/>
                <w:color w:val="auto"/>
              </w:rPr>
            </w:pPr>
            <w:r>
              <w:rPr>
                <w:rFonts w:ascii="Arial" w:cs="Arial" w:eastAsia="Arial" w:hAnsi="Arial"/>
                <w:sz w:val="18"/>
                <w:szCs w:val="18"/>
                <w:color w:val="auto"/>
              </w:rPr>
              <w:t>Net loss</w:t>
            </w:r>
          </w:p>
        </w:tc>
        <w:tc>
          <w:tcPr>
            <w:tcW w:w="19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(72,495)</w:t>
            </w: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(52,769)</w:t>
            </w: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(19,726)</w:t>
            </w: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(37)</w:t>
            </w:r>
          </w:p>
        </w:tc>
        <w:tc>
          <w:tcPr>
            <w:tcW w:w="160" w:type="dxa"/>
            <w:vAlign w:val="bottom"/>
            <w:tcBorders>
              <w:bottom w:val="single" w:sz="8" w:color="CCEEFF"/>
            </w:tcBorders>
            <w:gridSpan w:val="2"/>
            <w:shd w:val="clear" w:color="auto" w:fill="CCEEFF"/>
          </w:tcPr>
          <w:p>
            <w:pPr>
              <w:jc w:val="right"/>
              <w:ind w:right="20"/>
              <w:spacing w:after="0" w:line="170"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581"/>
        </w:trPr>
        <w:tc>
          <w:tcPr>
            <w:tcW w:w="3360" w:type="dxa"/>
            <w:vAlign w:val="bottom"/>
          </w:tcPr>
          <w:p>
            <w:pPr>
              <w:spacing w:after="0"/>
              <w:rPr>
                <w:sz w:val="24"/>
                <w:szCs w:val="24"/>
                <w:color w:val="auto"/>
              </w:rPr>
            </w:pPr>
          </w:p>
        </w:tc>
        <w:tc>
          <w:tcPr>
            <w:tcW w:w="1920" w:type="dxa"/>
            <w:vAlign w:val="bottom"/>
          </w:tcPr>
          <w:p>
            <w:pPr>
              <w:jc w:val="right"/>
              <w:ind w:right="570"/>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36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420" w:top="111" w:right="1359" w:bottom="1440" w:gutter="0" w:footer="0" w:header="0"/>
        </w:sectPr>
      </w:pPr>
    </w:p>
    <w:bookmarkStart w:id="98" w:name="page99"/>
    <w:bookmarkEnd w:id="9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Collaboration Revenue</w:t>
      </w:r>
    </w:p>
    <w:p>
      <w:pPr>
        <w:spacing w:after="0" w:line="185"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Collaboration revenue increased by $16.4 million from $11.4 million for the year ended December 31, 2015 to $27.8 million for the year ended December 31, 2016. Collaboration revenue for the year ended December 31, 2016 was related to the former collaboration with Alexion and the existing collaboration with Roche. Collaboration revenue under our former collaboration with Alexion began in March 2015 upon the execution of the Alexion collaboration agreement, and we recorded $23.3 million in collaboration revenue for the year ended December 31, 2016. The increase in collaboration revenue from the year ended December 31, 2015 of $11.9 million under our former collaboration with Alexion was primarily related to increased reimbursable research and development costs, increased recognition of portions of the $15.0 million upfront payment and $1.8 million in milestone payments received from Alexion and increased milestone payments recognized upon achievement during the year ended December 31, 2016. We entered into the Roche agreement in March 2016 and recorded $4.5 million in collaboration revenue under the Roche collaboration for the year ended December 31, 2016.</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Expense</w:t>
      </w:r>
    </w:p>
    <w:p>
      <w:pPr>
        <w:spacing w:after="0" w:line="185" w:lineRule="exact"/>
        <w:rPr>
          <w:sz w:val="20"/>
          <w:szCs w:val="20"/>
          <w:color w:val="auto"/>
        </w:rPr>
      </w:pPr>
    </w:p>
    <w:p>
      <w:pPr>
        <w:ind w:right="40" w:firstLine="648"/>
        <w:spacing w:after="0" w:line="224" w:lineRule="auto"/>
        <w:rPr>
          <w:sz w:val="20"/>
          <w:szCs w:val="20"/>
          <w:color w:val="auto"/>
        </w:rPr>
      </w:pPr>
      <w:r>
        <w:rPr>
          <w:rFonts w:ascii="Arial" w:cs="Arial" w:eastAsia="Arial" w:hAnsi="Arial"/>
          <w:sz w:val="18"/>
          <w:szCs w:val="18"/>
          <w:color w:val="auto"/>
        </w:rPr>
        <w:t>Research and development expense increased by $32.5 million from $48.6 million for the year ended December 31, 2015 to $81.1 million for the year ended December 31, 2016. The increase in research and development expense was primarily related to the following:</w:t>
      </w:r>
    </w:p>
    <w:p>
      <w:pPr>
        <w:spacing w:after="0" w:line="163" w:lineRule="exact"/>
        <w:rPr>
          <w:sz w:val="20"/>
          <w:szCs w:val="20"/>
          <w:color w:val="auto"/>
        </w:rPr>
      </w:pPr>
    </w:p>
    <w:p>
      <w:pPr>
        <w:ind w:left="1300" w:right="240" w:hanging="325"/>
        <w:spacing w:after="0" w:line="258" w:lineRule="auto"/>
        <w:tabs>
          <w:tab w:leader="none" w:pos="13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approximately $10.3 million in increased expenses for external clinical activities as we advanced two of our most advanced drug candidates, avapritinib and BLU-554, in Phase 1 clinical trials;</w:t>
      </w:r>
    </w:p>
    <w:p>
      <w:pPr>
        <w:spacing w:after="0" w:line="146" w:lineRule="exact"/>
        <w:rPr>
          <w:rFonts w:ascii="Arial" w:cs="Arial" w:eastAsia="Arial" w:hAnsi="Arial"/>
          <w:sz w:val="17"/>
          <w:szCs w:val="17"/>
          <w:color w:val="auto"/>
        </w:rPr>
      </w:pPr>
    </w:p>
    <w:p>
      <w:pPr>
        <w:ind w:left="1300" w:hanging="325"/>
        <w:spacing w:after="0"/>
        <w:tabs>
          <w:tab w:leader="none" w:pos="13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approximately $9.5 million in increased expenses associated with clinical manufacturing activities;</w:t>
      </w:r>
    </w:p>
    <w:p>
      <w:pPr>
        <w:spacing w:after="0" w:line="196" w:lineRule="exact"/>
        <w:rPr>
          <w:rFonts w:ascii="Arial" w:cs="Arial" w:eastAsia="Arial" w:hAnsi="Arial"/>
          <w:sz w:val="17"/>
          <w:szCs w:val="17"/>
          <w:color w:val="auto"/>
        </w:rPr>
      </w:pPr>
    </w:p>
    <w:p>
      <w:pPr>
        <w:ind w:left="1300" w:right="100" w:hanging="325"/>
        <w:spacing w:after="0" w:line="219"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approximately $6.5 million in increased personnel expense primarily due to a 33% increase in headcount, which was primarily driven by growth in the clinical and nonclinical organizations as we advanced two of our most advanced drug candidates, avapritinib and BLU-554, in Phase 1 clinical trials, including an increase in stock-based compensation expense;</w:t>
      </w:r>
    </w:p>
    <w:p>
      <w:pPr>
        <w:spacing w:after="0" w:line="162" w:lineRule="exact"/>
        <w:rPr>
          <w:rFonts w:ascii="Arial" w:cs="Arial" w:eastAsia="Arial" w:hAnsi="Arial"/>
          <w:sz w:val="18"/>
          <w:szCs w:val="18"/>
          <w:color w:val="auto"/>
        </w:rPr>
      </w:pPr>
    </w:p>
    <w:p>
      <w:pPr>
        <w:ind w:left="1300" w:right="180" w:hanging="325"/>
        <w:spacing w:after="0" w:line="224"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approximately $4.4 million in increased expenses associated with continuing to build our discovery platform and advance our discovery pipeline, including expenses related to the former collaboration with Alexion; and</w:t>
      </w:r>
    </w:p>
    <w:p>
      <w:pPr>
        <w:spacing w:after="0" w:line="163" w:lineRule="exact"/>
        <w:rPr>
          <w:rFonts w:ascii="Arial" w:cs="Arial" w:eastAsia="Arial" w:hAnsi="Arial"/>
          <w:sz w:val="18"/>
          <w:szCs w:val="18"/>
          <w:color w:val="auto"/>
        </w:rPr>
      </w:pPr>
    </w:p>
    <w:p>
      <w:pPr>
        <w:ind w:left="1300" w:right="300" w:hanging="325"/>
        <w:spacing w:after="0" w:line="235"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approximately $1.8 million in increased expenses associated with IND-enabling pre-clinical toxicology studies, primarily related to BLU-667 and the former collaboration with Alexion.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w:t>
      </w:r>
    </w:p>
    <w:p>
      <w:pPr>
        <w:spacing w:after="0" w:line="185" w:lineRule="exact"/>
        <w:rPr>
          <w:sz w:val="20"/>
          <w:szCs w:val="20"/>
          <w:color w:val="auto"/>
        </w:rPr>
      </w:pPr>
    </w:p>
    <w:p>
      <w:pPr>
        <w:ind w:right="120" w:firstLine="648"/>
        <w:spacing w:after="0" w:line="224" w:lineRule="auto"/>
        <w:rPr>
          <w:sz w:val="20"/>
          <w:szCs w:val="20"/>
          <w:color w:val="auto"/>
        </w:rPr>
      </w:pPr>
      <w:r>
        <w:rPr>
          <w:rFonts w:ascii="Arial" w:cs="Arial" w:eastAsia="Arial" w:hAnsi="Arial"/>
          <w:sz w:val="18"/>
          <w:szCs w:val="18"/>
          <w:color w:val="auto"/>
        </w:rPr>
        <w:t>General and administrative expense increased by $4.7 million from $14.5 million for the year ended December 31, 2015 to $19.2 million for the year ended December 31, 2016. The increase in general and administrative expense was primarily related to the following:</w:t>
      </w:r>
    </w:p>
    <w:p>
      <w:pPr>
        <w:spacing w:after="0" w:line="163" w:lineRule="exact"/>
        <w:rPr>
          <w:sz w:val="20"/>
          <w:szCs w:val="20"/>
          <w:color w:val="auto"/>
        </w:rPr>
      </w:pPr>
    </w:p>
    <w:p>
      <w:pPr>
        <w:ind w:left="1300" w:right="40" w:hanging="325"/>
        <w:spacing w:after="0" w:line="224"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approximately $2.7 million in increased personnel expenses primarily due to an increase of 57% in general and administrative headcount to support our overall growth as a publicly traded company, including an increase in stock-based compensation expense; and</w:t>
      </w:r>
    </w:p>
    <w:p>
      <w:pPr>
        <w:spacing w:after="0" w:line="163" w:lineRule="exact"/>
        <w:rPr>
          <w:rFonts w:ascii="Arial" w:cs="Arial" w:eastAsia="Arial" w:hAnsi="Arial"/>
          <w:sz w:val="18"/>
          <w:szCs w:val="18"/>
          <w:color w:val="auto"/>
        </w:rPr>
      </w:pPr>
    </w:p>
    <w:p>
      <w:pPr>
        <w:ind w:left="1300" w:right="700" w:hanging="325"/>
        <w:spacing w:after="0" w:line="235"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approximately $1.6 million in increased professional fees, including external legal fees, insurance premiums and market research expenses.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Income (Expense), Net</w:t>
      </w:r>
    </w:p>
    <w:p>
      <w:pPr>
        <w:spacing w:after="0" w:line="185" w:lineRule="exact"/>
        <w:rPr>
          <w:sz w:val="20"/>
          <w:szCs w:val="20"/>
          <w:color w:val="auto"/>
        </w:rPr>
      </w:pPr>
    </w:p>
    <w:p>
      <w:pPr>
        <w:ind w:right="120" w:firstLine="648"/>
        <w:spacing w:after="0" w:line="249" w:lineRule="auto"/>
        <w:rPr>
          <w:sz w:val="20"/>
          <w:szCs w:val="20"/>
          <w:color w:val="auto"/>
        </w:rPr>
      </w:pPr>
      <w:r>
        <w:rPr>
          <w:rFonts w:ascii="Arial" w:cs="Arial" w:eastAsia="Arial" w:hAnsi="Arial"/>
          <w:sz w:val="16"/>
          <w:szCs w:val="16"/>
          <w:color w:val="auto"/>
        </w:rPr>
        <w:t>Other income (expense), net, increased by $1.0 million from $0.4 million of expense for the year ended December 31, 2015 to $0.6 million of income for the year ended December 31, 2016. The increase in other income (expense), net, was primarily related to an increase in investment income during the year ended December 31, 2016 due to our investing in marketable securities beginning in 2016. Also contributing to the increase in other income (expense)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99" w:name="page100"/>
    <w:bookmarkEnd w:id="9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0"/>
        <w:spacing w:after="0" w:line="189" w:lineRule="exact"/>
        <w:rPr>
          <w:sz w:val="20"/>
          <w:szCs w:val="20"/>
          <w:color w:val="auto"/>
        </w:rPr>
      </w:pPr>
      <w:r>
        <w:rPr>
          <w:rFonts w:ascii="Arial" w:cs="Arial" w:eastAsia="Arial" w:hAnsi="Arial"/>
          <w:sz w:val="16"/>
          <w:szCs w:val="16"/>
          <w:color w:val="auto"/>
        </w:rPr>
        <w:t>was the impact of the re</w:t>
      </w:r>
      <w:r>
        <w:rPr>
          <w:rFonts w:ascii="MS PGothic" w:cs="MS PGothic" w:eastAsia="MS PGothic" w:hAnsi="MS PGothic"/>
          <w:sz w:val="16"/>
          <w:szCs w:val="16"/>
          <w:color w:val="auto"/>
        </w:rPr>
        <w:t>‑</w:t>
      </w:r>
      <w:r>
        <w:rPr>
          <w:rFonts w:ascii="Arial" w:cs="Arial" w:eastAsia="Arial" w:hAnsi="Arial"/>
          <w:sz w:val="16"/>
          <w:szCs w:val="16"/>
          <w:color w:val="auto"/>
        </w:rPr>
        <w:t>measurement associated with the change in the fair value of the convertible preferred stock warrant liability included in the year ended December 31, 2015. Upon the closing of our IPO, all outstanding warrants exercisable for convertible preferred stock were automatically converted into warrants exercisable for shares of common stock, and we reclassified the warrants as an equity instrument. Accordingly, there were no related fair value adjustments in 2016.</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ind w:right="80" w:firstLine="648"/>
        <w:spacing w:after="0" w:line="249" w:lineRule="auto"/>
        <w:rPr>
          <w:sz w:val="20"/>
          <w:szCs w:val="20"/>
          <w:color w:val="auto"/>
        </w:rPr>
      </w:pPr>
      <w:r>
        <w:rPr>
          <w:rFonts w:ascii="Arial" w:cs="Arial" w:eastAsia="Arial" w:hAnsi="Arial"/>
          <w:sz w:val="16"/>
          <w:szCs w:val="16"/>
          <w:color w:val="auto"/>
        </w:rPr>
        <w:t>Interest expense decreased by $0.2 million from $0.7 million for the year ended December 31, 2015 to $0.5 million for the year ended December 31, 2016. The decrease was primarily related to a decrease in the average outstanding principle balance for the year ended December 31, 2016 under the loan and security agreement with Silicon Valley Bank. We expect that interest expense will continue to decrease in subsequent periods as the principal amount under the loan decreases.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85" w:lineRule="exact"/>
        <w:rPr>
          <w:sz w:val="20"/>
          <w:szCs w:val="20"/>
          <w:color w:val="auto"/>
        </w:rPr>
      </w:pPr>
    </w:p>
    <w:p>
      <w:pPr>
        <w:ind w:right="780" w:firstLine="648"/>
        <w:spacing w:after="0" w:line="235" w:lineRule="auto"/>
        <w:rPr>
          <w:sz w:val="20"/>
          <w:szCs w:val="20"/>
          <w:color w:val="auto"/>
        </w:rPr>
      </w:pPr>
      <w:r>
        <w:rPr>
          <w:rFonts w:ascii="Arial" w:cs="Arial" w:eastAsia="Arial" w:hAnsi="Arial"/>
          <w:sz w:val="18"/>
          <w:szCs w:val="18"/>
          <w:color w:val="auto"/>
        </w:rPr>
        <w:t>To date, we have financed our operations primarily through public offerings of our common stock, private placements of our convertible preferred stock, collaborations and a debt financing.</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Through December 31, 2017, we have received an aggregate of $1.1 billion from such transactions, including</w:t>
      </w:r>
    </w:p>
    <w:p>
      <w:pPr>
        <w:spacing w:after="0" w:line="229" w:lineRule="auto"/>
        <w:rPr>
          <w:sz w:val="20"/>
          <w:szCs w:val="20"/>
          <w:color w:val="auto"/>
        </w:rPr>
      </w:pPr>
      <w:r>
        <w:rPr>
          <w:rFonts w:ascii="Arial" w:cs="Arial" w:eastAsia="Arial" w:hAnsi="Arial"/>
          <w:sz w:val="16"/>
          <w:szCs w:val="16"/>
          <w:color w:val="auto"/>
        </w:rPr>
        <w:t>$887.4 million in aggregate gross proceeds from the sale of common stock in our May 2015 IPO and December 2016, April</w:t>
      </w:r>
    </w:p>
    <w:p>
      <w:pPr>
        <w:spacing w:after="0" w:line="176" w:lineRule="exact"/>
        <w:rPr>
          <w:sz w:val="20"/>
          <w:szCs w:val="20"/>
          <w:color w:val="auto"/>
        </w:rPr>
      </w:pPr>
      <w:r>
        <w:rPr>
          <w:rFonts w:ascii="Arial" w:cs="Arial" w:eastAsia="Arial" w:hAnsi="Arial"/>
          <w:sz w:val="17"/>
          <w:szCs w:val="17"/>
          <w:color w:val="auto"/>
        </w:rPr>
        <w:t>2017 and December 2017 follow</w:t>
      </w:r>
      <w:r>
        <w:rPr>
          <w:rFonts w:ascii="MS PGothic" w:cs="MS PGothic" w:eastAsia="MS PGothic" w:hAnsi="MS PGothic"/>
          <w:sz w:val="17"/>
          <w:szCs w:val="17"/>
          <w:color w:val="auto"/>
        </w:rPr>
        <w:t>‑</w:t>
      </w:r>
      <w:r>
        <w:rPr>
          <w:rFonts w:ascii="Arial" w:cs="Arial" w:eastAsia="Arial" w:hAnsi="Arial"/>
          <w:sz w:val="17"/>
          <w:szCs w:val="17"/>
          <w:color w:val="auto"/>
        </w:rPr>
        <w:t>on public offerings, $115.1 million in gross proceeds from the issuance of convertible</w:t>
      </w:r>
    </w:p>
    <w:p>
      <w:pPr>
        <w:spacing w:after="0" w:line="229" w:lineRule="auto"/>
        <w:rPr>
          <w:sz w:val="20"/>
          <w:szCs w:val="20"/>
          <w:color w:val="auto"/>
        </w:rPr>
      </w:pPr>
      <w:r>
        <w:rPr>
          <w:rFonts w:ascii="Arial" w:cs="Arial" w:eastAsia="Arial" w:hAnsi="Arial"/>
          <w:sz w:val="16"/>
          <w:szCs w:val="16"/>
          <w:color w:val="auto"/>
        </w:rPr>
        <w:t>preferred stock, $18.8 million of upfront and milestone payments from Alexion, a $45.0 million upfront payment from Roche</w:t>
      </w:r>
    </w:p>
    <w:p>
      <w:pPr>
        <w:spacing w:after="0" w:line="229" w:lineRule="auto"/>
        <w:rPr>
          <w:sz w:val="20"/>
          <w:szCs w:val="20"/>
          <w:color w:val="auto"/>
        </w:rPr>
      </w:pPr>
      <w:r>
        <w:rPr>
          <w:rFonts w:ascii="Arial" w:cs="Arial" w:eastAsia="Arial" w:hAnsi="Arial"/>
          <w:sz w:val="16"/>
          <w:szCs w:val="16"/>
          <w:color w:val="auto"/>
        </w:rPr>
        <w:t>and $10.0 million in gross proceeds from the debt financing. As a result of the termination of the Alexion agreement, which</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was effective in October 2017, we will not be entitled to receive payment from Alexion for any additional milestones.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2017, we had cash, cash equivalents and investments of $673.4 million.</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Flows</w:t>
      </w:r>
    </w:p>
    <w:p>
      <w:pPr>
        <w:spacing w:after="0" w:line="144" w:lineRule="exact"/>
        <w:rPr>
          <w:sz w:val="20"/>
          <w:szCs w:val="20"/>
          <w:color w:val="auto"/>
        </w:rPr>
      </w:pPr>
    </w:p>
    <w:p>
      <w:pPr>
        <w:ind w:right="280" w:firstLine="648"/>
        <w:spacing w:after="0" w:line="235" w:lineRule="auto"/>
        <w:rPr>
          <w:sz w:val="20"/>
          <w:szCs w:val="20"/>
          <w:color w:val="auto"/>
        </w:rPr>
      </w:pPr>
      <w:r>
        <w:rPr>
          <w:rFonts w:ascii="Arial" w:cs="Arial" w:eastAsia="Arial" w:hAnsi="Arial"/>
          <w:sz w:val="18"/>
          <w:szCs w:val="18"/>
          <w:color w:val="auto"/>
        </w:rPr>
        <w:t>The following table provides information regarding our cash flows for the years ended December 31, 2017, 2016 and 2015:</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88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174"/>
              <w:spacing w:after="0" w:line="129"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194"/>
              <w:spacing w:after="0" w:line="129"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1"/>
                <w:szCs w:val="11"/>
                <w:color w:val="auto"/>
              </w:rPr>
            </w:pPr>
          </w:p>
        </w:tc>
        <w:tc>
          <w:tcPr>
            <w:tcW w:w="780" w:type="dxa"/>
            <w:vAlign w:val="bottom"/>
            <w:gridSpan w:val="2"/>
          </w:tcPr>
          <w:p>
            <w:pPr>
              <w:jc w:val="right"/>
              <w:ind w:right="170"/>
              <w:spacing w:after="0" w:line="129"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8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cash used in operating activities</w:t>
            </w: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0"/>
              </w:rPr>
              <w:t>(119,865)</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(24,513)</w:t>
            </w:r>
          </w:p>
        </w:tc>
        <w:tc>
          <w:tcPr>
            <w:tcW w:w="2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0"/>
              </w:rPr>
              <w:t>$ (31,676)</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80" w:type="dxa"/>
            <w:vAlign w:val="bottom"/>
          </w:tcPr>
          <w:p>
            <w:pPr>
              <w:spacing w:after="0" w:line="176" w:lineRule="exact"/>
              <w:rPr>
                <w:sz w:val="20"/>
                <w:szCs w:val="20"/>
                <w:color w:val="auto"/>
              </w:rPr>
            </w:pPr>
            <w:r>
              <w:rPr>
                <w:rFonts w:ascii="Arial" w:cs="Arial" w:eastAsia="Arial" w:hAnsi="Arial"/>
                <w:sz w:val="18"/>
                <w:szCs w:val="18"/>
                <w:color w:val="auto"/>
              </w:rPr>
              <w:t>Net cash used in investing activities</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(75,848)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w w:val="93"/>
              </w:rPr>
              <w:t>(218,702)</w:t>
            </w:r>
          </w:p>
        </w:tc>
        <w:tc>
          <w:tcPr>
            <w:tcW w:w="260" w:type="dxa"/>
            <w:vAlign w:val="bottom"/>
          </w:tcPr>
          <w:p>
            <w:pPr>
              <w:spacing w:after="0"/>
              <w:rPr>
                <w:sz w:val="15"/>
                <w:szCs w:val="15"/>
                <w:color w:val="auto"/>
              </w:rPr>
            </w:pPr>
          </w:p>
        </w:tc>
        <w:tc>
          <w:tcPr>
            <w:tcW w:w="7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(6,079)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cash provided by financing activities</w:t>
            </w: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543,948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132,577</w:t>
            </w:r>
          </w:p>
        </w:tc>
        <w:tc>
          <w:tcPr>
            <w:tcW w:w="2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153,222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80" w:type="dxa"/>
            <w:vAlign w:val="bottom"/>
          </w:tcPr>
          <w:p>
            <w:pPr>
              <w:spacing w:after="0" w:line="170" w:lineRule="exact"/>
              <w:rPr>
                <w:sz w:val="20"/>
                <w:szCs w:val="20"/>
                <w:color w:val="auto"/>
              </w:rPr>
            </w:pPr>
            <w:r>
              <w:rPr>
                <w:rFonts w:ascii="Arial" w:cs="Arial" w:eastAsia="Arial" w:hAnsi="Arial"/>
                <w:sz w:val="18"/>
                <w:szCs w:val="18"/>
                <w:color w:val="auto"/>
              </w:rPr>
              <w:t>Net increase (decrease) in cash and cash equivalents</w:t>
            </w:r>
          </w:p>
        </w:tc>
        <w:tc>
          <w:tcPr>
            <w:tcW w:w="1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8"/>
              </w:rPr>
              <w:t>348,235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3"/>
              </w:rPr>
              <w:t>(110,638)</w:t>
            </w: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84"/>
              </w:rPr>
              <w:t>$ 115,467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Net Cash Used in Operating Activities. </w:t>
      </w:r>
      <w:r>
        <w:rPr>
          <w:rFonts w:ascii="Arial" w:cs="Arial" w:eastAsia="Arial" w:hAnsi="Arial"/>
          <w:sz w:val="17"/>
          <w:szCs w:val="17"/>
          <w:color w:val="auto"/>
        </w:rPr>
        <w:t>Net cash used in operating activities was $119.9 million during the year</w:t>
      </w:r>
    </w:p>
    <w:p>
      <w:pPr>
        <w:spacing w:after="0" w:line="229" w:lineRule="auto"/>
        <w:rPr>
          <w:sz w:val="20"/>
          <w:szCs w:val="20"/>
          <w:color w:val="auto"/>
        </w:rPr>
      </w:pPr>
      <w:r>
        <w:rPr>
          <w:rFonts w:ascii="Arial" w:cs="Arial" w:eastAsia="Arial" w:hAnsi="Arial"/>
          <w:sz w:val="16"/>
          <w:szCs w:val="16"/>
          <w:color w:val="auto"/>
        </w:rPr>
        <w:t>ended December 31, 2017 compared to net cash used in operating activities of $24.5 million during year ended December 31,</w:t>
      </w:r>
    </w:p>
    <w:p>
      <w:pPr>
        <w:spacing w:after="0" w:line="229" w:lineRule="auto"/>
        <w:rPr>
          <w:sz w:val="20"/>
          <w:szCs w:val="20"/>
          <w:color w:val="auto"/>
        </w:rPr>
      </w:pPr>
      <w:r>
        <w:rPr>
          <w:rFonts w:ascii="Arial" w:cs="Arial" w:eastAsia="Arial" w:hAnsi="Arial"/>
          <w:sz w:val="16"/>
          <w:szCs w:val="16"/>
          <w:color w:val="auto"/>
        </w:rPr>
        <w:t>2016. The increase in net cash used in operating activities was primarily due to an increase in net loss of $75.6 million for the</w:t>
      </w:r>
    </w:p>
    <w:p>
      <w:pPr>
        <w:spacing w:after="0" w:line="229" w:lineRule="auto"/>
        <w:rPr>
          <w:sz w:val="20"/>
          <w:szCs w:val="20"/>
          <w:color w:val="auto"/>
        </w:rPr>
      </w:pPr>
      <w:r>
        <w:rPr>
          <w:rFonts w:ascii="Arial" w:cs="Arial" w:eastAsia="Arial" w:hAnsi="Arial"/>
          <w:sz w:val="16"/>
          <w:szCs w:val="16"/>
          <w:color w:val="auto"/>
        </w:rPr>
        <w:t>year end December 31, 2017 as compared to the year ended December 31, 2016 as well as changes in deferred revenue</w:t>
      </w:r>
    </w:p>
    <w:p>
      <w:pPr>
        <w:spacing w:after="0" w:line="215" w:lineRule="auto"/>
        <w:rPr>
          <w:sz w:val="20"/>
          <w:szCs w:val="20"/>
          <w:color w:val="auto"/>
        </w:rPr>
      </w:pPr>
      <w:r>
        <w:rPr>
          <w:rFonts w:ascii="Arial" w:cs="Arial" w:eastAsia="Arial" w:hAnsi="Arial"/>
          <w:sz w:val="17"/>
          <w:szCs w:val="17"/>
          <w:color w:val="auto"/>
        </w:rPr>
        <w:t>related to the timing and amount of upfront payments from Roche. In the year ended December 31, 2016, we received a</w:t>
      </w:r>
    </w:p>
    <w:p>
      <w:pPr>
        <w:spacing w:after="0" w:line="229" w:lineRule="auto"/>
        <w:rPr>
          <w:sz w:val="20"/>
          <w:szCs w:val="20"/>
          <w:color w:val="auto"/>
        </w:rPr>
      </w:pPr>
      <w:r>
        <w:rPr>
          <w:rFonts w:ascii="Arial" w:cs="Arial" w:eastAsia="Arial" w:hAnsi="Arial"/>
          <w:sz w:val="16"/>
          <w:szCs w:val="16"/>
          <w:color w:val="auto"/>
        </w:rPr>
        <w:t>$45.0 million upfront payment from Roche compared to no upfront payments received during the year ended December 31,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115" w:lineRule="exact"/>
        <w:rPr>
          <w:sz w:val="20"/>
          <w:szCs w:val="20"/>
          <w:color w:val="auto"/>
        </w:rPr>
      </w:pPr>
    </w:p>
    <w:p>
      <w:pPr>
        <w:ind w:right="200" w:firstLine="648"/>
        <w:spacing w:after="0" w:line="244" w:lineRule="auto"/>
        <w:rPr>
          <w:sz w:val="20"/>
          <w:szCs w:val="20"/>
          <w:color w:val="auto"/>
        </w:rPr>
      </w:pPr>
      <w:r>
        <w:rPr>
          <w:rFonts w:ascii="Arial" w:cs="Arial" w:eastAsia="Arial" w:hAnsi="Arial"/>
          <w:sz w:val="16"/>
          <w:szCs w:val="16"/>
          <w:color w:val="auto"/>
        </w:rPr>
        <w:t>Net cash used in operating activities was $24.5 million during the year ended December 31, 2016 compared to net cash used in operating activities of $31.7 million during year ended December 31, 2015. The decrease in net cash used in operating activities was primarily due to changes in deferred revenue related to the timing and amount of upfront payments from Alexion and Roche, partially offset by an increase in net loss of $19.7 million for the year end December 31, 2016 as compared to the year ended December 31, 2015. In the year ended December 31, 2016, we received a $45.0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00" w:name="page101"/>
    <w:bookmarkEnd w:id="10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640"/>
        <w:spacing w:after="0" w:line="235" w:lineRule="auto"/>
        <w:rPr>
          <w:sz w:val="20"/>
          <w:szCs w:val="20"/>
          <w:color w:val="auto"/>
        </w:rPr>
      </w:pPr>
      <w:r>
        <w:rPr>
          <w:rFonts w:ascii="Arial" w:cs="Arial" w:eastAsia="Arial" w:hAnsi="Arial"/>
          <w:sz w:val="18"/>
          <w:szCs w:val="18"/>
          <w:color w:val="auto"/>
        </w:rPr>
        <w:t>million upfront payment from Roche, and in the year ended December 31, 2015, we received a $15.0 million upfront payment from Alexion.</w:t>
      </w:r>
    </w:p>
    <w:p>
      <w:pPr>
        <w:spacing w:after="0" w:line="162" w:lineRule="exact"/>
        <w:rPr>
          <w:sz w:val="20"/>
          <w:szCs w:val="20"/>
          <w:color w:val="auto"/>
        </w:rPr>
      </w:pPr>
    </w:p>
    <w:p>
      <w:pPr>
        <w:ind w:right="100" w:firstLine="648"/>
        <w:spacing w:after="0" w:line="241" w:lineRule="auto"/>
        <w:rPr>
          <w:sz w:val="20"/>
          <w:szCs w:val="20"/>
          <w:color w:val="auto"/>
        </w:rPr>
      </w:pPr>
      <w:r>
        <w:rPr>
          <w:rFonts w:ascii="Arial" w:cs="Arial" w:eastAsia="Arial" w:hAnsi="Arial"/>
          <w:sz w:val="16"/>
          <w:szCs w:val="16"/>
          <w:i w:val="1"/>
          <w:iCs w:val="1"/>
          <w:color w:val="auto"/>
        </w:rPr>
        <w:t xml:space="preserve">Net Cash Used in Investing Activities. </w:t>
      </w:r>
      <w:r>
        <w:rPr>
          <w:rFonts w:ascii="Arial" w:cs="Arial" w:eastAsia="Arial" w:hAnsi="Arial"/>
          <w:sz w:val="16"/>
          <w:szCs w:val="16"/>
          <w:color w:val="auto"/>
        </w:rPr>
        <w:t>Net cash used in investing activities was $75.8 million during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2017 compared to net cash used in investing activities of $218.7 million during the year ended December 31, 2016. Net cash used in investing activities for the year ended December 31, 2017 consisted primarily of purchases of investments, offset by maturities. We classify these investments as available-for-sale and record them at fair value in the accompanying consolidated balance sheets. Net cash used in investing activities for the year ended December 31, 2017 also consisted of purchases of property and equipment, mainly related to the relocation of our headquarters.</w:t>
      </w:r>
    </w:p>
    <w:p>
      <w:pPr>
        <w:spacing w:after="0" w:line="161" w:lineRule="exact"/>
        <w:rPr>
          <w:sz w:val="20"/>
          <w:szCs w:val="20"/>
          <w:color w:val="auto"/>
        </w:rPr>
      </w:pPr>
    </w:p>
    <w:p>
      <w:pPr>
        <w:ind w:right="120" w:firstLine="648"/>
        <w:spacing w:after="0" w:line="214" w:lineRule="auto"/>
        <w:rPr>
          <w:sz w:val="20"/>
          <w:szCs w:val="20"/>
          <w:color w:val="auto"/>
        </w:rPr>
      </w:pPr>
      <w:r>
        <w:rPr>
          <w:rFonts w:ascii="Arial" w:cs="Arial" w:eastAsia="Arial" w:hAnsi="Arial"/>
          <w:sz w:val="18"/>
          <w:szCs w:val="18"/>
          <w:color w:val="auto"/>
        </w:rPr>
        <w:t>Net cash used in investing activities was $218.7 million during the year ended December 31, 2016 compared to net cash used in investing activities of $6.1 million during the year ended December 31, 2015. Net cash used in investing activities for the year ended December 31, 2016 consisted primarily of purchases and maturities of investments. We classify these investments as available-for-sale and record them at fair value in the accompanying condensed consolidated balance sheets. Net cash used in investing activities for the year ended December 31, 2015 consisted primarily of purchases of property and equipment.</w:t>
      </w:r>
    </w:p>
    <w:p>
      <w:pPr>
        <w:spacing w:after="0" w:line="162"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i w:val="1"/>
          <w:iCs w:val="1"/>
          <w:color w:val="auto"/>
        </w:rPr>
        <w:t xml:space="preserve">Net Cash Provided by Financing Activities. </w:t>
      </w:r>
      <w:r>
        <w:rPr>
          <w:rFonts w:ascii="Arial" w:cs="Arial" w:eastAsia="Arial" w:hAnsi="Arial"/>
          <w:sz w:val="16"/>
          <w:szCs w:val="16"/>
          <w:color w:val="auto"/>
        </w:rPr>
        <w:t>Net cash provided by financing activities was $543.9 million 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December 31, 2017 compared to net cash provided by financing activities of $132.6 million during the year ended December 31, 2016. Net cash provided by financing activities for the year ended December 31, 2017 was primarily due to $541.3 million in net proceeds from public offerings of common stock as well as $5.3 million in proceeds from the issuance of common stock, partially offset by $2.6 million of principal payments on the term loan payable. Net cash provided by financing activities for the year ended December 31, 2016 was primarily due to $135.0 million in net proceeds from our December 2016 follow-on underwritten public offering, after deducting underwriting discounts and commissions and offering expenses payable by us, partially offset by $3.3 million of principal payments on the term loan payable.</w:t>
      </w:r>
    </w:p>
    <w:p>
      <w:pPr>
        <w:spacing w:after="0" w:line="167"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Net cash provided by financing activities was $132.6 million during the year ended December 31, 2016 compared to net cash provided by financing activities of $153.2 million during the year ended December 31, 2015. Net cash provided by financing activities for the year ended December 31, 2016 was primarily due to $135.0 million in net proceeds from our December 2016 follow-on underwritten public offering, after deducting underwriting discounts and commissions and offering expenses payable by us, partially offset by $3.3 million of principal payments on term loan payable. Net cash provided by financing activities for the year ended December 31, 2015 was primarily due to $154.8 million of net proceeds from our IPO, after deducting underwriting discounts and commissions and offering expenses payable by us, partially offset by $1.8 million of principal payments on term loan payable.</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Borrowings</w:t>
      </w:r>
    </w:p>
    <w:p>
      <w:pPr>
        <w:spacing w:after="0" w:line="185"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In May 2013, we entered into the loan and security agreement with Silicon Valley Bank. Under the terms of the loan and security agreement, we borrowed $5.0 million. Loan advances under the loan and security agreement accrue interest at a fixed rate of 2.0% above the prime rate. In November 2014, we amended the loan and security agreement and borrowed an additional $5.0 million. Each loan advance included an interest-only payment period. During 2014, we paid principal payments of $0.7 million on the first $3.0 million of advances. During the years ended December 31, 2017, 2016 and 2015, we paid principal payments of $2.6 million, $3.3 million and $1.8 million, respectively, on the $10.0 million of advances. We are required to pay a fee of 4% of the total loan advances at the end of the term of the loan. There are no financial covenants associated with the loan and security agreement. As of December 31, 2017, we had $1.5 million in outstanding principal under the loan and security agreement.</w:t>
      </w:r>
    </w:p>
    <w:p>
      <w:pPr>
        <w:spacing w:after="0" w:line="162"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The term loan is collateralized by a blanket lien on all corporate assets, excluding intellectual property, and by a negative pledge of our intellectual property. The term loan contains covenants, including restrictions on dividends and default provisions. We have determined that the risk of subjective acceleration under the material adverse events clause is remote and therefore has classified the outstanding principal in current and long term liabilities based on scheduled principal payments.</w:t>
      </w:r>
    </w:p>
    <w:p>
      <w:pPr>
        <w:spacing w:after="0" w:line="155" w:lineRule="exact"/>
        <w:rPr>
          <w:sz w:val="20"/>
          <w:szCs w:val="20"/>
          <w:color w:val="auto"/>
        </w:rPr>
      </w:pPr>
    </w:p>
    <w:p>
      <w:pPr>
        <w:ind w:right="60" w:firstLine="648"/>
        <w:spacing w:after="0" w:line="235" w:lineRule="auto"/>
        <w:rPr>
          <w:sz w:val="20"/>
          <w:szCs w:val="20"/>
          <w:color w:val="auto"/>
        </w:rPr>
      </w:pPr>
      <w:r>
        <w:rPr>
          <w:rFonts w:ascii="Arial" w:cs="Arial" w:eastAsia="Arial" w:hAnsi="Arial"/>
          <w:sz w:val="18"/>
          <w:szCs w:val="18"/>
          <w:color w:val="auto"/>
        </w:rPr>
        <w:t>See Note 9, “Term Loan,” in the accompanying notes to our audited consolidated financial statements for additional information.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1" w:name="page102"/>
    <w:bookmarkEnd w:id="10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Funding Requirements</w:t>
      </w:r>
    </w:p>
    <w:p>
      <w:pPr>
        <w:spacing w:after="0" w:line="185" w:lineRule="exact"/>
        <w:rPr>
          <w:sz w:val="20"/>
          <w:szCs w:val="20"/>
          <w:color w:val="auto"/>
        </w:rPr>
      </w:pPr>
    </w:p>
    <w:p>
      <w:pPr>
        <w:ind w:right="60" w:firstLine="648"/>
        <w:spacing w:after="0" w:line="237" w:lineRule="auto"/>
        <w:rPr>
          <w:sz w:val="20"/>
          <w:szCs w:val="20"/>
          <w:color w:val="auto"/>
        </w:rPr>
      </w:pPr>
      <w:r>
        <w:rPr>
          <w:rFonts w:ascii="Arial" w:cs="Arial" w:eastAsia="Arial" w:hAnsi="Arial"/>
          <w:sz w:val="16"/>
          <w:szCs w:val="16"/>
          <w:color w:val="auto"/>
        </w:rPr>
        <w:t>We expect our expenses to increase in connection with our ongoing activities, particularly as we continue the research and development of, continue and initiate clinical trials of, and seek marketing approval for, our drug candidates. In addition, if we obtain marketing approval for any of our drug candidates, we expect to incur significant commercialization expenses related to drug sales, marketing, manufacturing and distribution to the extent that such sales, marketing and distribution are not the responsibility of potential collaborators.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67" w:lineRule="exact"/>
        <w:rPr>
          <w:sz w:val="20"/>
          <w:szCs w:val="20"/>
          <w:color w:val="auto"/>
        </w:rPr>
      </w:pPr>
    </w:p>
    <w:p>
      <w:pPr>
        <w:ind w:right="100" w:firstLine="648"/>
        <w:spacing w:after="0" w:line="216" w:lineRule="auto"/>
        <w:rPr>
          <w:sz w:val="20"/>
          <w:szCs w:val="20"/>
          <w:color w:val="auto"/>
        </w:rPr>
      </w:pPr>
      <w:r>
        <w:rPr>
          <w:rFonts w:ascii="Arial" w:cs="Arial" w:eastAsia="Arial" w:hAnsi="Arial"/>
          <w:sz w:val="18"/>
          <w:szCs w:val="18"/>
          <w:color w:val="auto"/>
        </w:rPr>
        <w:t>As of December 31, 2017, we had cash, cash equivalents and investments of $673.4 million. Based on our current plans, we expect that our existing cash, cash equivalents and investments, excluding any potential option fees and milestone payments under our existing collaboration with Roche, will be sufficient to enable us to fund our operating expenses and capital expenditure requirements into the middle of 2020. Our future capital requirements will depend on many factors, including:</w:t>
      </w:r>
    </w:p>
    <w:p>
      <w:pPr>
        <w:spacing w:after="0" w:line="162" w:lineRule="exact"/>
        <w:rPr>
          <w:sz w:val="20"/>
          <w:szCs w:val="20"/>
          <w:color w:val="auto"/>
        </w:rPr>
      </w:pPr>
    </w:p>
    <w:p>
      <w:pPr>
        <w:ind w:left="1300" w:right="240" w:hanging="325"/>
        <w:spacing w:after="0" w:line="235"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trials for our drug candidates;</w:t>
      </w:r>
    </w:p>
    <w:p>
      <w:pPr>
        <w:spacing w:after="0" w:line="161" w:lineRule="exact"/>
        <w:rPr>
          <w:rFonts w:ascii="Arial" w:cs="Arial" w:eastAsia="Arial" w:hAnsi="Arial"/>
          <w:sz w:val="18"/>
          <w:szCs w:val="18"/>
          <w:color w:val="auto"/>
        </w:rPr>
      </w:pPr>
    </w:p>
    <w:p>
      <w:pPr>
        <w:ind w:left="1300" w:right="360" w:hanging="325"/>
        <w:spacing w:after="0" w:line="235"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costs of producing drug substance and drug product material for use in pre-clinical studies, clinical trials and for use as commercial supply;</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scope, prioritization and number of our research and development programs;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success of our collaboration with Roche;</w:t>
      </w:r>
    </w:p>
    <w:p>
      <w:pPr>
        <w:spacing w:after="0" w:line="184" w:lineRule="exact"/>
        <w:rPr>
          <w:rFonts w:ascii="Arial" w:cs="Arial" w:eastAsia="Arial" w:hAnsi="Arial"/>
          <w:sz w:val="18"/>
          <w:szCs w:val="18"/>
          <w:color w:val="auto"/>
        </w:rPr>
      </w:pPr>
    </w:p>
    <w:p>
      <w:pPr>
        <w:ind w:left="1300" w:right="340" w:hanging="325"/>
        <w:spacing w:after="0" w:line="189" w:lineRule="exact"/>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success of our current or future companion diagnostic test collaborations, including our companion diagnostic tests for avapritinib in order to identify GIST patients with the PDGFRα D842V mutation, BLU</w:t>
      </w:r>
      <w:r>
        <w:rPr>
          <w:rFonts w:ascii="MS PGothic" w:cs="MS PGothic" w:eastAsia="MS PGothic" w:hAnsi="MS PGothic"/>
          <w:sz w:val="18"/>
          <w:szCs w:val="18"/>
          <w:color w:val="auto"/>
        </w:rPr>
        <w:t>‑</w:t>
      </w:r>
      <w:r>
        <w:rPr>
          <w:rFonts w:ascii="Arial" w:cs="Arial" w:eastAsia="Arial" w:hAnsi="Arial"/>
          <w:sz w:val="18"/>
          <w:szCs w:val="18"/>
          <w:color w:val="auto"/>
        </w:rPr>
        <w:t>554 in order to identify HCC patients with FGFR4 pathway activation and BLU-667 in order to identify NSCLC patients with RET fusions;</w:t>
      </w:r>
    </w:p>
    <w:p>
      <w:pPr>
        <w:spacing w:after="0" w:line="162" w:lineRule="exact"/>
        <w:rPr>
          <w:rFonts w:ascii="Arial" w:cs="Arial" w:eastAsia="Arial" w:hAnsi="Arial"/>
          <w:sz w:val="18"/>
          <w:szCs w:val="18"/>
          <w:color w:val="auto"/>
        </w:rPr>
      </w:pPr>
    </w:p>
    <w:p>
      <w:pPr>
        <w:ind w:left="1300" w:hanging="325"/>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drug candidates;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184" w:lineRule="exact"/>
        <w:rPr>
          <w:rFonts w:ascii="Arial" w:cs="Arial" w:eastAsia="Arial" w:hAnsi="Arial"/>
          <w:sz w:val="18"/>
          <w:szCs w:val="18"/>
          <w:color w:val="auto"/>
        </w:rPr>
      </w:pPr>
    </w:p>
    <w:p>
      <w:pPr>
        <w:ind w:left="1300" w:right="540" w:hanging="325"/>
        <w:spacing w:after="0" w:line="235"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any collaboration agreements we obtain;</w:t>
      </w:r>
    </w:p>
    <w:p>
      <w:pPr>
        <w:spacing w:after="0" w:line="161" w:lineRule="exact"/>
        <w:rPr>
          <w:rFonts w:ascii="Arial" w:cs="Arial" w:eastAsia="Arial" w:hAnsi="Arial"/>
          <w:sz w:val="18"/>
          <w:szCs w:val="18"/>
          <w:color w:val="auto"/>
        </w:rPr>
      </w:pPr>
    </w:p>
    <w:p>
      <w:pPr>
        <w:ind w:left="1300" w:right="40" w:hanging="325"/>
        <w:spacing w:after="0" w:line="235"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extent to which we are obligated to reimburse, or entitled to reimbursement of, clinical trial costs under future collaboration agreements, if any;</w:t>
      </w:r>
    </w:p>
    <w:p>
      <w:pPr>
        <w:spacing w:after="0" w:line="161" w:lineRule="exact"/>
        <w:rPr>
          <w:rFonts w:ascii="Arial" w:cs="Arial" w:eastAsia="Arial" w:hAnsi="Arial"/>
          <w:sz w:val="18"/>
          <w:szCs w:val="18"/>
          <w:color w:val="auto"/>
        </w:rPr>
      </w:pPr>
    </w:p>
    <w:p>
      <w:pPr>
        <w:ind w:left="1300" w:hanging="325"/>
        <w:spacing w:after="0" w:line="203" w:lineRule="exact"/>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161" w:lineRule="exact"/>
        <w:rPr>
          <w:rFonts w:ascii="Arial" w:cs="Arial" w:eastAsia="Arial" w:hAnsi="Arial"/>
          <w:sz w:val="18"/>
          <w:szCs w:val="18"/>
          <w:color w:val="auto"/>
        </w:rPr>
      </w:pPr>
    </w:p>
    <w:p>
      <w:pPr>
        <w:ind w:left="1300" w:hanging="325"/>
        <w:spacing w:after="0" w:line="207" w:lineRule="exact"/>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extent to which we acquire or in</w:t>
      </w:r>
      <w:r>
        <w:rPr>
          <w:rFonts w:ascii="MS PGothic" w:cs="MS PGothic" w:eastAsia="MS PGothic" w:hAnsi="MS PGothic"/>
          <w:sz w:val="18"/>
          <w:szCs w:val="18"/>
          <w:color w:val="auto"/>
        </w:rPr>
        <w:t>‑</w:t>
      </w:r>
      <w:r>
        <w:rPr>
          <w:rFonts w:ascii="Arial" w:cs="Arial" w:eastAsia="Arial" w:hAnsi="Arial"/>
          <w:sz w:val="18"/>
          <w:szCs w:val="18"/>
          <w:color w:val="auto"/>
        </w:rPr>
        <w:t>license other drug candidates and technologies;</w:t>
      </w:r>
    </w:p>
    <w:p>
      <w:pPr>
        <w:spacing w:after="0" w:line="184" w:lineRule="exact"/>
        <w:rPr>
          <w:rFonts w:ascii="Arial" w:cs="Arial" w:eastAsia="Arial" w:hAnsi="Arial"/>
          <w:sz w:val="18"/>
          <w:szCs w:val="18"/>
          <w:color w:val="auto"/>
        </w:rPr>
      </w:pPr>
    </w:p>
    <w:p>
      <w:pPr>
        <w:ind w:left="1300" w:right="160" w:hanging="325"/>
        <w:spacing w:after="0" w:line="235"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development activities and commercial production; and</w:t>
      </w:r>
    </w:p>
    <w:p>
      <w:pPr>
        <w:spacing w:after="0" w:line="161" w:lineRule="exact"/>
        <w:rPr>
          <w:rFonts w:ascii="Arial" w:cs="Arial" w:eastAsia="Arial" w:hAnsi="Arial"/>
          <w:sz w:val="18"/>
          <w:szCs w:val="18"/>
          <w:color w:val="auto"/>
        </w:rPr>
      </w:pPr>
    </w:p>
    <w:p>
      <w:pPr>
        <w:ind w:left="1300" w:right="540" w:hanging="325"/>
        <w:spacing w:after="0" w:line="235"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marketing and distribution capabilities if we obtain regulatory approvals to market our drug candidates.</w:t>
      </w:r>
    </w:p>
    <w:p>
      <w:pPr>
        <w:spacing w:after="0" w:line="162" w:lineRule="exact"/>
        <w:rPr>
          <w:sz w:val="20"/>
          <w:szCs w:val="20"/>
          <w:color w:val="auto"/>
        </w:rPr>
      </w:pPr>
    </w:p>
    <w:p>
      <w:pPr>
        <w:ind w:right="340" w:firstLine="648"/>
        <w:spacing w:after="0" w:line="203" w:lineRule="exact"/>
        <w:rPr>
          <w:sz w:val="20"/>
          <w:szCs w:val="20"/>
          <w:color w:val="auto"/>
        </w:rPr>
      </w:pPr>
      <w:r>
        <w:rPr>
          <w:rFonts w:ascii="Arial" w:cs="Arial" w:eastAsia="Arial" w:hAnsi="Arial"/>
          <w:sz w:val="16"/>
          <w:szCs w:val="16"/>
          <w:color w:val="auto"/>
        </w:rPr>
        <w:t>Identifying potential drug candidates and conducting pre-clinical studies and clinical trials is a time</w:t>
      </w:r>
      <w:r>
        <w:rPr>
          <w:rFonts w:ascii="MS PGothic" w:cs="MS PGothic" w:eastAsia="MS PGothic" w:hAnsi="MS PGothic"/>
          <w:sz w:val="16"/>
          <w:szCs w:val="16"/>
          <w:color w:val="auto"/>
        </w:rPr>
        <w:t>‑</w:t>
      </w:r>
      <w:r>
        <w:rPr>
          <w:rFonts w:ascii="Arial" w:cs="Arial" w:eastAsia="Arial" w:hAnsi="Arial"/>
          <w:sz w:val="16"/>
          <w:szCs w:val="16"/>
          <w:color w:val="auto"/>
        </w:rPr>
        <w:t>consuming, expensive and uncertain process that takes many years to complete, and we may never generate the necessary data or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02" w:name="page103"/>
    <w:bookmarkEnd w:id="10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results required to obtain marketing approval and achieve drug sales. In addition, our drug candidates, if approved, may not achieve commercial success. Our commercial revenues, if any, will be derived from sales of drugs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55"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Until such time, if ever, as we can generate substantial drug revenues, we expect to finance our cash needs through a combination of equity offerings, debt financings, collaborations, strategic alliances and licensing arrangements. At this time, we do not have any committed external source of funds outside of potential funds to be earned under our collaboration with Roche.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w:t>
      </w:r>
    </w:p>
    <w:p>
      <w:pPr>
        <w:spacing w:after="0" w:line="168" w:lineRule="exact"/>
        <w:rPr>
          <w:sz w:val="20"/>
          <w:szCs w:val="20"/>
          <w:color w:val="auto"/>
        </w:rPr>
      </w:pPr>
    </w:p>
    <w:p>
      <w:pPr>
        <w:ind w:right="60" w:firstLine="648"/>
        <w:spacing w:after="0" w:line="214"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our significant contractual obligations as of payment due date by period at</w:t>
      </w:r>
    </w:p>
    <w:p>
      <w:pPr>
        <w:spacing w:after="0"/>
        <w:rPr>
          <w:sz w:val="20"/>
          <w:szCs w:val="20"/>
          <w:color w:val="auto"/>
        </w:rPr>
      </w:pPr>
      <w:r>
        <w:rPr>
          <w:rFonts w:ascii="Arial" w:cs="Arial" w:eastAsia="Arial" w:hAnsi="Arial"/>
          <w:sz w:val="18"/>
          <w:szCs w:val="18"/>
          <w:color w:val="auto"/>
        </w:rPr>
        <w:t>December 31, 2017: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4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2940" w:type="dxa"/>
            <w:vAlign w:val="bottom"/>
            <w:tcBorders>
              <w:top w:val="single" w:sz="8" w:color="auto"/>
              <w:bottom w:val="single" w:sz="8" w:color="auto"/>
            </w:tcBorders>
            <w:gridSpan w:val="7"/>
          </w:tcPr>
          <w:p>
            <w:pPr>
              <w:ind w:left="980"/>
              <w:spacing w:after="0" w:line="189" w:lineRule="exact"/>
              <w:rPr>
                <w:sz w:val="20"/>
                <w:szCs w:val="20"/>
                <w:color w:val="auto"/>
              </w:rPr>
            </w:pPr>
            <w:r>
              <w:rPr>
                <w:rFonts w:ascii="Arial" w:cs="Arial" w:eastAsia="Arial" w:hAnsi="Arial"/>
                <w:sz w:val="18"/>
                <w:szCs w:val="18"/>
                <w:b w:val="1"/>
                <w:bCs w:val="1"/>
                <w:color w:val="auto"/>
                <w:w w:val="91"/>
              </w:rPr>
              <w:t>Payments Due by Period</w:t>
            </w:r>
          </w:p>
        </w:tc>
        <w:tc>
          <w:tcPr>
            <w:tcW w:w="10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94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1"/>
                <w:szCs w:val="11"/>
                <w:color w:val="auto"/>
              </w:rPr>
            </w:pPr>
          </w:p>
        </w:tc>
        <w:tc>
          <w:tcPr>
            <w:tcW w:w="120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rPr>
              <w:t>Less than 1</w:t>
            </w:r>
          </w:p>
        </w:tc>
        <w:tc>
          <w:tcPr>
            <w:tcW w:w="220" w:type="dxa"/>
            <w:vAlign w:val="bottom"/>
          </w:tcPr>
          <w:p>
            <w:pPr>
              <w:spacing w:after="0"/>
              <w:rPr>
                <w:sz w:val="11"/>
                <w:szCs w:val="11"/>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1 to 3 Years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3 to 5 Years</w:t>
            </w:r>
          </w:p>
        </w:tc>
        <w:tc>
          <w:tcPr>
            <w:tcW w:w="200" w:type="dxa"/>
            <w:vAlign w:val="bottom"/>
          </w:tcPr>
          <w:p>
            <w:pPr>
              <w:spacing w:after="0"/>
              <w:rPr>
                <w:sz w:val="11"/>
                <w:szCs w:val="11"/>
                <w:color w:val="auto"/>
              </w:rPr>
            </w:pPr>
          </w:p>
        </w:tc>
        <w:tc>
          <w:tcPr>
            <w:tcW w:w="11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More than 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7"/>
              </w:rPr>
              <w:t>Year</w:t>
            </w: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Years</w:t>
            </w:r>
          </w:p>
        </w:tc>
        <w:tc>
          <w:tcPr>
            <w:tcW w:w="0" w:type="dxa"/>
            <w:vAlign w:val="bottom"/>
          </w:tcPr>
          <w:p>
            <w:pPr>
              <w:spacing w:after="0"/>
              <w:rPr>
                <w:sz w:val="1"/>
                <w:szCs w:val="1"/>
                <w:color w:val="auto"/>
              </w:rPr>
            </w:pPr>
          </w:p>
        </w:tc>
      </w:tr>
      <w:tr>
        <w:trPr>
          <w:trHeight w:val="129"/>
        </w:trPr>
        <w:tc>
          <w:tcPr>
            <w:tcW w:w="19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Operating lease</w:t>
            </w:r>
          </w:p>
        </w:tc>
        <w:tc>
          <w:tcPr>
            <w:tcW w:w="14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112,842</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7,664</w:t>
            </w: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15,541</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22,095</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67,542</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(1)</w:t>
            </w:r>
          </w:p>
        </w:tc>
        <w:tc>
          <w:tcPr>
            <w:tcW w:w="140" w:type="dxa"/>
            <w:vAlign w:val="bottom"/>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940" w:type="dxa"/>
            <w:vAlign w:val="bottom"/>
          </w:tcPr>
          <w:p>
            <w:pPr>
              <w:spacing w:after="0" w:line="176" w:lineRule="exact"/>
              <w:rPr>
                <w:sz w:val="20"/>
                <w:szCs w:val="20"/>
                <w:color w:val="auto"/>
              </w:rPr>
            </w:pPr>
            <w:r>
              <w:rPr>
                <w:rFonts w:ascii="Arial" w:cs="Arial" w:eastAsia="Arial" w:hAnsi="Arial"/>
                <w:sz w:val="18"/>
                <w:szCs w:val="18"/>
                <w:color w:val="auto"/>
              </w:rPr>
              <w:t>Debt repayments (2)</w:t>
            </w:r>
          </w:p>
        </w:tc>
        <w:tc>
          <w:tcPr>
            <w:tcW w:w="140" w:type="dxa"/>
            <w:vAlign w:val="bottom"/>
          </w:tcPr>
          <w:p>
            <w:pPr>
              <w:spacing w:after="0"/>
              <w:rPr>
                <w:sz w:val="15"/>
                <w:szCs w:val="15"/>
                <w:color w:val="auto"/>
              </w:rPr>
            </w:pPr>
          </w:p>
        </w:tc>
        <w:tc>
          <w:tcPr>
            <w:tcW w:w="11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1,568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1,568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Capital lease obligation</w:t>
            </w:r>
          </w:p>
        </w:tc>
        <w:tc>
          <w:tcPr>
            <w:tcW w:w="1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40" w:type="dxa"/>
            <w:vAlign w:val="bottom"/>
          </w:tcPr>
          <w:p>
            <w:pPr>
              <w:spacing w:after="0" w:line="170"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gridSpan w:val="2"/>
          </w:tcPr>
          <w:p>
            <w:pPr>
              <w:jc w:val="right"/>
              <w:spacing w:after="0" w:line="170" w:lineRule="exact"/>
              <w:rPr>
                <w:sz w:val="20"/>
                <w:szCs w:val="20"/>
                <w:color w:val="auto"/>
              </w:rPr>
            </w:pPr>
            <w:r>
              <w:rPr>
                <w:rFonts w:ascii="Arial" w:cs="Arial" w:eastAsia="Arial" w:hAnsi="Arial"/>
                <w:sz w:val="18"/>
                <w:szCs w:val="18"/>
                <w:color w:val="auto"/>
              </w:rPr>
              <w:t>114,728</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9,414</w:t>
            </w:r>
          </w:p>
        </w:tc>
        <w:tc>
          <w:tcPr>
            <w:tcW w:w="80" w:type="dxa"/>
            <w:vAlign w:val="bottom"/>
          </w:tcPr>
          <w:p>
            <w:pPr>
              <w:spacing w:after="0"/>
              <w:rPr>
                <w:sz w:val="15"/>
                <w:szCs w:val="15"/>
                <w:color w:val="auto"/>
              </w:rPr>
            </w:pPr>
          </w:p>
        </w:tc>
        <w:tc>
          <w:tcPr>
            <w:tcW w:w="2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15,677</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22,095</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67,542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9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980" w:right="220" w:hanging="329"/>
        <w:spacing w:after="0" w:line="224" w:lineRule="auto"/>
        <w:tabs>
          <w:tab w:leader="none" w:pos="9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Represents future minimum lease payments under our non-cancelable operating leases, net of payments under our sublease for the office and laboratory space located at 38 Sidney Street, Cambridge, Massachusetts. The minimum lease payments above do not include any related common area maintenance charges or real estate taxes.</w:t>
      </w:r>
    </w:p>
    <w:p>
      <w:pPr>
        <w:spacing w:after="0" w:line="62" w:lineRule="exact"/>
        <w:rPr>
          <w:rFonts w:ascii="Arial" w:cs="Arial" w:eastAsia="Arial" w:hAnsi="Arial"/>
          <w:sz w:val="14"/>
          <w:szCs w:val="14"/>
          <w:color w:val="auto"/>
        </w:rPr>
      </w:pPr>
    </w:p>
    <w:p>
      <w:pPr>
        <w:ind w:left="980" w:right="60" w:hanging="329"/>
        <w:spacing w:after="0" w:line="236" w:lineRule="auto"/>
        <w:tabs>
          <w:tab w:leader="none" w:pos="9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Consists of payment obligations for principal and interest under the loan and security agreement with Silicon Valley Bank. As of December 31, 2017, we had $1.5 million in outstanding principal under the loan and security agreement with Silicon Valley Bank.</w:t>
      </w:r>
    </w:p>
    <w:p>
      <w:pPr>
        <w:spacing w:after="0" w:line="66"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We enter into agreements in the normal course of business with contract research organizations for clinical trials and clinical supply manufacturing and with vendors for pre-clinical research studies, synthetic chemistry and other services and products for operating purposes. We have not included these payments in the table of contractual obligations above since the contracts are generally cancelable at any time by us upon less than 180 days’ prior written notice. Certain of these agreements require us to pay milestones to such third parties upon achievement of certain development, regulatory or commercial milestones. Amounts related to contingent milestone payments are not considered contractual obligations as they are contingent on the successful achievement of certain development, regulatory approval and commercial milestones, which may not be achieved.</w:t>
      </w:r>
    </w:p>
    <w:p>
      <w:pPr>
        <w:spacing w:after="0" w:line="168" w:lineRule="exact"/>
        <w:rPr>
          <w:sz w:val="20"/>
          <w:szCs w:val="20"/>
          <w:color w:val="auto"/>
        </w:rPr>
      </w:pPr>
    </w:p>
    <w:p>
      <w:pPr>
        <w:ind w:right="100" w:firstLine="648"/>
        <w:spacing w:after="0" w:line="187" w:lineRule="exact"/>
        <w:rPr>
          <w:sz w:val="20"/>
          <w:szCs w:val="20"/>
          <w:color w:val="auto"/>
        </w:rPr>
      </w:pPr>
      <w:r>
        <w:rPr>
          <w:rFonts w:ascii="Arial" w:cs="Arial" w:eastAsia="Arial" w:hAnsi="Arial"/>
          <w:sz w:val="17"/>
          <w:szCs w:val="17"/>
          <w:color w:val="auto"/>
        </w:rPr>
        <w:t>We also have obligations to make future payments to third parties that become due and payable on the achievement of certain milestones, including future payments to third parties with whom we have entered into agreements to develop and commercialize companion diagnostic tests for avapritinib in order to identify GIST patients with the PDGFRα D842V mutation, BLU</w:t>
      </w:r>
      <w:r>
        <w:rPr>
          <w:rFonts w:ascii="MS PGothic" w:cs="MS PGothic" w:eastAsia="MS PGothic" w:hAnsi="MS PGothic"/>
          <w:sz w:val="17"/>
          <w:szCs w:val="17"/>
          <w:color w:val="auto"/>
        </w:rPr>
        <w:t>‑</w:t>
      </w:r>
      <w:r>
        <w:rPr>
          <w:rFonts w:ascii="Arial" w:cs="Arial" w:eastAsia="Arial" w:hAnsi="Arial"/>
          <w:sz w:val="17"/>
          <w:szCs w:val="17"/>
          <w:color w:val="auto"/>
        </w:rPr>
        <w:t>554 in order to identify HCC patients with FGFR4 pathway activation and BLU-667 in order to identify NSCLC patients with RET fusions. We have not included these commitments on our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3" w:name="page104"/>
    <w:bookmarkEnd w:id="10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300"/>
        <w:spacing w:after="0" w:line="311" w:lineRule="exact"/>
        <w:rPr>
          <w:sz w:val="20"/>
          <w:szCs w:val="20"/>
          <w:color w:val="auto"/>
        </w:rPr>
      </w:pPr>
      <w:r>
        <w:rPr>
          <w:rFonts w:ascii="Arial" w:cs="Arial" w:eastAsia="Arial" w:hAnsi="Arial"/>
          <w:sz w:val="18"/>
          <w:szCs w:val="18"/>
          <w:color w:val="auto"/>
        </w:rPr>
        <w:t xml:space="preserve">balance sheet or in the table above because the achievement and timing of these milestones is not fixed and determinable. </w:t>
      </w: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22" w:lineRule="exact"/>
        <w:rPr>
          <w:sz w:val="20"/>
          <w:szCs w:val="20"/>
          <w:color w:val="auto"/>
        </w:rPr>
      </w:pPr>
    </w:p>
    <w:p>
      <w:pPr>
        <w:ind w:right="20" w:firstLine="648"/>
        <w:spacing w:after="0" w:line="203" w:lineRule="exact"/>
        <w:rPr>
          <w:sz w:val="20"/>
          <w:szCs w:val="20"/>
          <w:color w:val="auto"/>
        </w:rPr>
      </w:pPr>
      <w:r>
        <w:rPr>
          <w:rFonts w:ascii="Arial" w:cs="Arial" w:eastAsia="Arial" w:hAnsi="Arial"/>
          <w:sz w:val="18"/>
          <w:szCs w:val="18"/>
          <w:color w:val="auto"/>
        </w:rPr>
        <w:t>We did not have, during the periods presented, and we do not currently have,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under applicable SEC rules.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62" w:lineRule="exact"/>
        <w:rPr>
          <w:sz w:val="20"/>
          <w:szCs w:val="20"/>
          <w:color w:val="auto"/>
        </w:rPr>
      </w:pPr>
    </w:p>
    <w:p>
      <w:pPr>
        <w:ind w:right="220" w:firstLine="648"/>
        <w:spacing w:after="0" w:line="258" w:lineRule="auto"/>
        <w:rPr>
          <w:sz w:val="20"/>
          <w:szCs w:val="20"/>
          <w:color w:val="auto"/>
        </w:rPr>
      </w:pPr>
      <w:r>
        <w:rPr>
          <w:rFonts w:ascii="Arial" w:cs="Arial" w:eastAsia="Arial" w:hAnsi="Arial"/>
          <w:sz w:val="17"/>
          <w:szCs w:val="17"/>
          <w:color w:val="auto"/>
        </w:rPr>
        <w:t>As of December 31, 2017 and 2016, we had cash, cash equivalents and investments of $673.4 million and $268.2 million, respectively, consisting primarily of money market funds and investments in U.S. treasury obligations.</w:t>
      </w:r>
    </w:p>
    <w:p>
      <w:pPr>
        <w:spacing w:after="0" w:line="106" w:lineRule="exact"/>
        <w:rPr>
          <w:sz w:val="20"/>
          <w:szCs w:val="20"/>
          <w:color w:val="auto"/>
        </w:rPr>
      </w:pPr>
    </w:p>
    <w:p>
      <w:pPr>
        <w:ind w:right="140" w:firstLine="648"/>
        <w:spacing w:after="0" w:line="241" w:lineRule="auto"/>
        <w:rPr>
          <w:sz w:val="20"/>
          <w:szCs w:val="20"/>
          <w:color w:val="auto"/>
        </w:rPr>
      </w:pPr>
      <w:r>
        <w:rPr>
          <w:rFonts w:ascii="Arial" w:cs="Arial" w:eastAsia="Arial" w:hAnsi="Arial"/>
          <w:sz w:val="16"/>
          <w:szCs w:val="16"/>
          <w:color w:val="auto"/>
        </w:rPr>
        <w:t>Our primary exposure to market risk is interest rate sensitivity, which is affected by changes in the general level of U.S. interest rates, particularly because our investments are in short-term marketable securities.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20" w:lineRule="exact"/>
        <w:rPr>
          <w:sz w:val="20"/>
          <w:szCs w:val="20"/>
          <w:color w:val="auto"/>
        </w:rPr>
      </w:pPr>
    </w:p>
    <w:p>
      <w:pPr>
        <w:ind w:right="200" w:firstLine="648"/>
        <w:spacing w:after="0" w:line="216" w:lineRule="auto"/>
        <w:rPr>
          <w:sz w:val="20"/>
          <w:szCs w:val="20"/>
          <w:color w:val="auto"/>
        </w:rPr>
      </w:pPr>
      <w:r>
        <w:rPr>
          <w:rFonts w:ascii="Arial" w:cs="Arial" w:eastAsia="Arial" w:hAnsi="Arial"/>
          <w:sz w:val="18"/>
          <w:szCs w:val="18"/>
          <w:color w:val="auto"/>
        </w:rPr>
        <w:t>We are also exposed to market risk related to changes in foreign currency exchange rates. From time to time, we contract with vendors that are located Asia and Europe, which are denominated in foreign currencies. We are subject to fluctuations in foreign currency rates in connection with these agreements. We do not currently hedge our foreign currency exchange rate risk. As of December 31, 2017 and December 31, 2016, we had minimal or no liabilities denominated in foreign currencies.</w:t>
      </w:r>
    </w:p>
    <w:p>
      <w:pPr>
        <w:spacing w:after="0" w:line="135" w:lineRule="exact"/>
        <w:rPr>
          <w:sz w:val="20"/>
          <w:szCs w:val="20"/>
          <w:color w:val="auto"/>
        </w:rPr>
      </w:pPr>
    </w:p>
    <w:p>
      <w:pPr>
        <w:jc w:val="both"/>
        <w:ind w:right="100" w:firstLine="648"/>
        <w:spacing w:after="0" w:line="224"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during the years ended December 31, 2017 and 2016.</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48"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The financial statements required to be filed pursuant to this Item 8 are appended to this Annual Report on Form 10-K. An index of those financial statements is found in Item 15 of this Annual Report on Form 10-K.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 in and Disagreements with Accountants on Accounting and Financial Disclosure.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our Disclosure Controls and Procedures</w:t>
      </w:r>
    </w:p>
    <w:p>
      <w:pPr>
        <w:spacing w:after="0" w:line="189"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68" w:lineRule="exact"/>
        <w:rPr>
          <w:sz w:val="20"/>
          <w:szCs w:val="20"/>
          <w:color w:val="auto"/>
        </w:rPr>
      </w:pPr>
    </w:p>
    <w:p>
      <w:pPr>
        <w:ind w:right="40" w:firstLine="648"/>
        <w:spacing w:after="0" w:line="238" w:lineRule="auto"/>
        <w:rPr>
          <w:sz w:val="20"/>
          <w:szCs w:val="20"/>
          <w:color w:val="auto"/>
        </w:rPr>
      </w:pPr>
      <w:r>
        <w:rPr>
          <w:rFonts w:ascii="Arial" w:cs="Arial" w:eastAsia="Arial" w:hAnsi="Arial"/>
          <w:sz w:val="17"/>
          <w:szCs w:val="17"/>
          <w:color w:val="auto"/>
        </w:rPr>
        <w:t>Our management, with the participation of our Chief Executive Officer and Vice President of Finance (our principal executive officer and principal financial officer, respectively), evaluated the effectiveness of our disclosure controls and procedures as of December 31, 2017. Based upon such evaluation, our Chief Executive Officer and Vice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04" w:name="page105"/>
    <w:bookmarkEnd w:id="10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President of Finance have concluded that, as of December 31, 2017, our disclosure controls and procedures were effective at the reasonable assurance level.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89" w:lineRule="exact"/>
        <w:rPr>
          <w:sz w:val="20"/>
          <w:szCs w:val="20"/>
          <w:color w:val="auto"/>
        </w:rPr>
      </w:pPr>
    </w:p>
    <w:p>
      <w:pPr>
        <w:ind w:right="140" w:firstLine="648"/>
        <w:spacing w:after="0" w:line="24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61" w:lineRule="exact"/>
        <w:rPr>
          <w:sz w:val="20"/>
          <w:szCs w:val="20"/>
          <w:color w:val="auto"/>
        </w:rPr>
      </w:pPr>
    </w:p>
    <w:p>
      <w:pPr>
        <w:ind w:left="980" w:right="140" w:hanging="329"/>
        <w:spacing w:after="0" w:line="235" w:lineRule="auto"/>
        <w:tabs>
          <w:tab w:leader="none" w:pos="98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pertain to the maintenance of records that in reasonable detail accurately and fairly reflect the transactions and dispositions of a company’s assets;</w:t>
      </w:r>
    </w:p>
    <w:p>
      <w:pPr>
        <w:spacing w:after="0" w:line="161" w:lineRule="exact"/>
        <w:rPr>
          <w:rFonts w:ascii="Arial" w:cs="Arial" w:eastAsia="Arial" w:hAnsi="Arial"/>
          <w:sz w:val="18"/>
          <w:szCs w:val="18"/>
          <w:b w:val="1"/>
          <w:bCs w:val="1"/>
          <w:color w:val="auto"/>
        </w:rPr>
      </w:pPr>
    </w:p>
    <w:p>
      <w:pPr>
        <w:ind w:left="980" w:right="420" w:hanging="329"/>
        <w:spacing w:after="0" w:line="219" w:lineRule="auto"/>
        <w:tabs>
          <w:tab w:leader="none" w:pos="98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the company’s management and directors; and</w:t>
      </w:r>
    </w:p>
    <w:p>
      <w:pPr>
        <w:spacing w:after="0" w:line="162" w:lineRule="exact"/>
        <w:rPr>
          <w:rFonts w:ascii="Arial" w:cs="Arial" w:eastAsia="Arial" w:hAnsi="Arial"/>
          <w:sz w:val="18"/>
          <w:szCs w:val="18"/>
          <w:b w:val="1"/>
          <w:bCs w:val="1"/>
          <w:color w:val="auto"/>
        </w:rPr>
      </w:pPr>
    </w:p>
    <w:p>
      <w:pPr>
        <w:ind w:left="980" w:right="480" w:hanging="329"/>
        <w:spacing w:after="0" w:line="258" w:lineRule="auto"/>
        <w:tabs>
          <w:tab w:leader="none" w:pos="980" w:val="left"/>
        </w:tabs>
        <w:numPr>
          <w:ilvl w:val="0"/>
          <w:numId w:val="65"/>
        </w:numPr>
        <w:rPr>
          <w:rFonts w:ascii="Arial" w:cs="Arial" w:eastAsia="Arial" w:hAnsi="Arial"/>
          <w:sz w:val="17"/>
          <w:szCs w:val="17"/>
          <w:b w:val="1"/>
          <w:bCs w:val="1"/>
          <w:color w:val="auto"/>
        </w:rPr>
      </w:pPr>
      <w:r>
        <w:rPr>
          <w:rFonts w:ascii="Arial" w:cs="Arial" w:eastAsia="Arial" w:hAnsi="Arial"/>
          <w:sz w:val="17"/>
          <w:szCs w:val="17"/>
          <w:color w:val="auto"/>
        </w:rPr>
        <w:t>provide reasonable assurance regarding prevention or timely detection of unauthorized acquisition, use or disposition of our assets that could have a material effect on the financial statements.</w:t>
      </w:r>
    </w:p>
    <w:p>
      <w:pPr>
        <w:spacing w:after="0" w:line="147" w:lineRule="exact"/>
        <w:rPr>
          <w:sz w:val="20"/>
          <w:szCs w:val="20"/>
          <w:color w:val="auto"/>
        </w:rPr>
      </w:pPr>
    </w:p>
    <w:p>
      <w:pPr>
        <w:ind w:right="20" w:firstLine="648"/>
        <w:spacing w:after="0" w:line="259"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7" w:lineRule="exact"/>
        <w:rPr>
          <w:sz w:val="20"/>
          <w:szCs w:val="20"/>
          <w:color w:val="auto"/>
        </w:rPr>
      </w:pPr>
    </w:p>
    <w:p>
      <w:pPr>
        <w:ind w:right="40" w:firstLine="648"/>
        <w:spacing w:after="0" w:line="216" w:lineRule="auto"/>
        <w:rPr>
          <w:sz w:val="20"/>
          <w:szCs w:val="20"/>
          <w:color w:val="auto"/>
        </w:rPr>
      </w:pPr>
      <w:r>
        <w:rPr>
          <w:rFonts w:ascii="Arial" w:cs="Arial" w:eastAsia="Arial" w:hAnsi="Arial"/>
          <w:sz w:val="18"/>
          <w:szCs w:val="18"/>
          <w:color w:val="auto"/>
        </w:rPr>
        <w:t>Under the supervision of and with the participation of our principal executive officer and principal financial officer, our management assessed the effectiveness of our internal control over financial reporting as of December 31, 2017 based on the criteria set forth by the Committee of Sponsoring Organizations of the Treadway Commission in Internal Control— Integrated Framework (2013 framework). Based on this assessment, management concluded that our internal control over financial reporting was effective as of December 31, 2017.</w:t>
      </w:r>
    </w:p>
    <w:p>
      <w:pPr>
        <w:spacing w:after="0" w:line="162" w:lineRule="exact"/>
        <w:rPr>
          <w:sz w:val="20"/>
          <w:szCs w:val="20"/>
          <w:color w:val="auto"/>
        </w:rPr>
      </w:pPr>
    </w:p>
    <w:p>
      <w:pPr>
        <w:ind w:right="520" w:firstLine="648"/>
        <w:spacing w:after="0" w:line="235" w:lineRule="auto"/>
        <w:rPr>
          <w:sz w:val="20"/>
          <w:szCs w:val="20"/>
          <w:color w:val="auto"/>
        </w:rPr>
      </w:pPr>
      <w:r>
        <w:rPr>
          <w:rFonts w:ascii="Arial" w:cs="Arial" w:eastAsia="Arial" w:hAnsi="Arial"/>
          <w:sz w:val="18"/>
          <w:szCs w:val="18"/>
          <w:color w:val="auto"/>
        </w:rPr>
        <w:t>Our independent registered public accounting firm has issued an attestation report of our internal control over financial reporting. This report appears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Blueprint Medicines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Internal Control Over Financial Reporting</w:t>
      </w:r>
    </w:p>
    <w:p>
      <w:pPr>
        <w:spacing w:after="0" w:line="144"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We have audited Blueprint Medicines Corporation’s internal control over financial reporting as of December 31, 2017, based on criteria established in Internal Control—Integrated Framework issued by the Committee of Sponsoring Organizations of the Treadway Commission (2013 Framework) (the COSO criteria). In our opinion, Blueprint Medicines Corporation (the Company) maintained, in all material respects, effective internal control over financial reporting as of December 31, 2017, based on the COSO criteria.</w:t>
      </w:r>
    </w:p>
    <w:p>
      <w:pPr>
        <w:spacing w:after="0" w:line="122"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Blueprint Medicines Corporation as of December 31, 2017 and 2016, the related consolidated statements of operations and comprehensive loss, convertible preferred stock and stockholders’ equity (deficit), and cash flows for each of the three years in the period ended December 31, 2017, and the related notes and our report dated February 21, 2018 expressed an unqualified opinion thereon.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5" w:name="page106"/>
    <w:bookmarkEnd w:id="10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60"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23"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4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rPr>
          <w:sz w:val="20"/>
          <w:szCs w:val="20"/>
          <w:color w:val="auto"/>
        </w:rPr>
      </w:pPr>
      <w:r>
        <w:rPr>
          <w:rFonts w:ascii="Arial" w:cs="Arial" w:eastAsia="Arial" w:hAnsi="Arial"/>
          <w:sz w:val="18"/>
          <w:szCs w:val="18"/>
          <w:color w:val="auto"/>
        </w:rPr>
        <w:t>February 21, 2018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right="300" w:firstLine="648"/>
        <w:spacing w:after="0" w:line="224"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Exchange Act) occurred during the three months ended December 31, 2017 that has materially affected, or is reasonably likely to materially affect, our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89"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The information required by this Item 10 will be included in our definitive proxy statement to be filed with the SEC with respect to our 2018 Annual Meeting of Stockholders and is incorporated herein by reference.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6" w:name="page107"/>
    <w:bookmarkEnd w:id="10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9" w:lineRule="exact"/>
        <w:rPr>
          <w:sz w:val="20"/>
          <w:szCs w:val="20"/>
          <w:color w:val="auto"/>
        </w:rPr>
      </w:pPr>
    </w:p>
    <w:p>
      <w:pPr>
        <w:ind w:right="59" w:firstLine="648"/>
        <w:spacing w:after="0" w:line="235" w:lineRule="auto"/>
        <w:rPr>
          <w:sz w:val="20"/>
          <w:szCs w:val="20"/>
          <w:color w:val="auto"/>
        </w:rPr>
      </w:pPr>
      <w:r>
        <w:rPr>
          <w:rFonts w:ascii="Arial" w:cs="Arial" w:eastAsia="Arial" w:hAnsi="Arial"/>
          <w:sz w:val="18"/>
          <w:szCs w:val="18"/>
          <w:color w:val="auto"/>
        </w:rPr>
        <w:t>The information required by this Item 11 will be included in our definitive proxy statement to be filed with the SEC with respect to our 2018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00" w:lineRule="exact"/>
        <w:rPr>
          <w:sz w:val="20"/>
          <w:szCs w:val="20"/>
          <w:color w:val="auto"/>
        </w:rPr>
      </w:pPr>
    </w:p>
    <w:p>
      <w:pPr>
        <w:ind w:right="59" w:firstLine="648"/>
        <w:spacing w:after="0" w:line="235" w:lineRule="auto"/>
        <w:rPr>
          <w:sz w:val="20"/>
          <w:szCs w:val="20"/>
          <w:color w:val="auto"/>
        </w:rPr>
      </w:pPr>
      <w:r>
        <w:rPr>
          <w:rFonts w:ascii="Arial" w:cs="Arial" w:eastAsia="Arial" w:hAnsi="Arial"/>
          <w:sz w:val="18"/>
          <w:szCs w:val="18"/>
          <w:color w:val="auto"/>
        </w:rPr>
        <w:t>The information required by this Item 12 will be included in our definitive proxy statement to be filed with the SEC with respect to our 2018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89" w:lineRule="exact"/>
        <w:rPr>
          <w:sz w:val="20"/>
          <w:szCs w:val="20"/>
          <w:color w:val="auto"/>
        </w:rPr>
      </w:pPr>
    </w:p>
    <w:p>
      <w:pPr>
        <w:ind w:right="59" w:firstLine="648"/>
        <w:spacing w:after="0" w:line="235" w:lineRule="auto"/>
        <w:rPr>
          <w:sz w:val="20"/>
          <w:szCs w:val="20"/>
          <w:color w:val="auto"/>
        </w:rPr>
      </w:pPr>
      <w:r>
        <w:rPr>
          <w:rFonts w:ascii="Arial" w:cs="Arial" w:eastAsia="Arial" w:hAnsi="Arial"/>
          <w:sz w:val="18"/>
          <w:szCs w:val="18"/>
          <w:color w:val="auto"/>
        </w:rPr>
        <w:t>The information required by this Item 13 will be included in our definitive proxy statement to be filed with the SEC with respect to our 2018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89" w:lineRule="exact"/>
        <w:rPr>
          <w:sz w:val="20"/>
          <w:szCs w:val="20"/>
          <w:color w:val="auto"/>
        </w:rPr>
      </w:pPr>
    </w:p>
    <w:p>
      <w:pPr>
        <w:ind w:right="59" w:firstLine="648"/>
        <w:spacing w:after="0" w:line="235" w:lineRule="auto"/>
        <w:rPr>
          <w:sz w:val="20"/>
          <w:szCs w:val="20"/>
          <w:color w:val="auto"/>
        </w:rPr>
      </w:pPr>
      <w:r>
        <w:rPr>
          <w:rFonts w:ascii="Arial" w:cs="Arial" w:eastAsia="Arial" w:hAnsi="Arial"/>
          <w:sz w:val="18"/>
          <w:szCs w:val="18"/>
          <w:color w:val="auto"/>
        </w:rPr>
        <w:t>The information required by this Item 14 will be included in our definitive proxy statement to be filed with the SEC with respect to our 2018 Annual Meeting of Stockholders and is incorporated herein by reference.</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07" w:name="page108"/>
    <w:bookmarkEnd w:id="10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89" w:lineRule="exact"/>
        <w:rPr>
          <w:sz w:val="20"/>
          <w:szCs w:val="20"/>
          <w:color w:val="auto"/>
        </w:rPr>
      </w:pPr>
    </w:p>
    <w:p>
      <w:pPr>
        <w:ind w:left="1220" w:hanging="569"/>
        <w:spacing w:after="0"/>
        <w:tabs>
          <w:tab w:leader="none" w:pos="12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documents are included on pages F-1 through F-28 attached hereto and are filed as part of this</w:t>
      </w:r>
    </w:p>
    <w:tbl>
      <w:tblPr>
        <w:tblLayout w:type="fixed"/>
        <w:tblInd w:w="0" w:type="dxa"/>
        <w:tblCellMar>
          <w:top w:w="0" w:type="dxa"/>
          <w:left w:w="0" w:type="dxa"/>
          <w:bottom w:w="0" w:type="dxa"/>
          <w:right w:w="0" w:type="dxa"/>
        </w:tblCellMar>
      </w:tblPr>
      <w:tr>
        <w:trPr>
          <w:trHeight w:val="230"/>
        </w:trPr>
        <w:tc>
          <w:tcPr>
            <w:tcW w:w="7700" w:type="dxa"/>
            <w:vAlign w:val="bottom"/>
            <w:gridSpan w:val="8"/>
          </w:tcPr>
          <w:p>
            <w:pPr>
              <w:spacing w:after="0"/>
              <w:rPr>
                <w:sz w:val="20"/>
                <w:szCs w:val="20"/>
                <w:color w:val="auto"/>
              </w:rPr>
            </w:pPr>
            <w:r>
              <w:rPr>
                <w:rFonts w:ascii="Arial" w:cs="Arial" w:eastAsia="Arial" w:hAnsi="Arial"/>
                <w:sz w:val="18"/>
                <w:szCs w:val="18"/>
                <w:color w:val="auto"/>
              </w:rPr>
              <w:t>Annual Report on Form 10-K.</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9"/>
        </w:trPr>
        <w:tc>
          <w:tcPr>
            <w:tcW w:w="7700" w:type="dxa"/>
            <w:vAlign w:val="bottom"/>
            <w:gridSpan w:val="8"/>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Report of Independent Registered Public Accounting Firm</w:t>
              </w:r>
            </w:hyperlink>
          </w:p>
        </w:tc>
        <w:tc>
          <w:tcPr>
            <w:tcW w:w="1360" w:type="dxa"/>
            <w:vAlign w:val="bottom"/>
          </w:tcPr>
          <w:p>
            <w:pPr>
              <w:ind w:left="1120"/>
              <w:spacing w:after="0"/>
              <w:rPr>
                <w:sz w:val="20"/>
                <w:szCs w:val="20"/>
                <w:color w:val="auto"/>
              </w:rPr>
            </w:pPr>
            <w:r>
              <w:rPr>
                <w:rFonts w:ascii="Arial" w:cs="Arial" w:eastAsia="Arial" w:hAnsi="Arial"/>
                <w:sz w:val="18"/>
                <w:szCs w:val="18"/>
                <w:color w:val="auto"/>
                <w:w w:val="81"/>
              </w:rPr>
              <w:t>F-2</w:t>
            </w:r>
          </w:p>
        </w:tc>
        <w:tc>
          <w:tcPr>
            <w:tcW w:w="0" w:type="dxa"/>
            <w:vAlign w:val="bottom"/>
          </w:tcPr>
          <w:p>
            <w:pPr>
              <w:spacing w:after="0"/>
              <w:rPr>
                <w:sz w:val="1"/>
                <w:szCs w:val="1"/>
                <w:color w:val="auto"/>
              </w:rPr>
            </w:pPr>
          </w:p>
        </w:tc>
      </w:tr>
      <w:tr>
        <w:trPr>
          <w:trHeight w:val="156"/>
        </w:trPr>
        <w:tc>
          <w:tcPr>
            <w:tcW w:w="4220" w:type="dxa"/>
            <w:vAlign w:val="bottom"/>
            <w:tcBorders>
              <w:top w:val="single" w:sz="8" w:color="0000EE"/>
            </w:tcBorders>
            <w:gridSpan w:val="5"/>
          </w:tcPr>
          <w:p>
            <w:pPr>
              <w:spacing w:after="0" w:line="156" w:lineRule="exact"/>
              <w:rPr>
                <w:rFonts w:ascii="Arial" w:cs="Arial" w:eastAsia="Arial" w:hAnsi="Arial"/>
                <w:sz w:val="18"/>
                <w:szCs w:val="18"/>
                <w:color w:val="0000EE"/>
              </w:rPr>
            </w:pPr>
            <w:hyperlink w:anchor="page114">
              <w:r>
                <w:rPr>
                  <w:rFonts w:ascii="Arial" w:cs="Arial" w:eastAsia="Arial" w:hAnsi="Arial"/>
                  <w:sz w:val="18"/>
                  <w:szCs w:val="18"/>
                  <w:color w:val="0000EE"/>
                </w:rPr>
                <w:t>Consolidated Balance Sheets</w:t>
              </w:r>
            </w:hyperlink>
          </w:p>
        </w:tc>
        <w:tc>
          <w:tcPr>
            <w:tcW w:w="4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60" w:type="dxa"/>
            <w:vAlign w:val="bottom"/>
          </w:tcPr>
          <w:p>
            <w:pPr>
              <w:ind w:left="1120"/>
              <w:spacing w:after="0" w:line="156" w:lineRule="exact"/>
              <w:rPr>
                <w:sz w:val="20"/>
                <w:szCs w:val="20"/>
                <w:color w:val="auto"/>
              </w:rPr>
            </w:pPr>
            <w:r>
              <w:rPr>
                <w:rFonts w:ascii="Arial" w:cs="Arial" w:eastAsia="Arial" w:hAnsi="Arial"/>
                <w:sz w:val="18"/>
                <w:szCs w:val="18"/>
                <w:color w:val="auto"/>
                <w:w w:val="81"/>
              </w:rPr>
              <w:t>F-3</w:t>
            </w:r>
          </w:p>
        </w:tc>
        <w:tc>
          <w:tcPr>
            <w:tcW w:w="0" w:type="dxa"/>
            <w:vAlign w:val="bottom"/>
          </w:tcPr>
          <w:p>
            <w:pPr>
              <w:spacing w:after="0"/>
              <w:rPr>
                <w:sz w:val="1"/>
                <w:szCs w:val="1"/>
                <w:color w:val="auto"/>
              </w:rPr>
            </w:pPr>
          </w:p>
        </w:tc>
      </w:tr>
      <w:tr>
        <w:trPr>
          <w:trHeight w:val="156"/>
        </w:trPr>
        <w:tc>
          <w:tcPr>
            <w:tcW w:w="2100" w:type="dxa"/>
            <w:vAlign w:val="bottom"/>
            <w:tcBorders>
              <w:top w:val="single" w:sz="8" w:color="0000EE"/>
            </w:tcBorders>
            <w:gridSpan w:val="2"/>
          </w:tcPr>
          <w:p>
            <w:pPr>
              <w:spacing w:after="0" w:line="156" w:lineRule="exact"/>
              <w:rPr>
                <w:rFonts w:ascii="Arial" w:cs="Arial" w:eastAsia="Arial" w:hAnsi="Arial"/>
                <w:sz w:val="18"/>
                <w:szCs w:val="18"/>
                <w:color w:val="0000EE"/>
                <w:w w:val="94"/>
              </w:rPr>
            </w:pPr>
            <w:hyperlink w:anchor="page115">
              <w:r>
                <w:rPr>
                  <w:rFonts w:ascii="Arial" w:cs="Arial" w:eastAsia="Arial" w:hAnsi="Arial"/>
                  <w:sz w:val="18"/>
                  <w:szCs w:val="18"/>
                  <w:color w:val="0000EE"/>
                  <w:w w:val="94"/>
                </w:rPr>
                <w:t>Consolidated Statements of</w:t>
              </w:r>
            </w:hyperlink>
          </w:p>
        </w:tc>
        <w:tc>
          <w:tcPr>
            <w:tcW w:w="5600" w:type="dxa"/>
            <w:vAlign w:val="bottom"/>
            <w:gridSpan w:val="6"/>
          </w:tcPr>
          <w:p>
            <w:pPr>
              <w:spacing w:after="0" w:line="156" w:lineRule="exact"/>
              <w:rPr>
                <w:rFonts w:ascii="Arial" w:cs="Arial" w:eastAsia="Arial" w:hAnsi="Arial"/>
                <w:sz w:val="18"/>
                <w:szCs w:val="18"/>
                <w:color w:val="0000EE"/>
              </w:rPr>
            </w:pPr>
            <w:hyperlink w:anchor="page115">
              <w:r>
                <w:rPr>
                  <w:rFonts w:ascii="Arial" w:cs="Arial" w:eastAsia="Arial" w:hAnsi="Arial"/>
                  <w:sz w:val="18"/>
                  <w:szCs w:val="18"/>
                  <w:color w:val="0000EE"/>
                </w:rPr>
                <w:t>Operations and Comprehensive Loss</w:t>
              </w:r>
            </w:hyperlink>
          </w:p>
        </w:tc>
        <w:tc>
          <w:tcPr>
            <w:tcW w:w="1360" w:type="dxa"/>
            <w:vAlign w:val="bottom"/>
          </w:tcPr>
          <w:p>
            <w:pPr>
              <w:ind w:left="1120"/>
              <w:spacing w:after="0" w:line="156" w:lineRule="exact"/>
              <w:rPr>
                <w:sz w:val="20"/>
                <w:szCs w:val="20"/>
                <w:color w:val="auto"/>
              </w:rPr>
            </w:pPr>
            <w:r>
              <w:rPr>
                <w:rFonts w:ascii="Arial" w:cs="Arial" w:eastAsia="Arial" w:hAnsi="Arial"/>
                <w:sz w:val="18"/>
                <w:szCs w:val="18"/>
                <w:color w:val="auto"/>
                <w:w w:val="81"/>
              </w:rPr>
              <w:t>F-4</w:t>
            </w:r>
          </w:p>
        </w:tc>
        <w:tc>
          <w:tcPr>
            <w:tcW w:w="0" w:type="dxa"/>
            <w:vAlign w:val="bottom"/>
          </w:tcPr>
          <w:p>
            <w:pPr>
              <w:spacing w:after="0"/>
              <w:rPr>
                <w:sz w:val="1"/>
                <w:szCs w:val="1"/>
                <w:color w:val="auto"/>
              </w:rPr>
            </w:pP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vMerge w:val="restart"/>
          </w:tcPr>
          <w:p>
            <w:pPr>
              <w:ind w:left="1120"/>
              <w:spacing w:after="0" w:line="176" w:lineRule="exact"/>
              <w:rPr>
                <w:sz w:val="20"/>
                <w:szCs w:val="20"/>
                <w:color w:val="auto"/>
              </w:rPr>
            </w:pPr>
            <w:r>
              <w:rPr>
                <w:rFonts w:ascii="Arial" w:cs="Arial" w:eastAsia="Arial" w:hAnsi="Arial"/>
                <w:sz w:val="18"/>
                <w:szCs w:val="18"/>
                <w:color w:val="auto"/>
                <w:w w:val="81"/>
              </w:rPr>
              <w:t>F-5</w:t>
            </w:r>
          </w:p>
        </w:tc>
        <w:tc>
          <w:tcPr>
            <w:tcW w:w="0" w:type="dxa"/>
            <w:vAlign w:val="bottom"/>
          </w:tcPr>
          <w:p>
            <w:pPr>
              <w:spacing w:after="0" w:line="20" w:lineRule="exact"/>
              <w:rPr>
                <w:sz w:val="1"/>
                <w:szCs w:val="1"/>
                <w:color w:val="auto"/>
              </w:rPr>
            </w:pPr>
          </w:p>
        </w:tc>
      </w:tr>
      <w:tr>
        <w:trPr>
          <w:trHeight w:val="156"/>
        </w:trPr>
        <w:tc>
          <w:tcPr>
            <w:tcW w:w="7700" w:type="dxa"/>
            <w:vAlign w:val="bottom"/>
            <w:gridSpan w:val="8"/>
          </w:tcPr>
          <w:p>
            <w:pPr>
              <w:spacing w:after="0" w:line="156" w:lineRule="exact"/>
              <w:rPr>
                <w:rFonts w:ascii="Arial" w:cs="Arial" w:eastAsia="Arial" w:hAnsi="Arial"/>
                <w:sz w:val="18"/>
                <w:szCs w:val="18"/>
                <w:color w:val="0000EE"/>
              </w:rPr>
            </w:pPr>
            <w:hyperlink w:anchor="page116">
              <w:r>
                <w:rPr>
                  <w:rFonts w:ascii="Arial" w:cs="Arial" w:eastAsia="Arial" w:hAnsi="Arial"/>
                  <w:sz w:val="18"/>
                  <w:szCs w:val="18"/>
                  <w:color w:val="0000EE"/>
                </w:rPr>
                <w:t>Consolidated Statements of Convertible Preferred Stock and Stockholders’ (Deficit) Equity</w:t>
              </w:r>
            </w:hyperlink>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80" w:type="dxa"/>
            <w:vAlign w:val="bottom"/>
            <w:tcBorders>
              <w:top w:val="single" w:sz="8" w:color="0000EE"/>
              <w:bottom w:val="single" w:sz="8" w:color="0000EE"/>
            </w:tcBorders>
            <w:gridSpan w:val="3"/>
          </w:tcPr>
          <w:p>
            <w:pPr>
              <w:spacing w:after="0" w:line="156" w:lineRule="exact"/>
              <w:rPr>
                <w:rFonts w:ascii="Arial" w:cs="Arial" w:eastAsia="Arial" w:hAnsi="Arial"/>
                <w:sz w:val="18"/>
                <w:szCs w:val="18"/>
                <w:color w:val="0000EE"/>
                <w:w w:val="89"/>
              </w:rPr>
            </w:pPr>
            <w:hyperlink w:anchor="page117">
              <w:r>
                <w:rPr>
                  <w:rFonts w:ascii="Arial" w:cs="Arial" w:eastAsia="Arial" w:hAnsi="Arial"/>
                  <w:sz w:val="18"/>
                  <w:szCs w:val="18"/>
                  <w:color w:val="0000EE"/>
                  <w:w w:val="89"/>
                </w:rPr>
                <w:t>Consolidated Statements of Cash Flows</w:t>
              </w:r>
            </w:hyperlink>
          </w:p>
        </w:tc>
        <w:tc>
          <w:tcPr>
            <w:tcW w:w="3700" w:type="dxa"/>
            <w:vAlign w:val="bottom"/>
            <w:tcBorders>
              <w:top w:val="single" w:sz="8" w:color="0000EE"/>
            </w:tcBorders>
            <w:gridSpan w:val="4"/>
          </w:tcPr>
          <w:p>
            <w:pPr>
              <w:spacing w:after="0"/>
              <w:rPr>
                <w:sz w:val="13"/>
                <w:szCs w:val="13"/>
                <w:color w:val="auto"/>
              </w:rPr>
            </w:pPr>
          </w:p>
        </w:tc>
        <w:tc>
          <w:tcPr>
            <w:tcW w:w="1120" w:type="dxa"/>
            <w:vAlign w:val="bottom"/>
          </w:tcPr>
          <w:p>
            <w:pPr>
              <w:spacing w:after="0"/>
              <w:rPr>
                <w:sz w:val="13"/>
                <w:szCs w:val="13"/>
                <w:color w:val="auto"/>
              </w:rPr>
            </w:pPr>
          </w:p>
        </w:tc>
        <w:tc>
          <w:tcPr>
            <w:tcW w:w="1360" w:type="dxa"/>
            <w:vAlign w:val="bottom"/>
          </w:tcPr>
          <w:p>
            <w:pPr>
              <w:ind w:left="1120"/>
              <w:spacing w:after="0" w:line="156" w:lineRule="exact"/>
              <w:rPr>
                <w:sz w:val="20"/>
                <w:szCs w:val="20"/>
                <w:color w:val="auto"/>
              </w:rPr>
            </w:pPr>
            <w:r>
              <w:rPr>
                <w:rFonts w:ascii="Arial" w:cs="Arial" w:eastAsia="Arial" w:hAnsi="Arial"/>
                <w:sz w:val="18"/>
                <w:szCs w:val="18"/>
                <w:color w:val="auto"/>
                <w:w w:val="81"/>
              </w:rPr>
              <w:t>F-6</w:t>
            </w:r>
          </w:p>
        </w:tc>
        <w:tc>
          <w:tcPr>
            <w:tcW w:w="0" w:type="dxa"/>
            <w:vAlign w:val="bottom"/>
          </w:tcPr>
          <w:p>
            <w:pPr>
              <w:spacing w:after="0"/>
              <w:rPr>
                <w:sz w:val="1"/>
                <w:szCs w:val="1"/>
                <w:color w:val="auto"/>
              </w:rPr>
            </w:pPr>
          </w:p>
        </w:tc>
      </w:tr>
      <w:tr>
        <w:trPr>
          <w:trHeight w:val="156"/>
        </w:trPr>
        <w:tc>
          <w:tcPr>
            <w:tcW w:w="3160" w:type="dxa"/>
            <w:vAlign w:val="bottom"/>
            <w:tcBorders>
              <w:bottom w:val="single" w:sz="8" w:color="0000EE"/>
            </w:tcBorders>
            <w:gridSpan w:val="4"/>
          </w:tcPr>
          <w:p>
            <w:pPr>
              <w:spacing w:after="0" w:line="156" w:lineRule="exact"/>
              <w:rPr>
                <w:rFonts w:ascii="Arial" w:cs="Arial" w:eastAsia="Arial" w:hAnsi="Arial"/>
                <w:sz w:val="18"/>
                <w:szCs w:val="18"/>
                <w:color w:val="0000EE"/>
                <w:w w:val="89"/>
              </w:rPr>
            </w:pPr>
            <w:hyperlink w:anchor="page118">
              <w:r>
                <w:rPr>
                  <w:rFonts w:ascii="Arial" w:cs="Arial" w:eastAsia="Arial" w:hAnsi="Arial"/>
                  <w:sz w:val="18"/>
                  <w:szCs w:val="18"/>
                  <w:color w:val="0000EE"/>
                  <w:w w:val="89"/>
                </w:rPr>
                <w:t>Notes to Consolidated Financial Statements</w:t>
              </w:r>
            </w:hyperlink>
          </w:p>
        </w:tc>
        <w:tc>
          <w:tcPr>
            <w:tcW w:w="4540" w:type="dxa"/>
            <w:vAlign w:val="bottom"/>
            <w:gridSpan w:val="4"/>
          </w:tcPr>
          <w:p>
            <w:pPr>
              <w:spacing w:after="0"/>
              <w:rPr>
                <w:sz w:val="13"/>
                <w:szCs w:val="13"/>
                <w:color w:val="auto"/>
              </w:rPr>
            </w:pPr>
          </w:p>
        </w:tc>
        <w:tc>
          <w:tcPr>
            <w:tcW w:w="1360" w:type="dxa"/>
            <w:vAlign w:val="bottom"/>
          </w:tcPr>
          <w:p>
            <w:pPr>
              <w:ind w:left="1120"/>
              <w:spacing w:after="0" w:line="156" w:lineRule="exact"/>
              <w:rPr>
                <w:sz w:val="20"/>
                <w:szCs w:val="20"/>
                <w:color w:val="auto"/>
              </w:rPr>
            </w:pPr>
            <w:r>
              <w:rPr>
                <w:rFonts w:ascii="Arial" w:cs="Arial" w:eastAsia="Arial" w:hAnsi="Arial"/>
                <w:sz w:val="18"/>
                <w:szCs w:val="18"/>
                <w:color w:val="auto"/>
                <w:w w:val="81"/>
              </w:rPr>
              <w:t>F-7</w:t>
            </w:r>
          </w:p>
        </w:tc>
        <w:tc>
          <w:tcPr>
            <w:tcW w:w="0" w:type="dxa"/>
            <w:vAlign w:val="bottom"/>
          </w:tcPr>
          <w:p>
            <w:pPr>
              <w:spacing w:after="0"/>
              <w:rPr>
                <w:sz w:val="1"/>
                <w:szCs w:val="1"/>
                <w:color w:val="auto"/>
              </w:rPr>
            </w:pPr>
          </w:p>
        </w:tc>
      </w:tr>
      <w:tr>
        <w:trPr>
          <w:trHeight w:val="372"/>
        </w:trPr>
        <w:tc>
          <w:tcPr>
            <w:tcW w:w="1040" w:type="dxa"/>
            <w:vAlign w:val="bottom"/>
          </w:tcPr>
          <w:p>
            <w:pPr>
              <w:ind w:left="660"/>
              <w:spacing w:after="0"/>
              <w:rPr>
                <w:sz w:val="20"/>
                <w:szCs w:val="20"/>
                <w:color w:val="auto"/>
              </w:rPr>
            </w:pPr>
            <w:r>
              <w:rPr>
                <w:rFonts w:ascii="Arial" w:cs="Arial" w:eastAsia="Arial" w:hAnsi="Arial"/>
                <w:sz w:val="18"/>
                <w:szCs w:val="18"/>
                <w:color w:val="auto"/>
              </w:rPr>
              <w:t>(2)</w:t>
            </w:r>
          </w:p>
        </w:tc>
        <w:tc>
          <w:tcPr>
            <w:tcW w:w="6660" w:type="dxa"/>
            <w:vAlign w:val="bottom"/>
            <w:gridSpan w:val="7"/>
          </w:tcPr>
          <w:p>
            <w:pPr>
              <w:ind w:left="180"/>
              <w:spacing w:after="0"/>
              <w:rPr>
                <w:sz w:val="20"/>
                <w:szCs w:val="20"/>
                <w:color w:val="auto"/>
              </w:rPr>
            </w:pPr>
            <w:r>
              <w:rPr>
                <w:rFonts w:ascii="Arial" w:cs="Arial" w:eastAsia="Arial" w:hAnsi="Arial"/>
                <w:sz w:val="18"/>
                <w:szCs w:val="18"/>
                <w:color w:val="auto"/>
              </w:rPr>
              <w:t>Financial Statement Schedules</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420" w:firstLine="648"/>
        <w:spacing w:after="0" w:line="235" w:lineRule="auto"/>
        <w:rPr>
          <w:sz w:val="20"/>
          <w:szCs w:val="20"/>
          <w:color w:val="auto"/>
        </w:rPr>
      </w:pPr>
      <w:r>
        <w:rPr>
          <w:rFonts w:ascii="Arial" w:cs="Arial" w:eastAsia="Arial" w:hAnsi="Arial"/>
          <w:sz w:val="18"/>
          <w:szCs w:val="18"/>
          <w:color w:val="auto"/>
        </w:rPr>
        <w:t>Schedules have been omitted since they are either not required or not applicable or the information is otherwise included herein.</w:t>
      </w:r>
    </w:p>
    <w:p>
      <w:pPr>
        <w:spacing w:after="0" w:line="121" w:lineRule="exact"/>
        <w:rPr>
          <w:sz w:val="20"/>
          <w:szCs w:val="20"/>
          <w:color w:val="auto"/>
        </w:rPr>
      </w:pPr>
    </w:p>
    <w:p>
      <w:pPr>
        <w:ind w:left="1220" w:hanging="569"/>
        <w:spacing w:after="0"/>
        <w:tabs>
          <w:tab w:leader="none" w:pos="12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Exhibits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6"/>
          </w:tcPr>
          <w:p>
            <w:pPr>
              <w:ind w:left="380"/>
              <w:spacing w:after="0"/>
              <w:rPr>
                <w:sz w:val="20"/>
                <w:szCs w:val="20"/>
                <w:color w:val="auto"/>
              </w:rPr>
            </w:pPr>
            <w:r>
              <w:rPr>
                <w:rFonts w:ascii="Arial" w:cs="Arial" w:eastAsia="Arial" w:hAnsi="Arial"/>
                <w:sz w:val="14"/>
                <w:szCs w:val="14"/>
                <w:b w:val="1"/>
                <w:bCs w:val="1"/>
                <w:color w:val="auto"/>
              </w:rPr>
              <w:t>Incorporated by Reference</w:t>
            </w: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340" w:type="dxa"/>
            <w:vAlign w:val="bottom"/>
            <w:gridSpan w:val="23"/>
            <w:vMerge w:val="restart"/>
          </w:tcPr>
          <w:p>
            <w:pPr>
              <w:ind w:left="500"/>
              <w:spacing w:after="0"/>
              <w:rPr>
                <w:sz w:val="20"/>
                <w:szCs w:val="20"/>
                <w:color w:val="auto"/>
              </w:rPr>
            </w:pPr>
            <w:r>
              <w:rPr>
                <w:rFonts w:ascii="Arial" w:cs="Arial" w:eastAsia="Arial" w:hAnsi="Arial"/>
                <w:sz w:val="14"/>
                <w:szCs w:val="14"/>
                <w:b w:val="1"/>
                <w:bCs w:val="1"/>
                <w:color w:val="auto"/>
              </w:rPr>
              <w:t>Description of Exhibit</w:t>
            </w:r>
          </w:p>
        </w:tc>
        <w:tc>
          <w:tcPr>
            <w:tcW w:w="72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Form</w:t>
            </w:r>
          </w:p>
        </w:tc>
        <w:tc>
          <w:tcPr>
            <w:tcW w:w="1040" w:type="dxa"/>
            <w:vAlign w:val="bottom"/>
            <w:tcBorders>
              <w:top w:val="single" w:sz="8" w:color="auto"/>
            </w:tcBorders>
            <w:gridSpan w:val="2"/>
            <w:vMerge w:val="restart"/>
          </w:tcPr>
          <w:p>
            <w:pPr>
              <w:ind w:left="200"/>
              <w:spacing w:after="0"/>
              <w:rPr>
                <w:sz w:val="20"/>
                <w:szCs w:val="20"/>
                <w:color w:val="auto"/>
              </w:rPr>
            </w:pPr>
            <w:r>
              <w:rPr>
                <w:rFonts w:ascii="Arial" w:cs="Arial" w:eastAsia="Arial" w:hAnsi="Arial"/>
                <w:sz w:val="14"/>
                <w:szCs w:val="14"/>
                <w:b w:val="1"/>
                <w:bCs w:val="1"/>
                <w:color w:val="auto"/>
              </w:rPr>
              <w:t>File No.</w:t>
            </w: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Exhibit</w:t>
            </w:r>
          </w:p>
        </w:tc>
        <w:tc>
          <w:tcPr>
            <w:tcW w:w="160" w:type="dxa"/>
            <w:vAlign w:val="bottom"/>
          </w:tcPr>
          <w:p>
            <w:pPr>
              <w:spacing w:after="0"/>
              <w:rPr>
                <w:sz w:val="10"/>
                <w:szCs w:val="10"/>
                <w:color w:val="auto"/>
              </w:rPr>
            </w:pPr>
          </w:p>
        </w:tc>
        <w:tc>
          <w:tcPr>
            <w:tcW w:w="15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340" w:type="dxa"/>
            <w:vAlign w:val="bottom"/>
            <w:gridSpan w:val="23"/>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Number</w:t>
            </w:r>
          </w:p>
        </w:tc>
        <w:tc>
          <w:tcPr>
            <w:tcW w:w="1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Borders>
              <w:top w:val="single" w:sz="8" w:color="auto"/>
            </w:tcBorders>
          </w:tcPr>
          <w:p>
            <w:pPr>
              <w:spacing w:after="0" w:line="156"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60" w:type="dxa"/>
            <w:vAlign w:val="bottom"/>
            <w:tcBorders>
              <w:top w:val="single" w:sz="8" w:color="auto"/>
            </w:tcBorders>
            <w:gridSpan w:val="24"/>
          </w:tcPr>
          <w:p>
            <w:pPr>
              <w:spacing w:after="0" w:line="156" w:lineRule="exact"/>
              <w:rPr>
                <w:rFonts w:ascii="Arial" w:cs="Arial" w:eastAsia="Arial" w:hAnsi="Arial"/>
                <w:sz w:val="18"/>
                <w:szCs w:val="18"/>
                <w:color w:val="0000EE"/>
              </w:rPr>
            </w:pPr>
            <w:hyperlink r:id="rId138">
              <w:r>
                <w:rPr>
                  <w:rFonts w:ascii="Arial" w:cs="Arial" w:eastAsia="Arial" w:hAnsi="Arial"/>
                  <w:sz w:val="18"/>
                  <w:szCs w:val="18"/>
                  <w:color w:val="0000EE"/>
                </w:rPr>
                <w:t>Fifth Amended and Restated Certificate of</w:t>
              </w:r>
            </w:hyperlink>
          </w:p>
        </w:tc>
        <w:tc>
          <w:tcPr>
            <w:tcW w:w="160" w:type="dxa"/>
            <w:vAlign w:val="bottom"/>
          </w:tcPr>
          <w:p>
            <w:pPr>
              <w:spacing w:after="0"/>
              <w:rPr>
                <w:sz w:val="13"/>
                <w:szCs w:val="13"/>
                <w:color w:val="auto"/>
              </w:rPr>
            </w:pPr>
          </w:p>
        </w:tc>
        <w:tc>
          <w:tcPr>
            <w:tcW w:w="58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8"/>
                <w:szCs w:val="18"/>
                <w:color w:val="auto"/>
                <w:w w:val="89"/>
              </w:rPr>
              <w:t>10-Q</w:t>
            </w:r>
          </w:p>
        </w:tc>
        <w:tc>
          <w:tcPr>
            <w:tcW w:w="140" w:type="dxa"/>
            <w:vAlign w:val="bottom"/>
          </w:tcPr>
          <w:p>
            <w:pPr>
              <w:spacing w:after="0"/>
              <w:rPr>
                <w:sz w:val="13"/>
                <w:szCs w:val="13"/>
                <w:color w:val="auto"/>
              </w:rPr>
            </w:pPr>
          </w:p>
        </w:tc>
        <w:tc>
          <w:tcPr>
            <w:tcW w:w="90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8"/>
                <w:szCs w:val="18"/>
                <w:color w:val="auto"/>
                <w:w w:val="90"/>
              </w:rPr>
              <w:t>001-37359</w:t>
            </w:r>
          </w:p>
        </w:tc>
        <w:tc>
          <w:tcPr>
            <w:tcW w:w="140" w:type="dxa"/>
            <w:vAlign w:val="bottom"/>
          </w:tcPr>
          <w:p>
            <w:pPr>
              <w:spacing w:after="0"/>
              <w:rPr>
                <w:sz w:val="13"/>
                <w:szCs w:val="13"/>
                <w:color w:val="auto"/>
              </w:rPr>
            </w:pPr>
          </w:p>
        </w:tc>
        <w:tc>
          <w:tcPr>
            <w:tcW w:w="66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13"/>
                <w:szCs w:val="13"/>
                <w:color w:val="auto"/>
              </w:rPr>
            </w:pPr>
          </w:p>
        </w:tc>
        <w:tc>
          <w:tcPr>
            <w:tcW w:w="1500" w:type="dxa"/>
            <w:vAlign w:val="bottom"/>
            <w:tcBorders>
              <w:top w:val="single" w:sz="8" w:color="auto"/>
            </w:tcBorders>
            <w:gridSpan w:val="2"/>
          </w:tcPr>
          <w:p>
            <w:pPr>
              <w:jc w:val="center"/>
              <w:spacing w:after="0" w:line="156" w:lineRule="exact"/>
              <w:rPr>
                <w:sz w:val="20"/>
                <w:szCs w:val="20"/>
                <w:color w:val="auto"/>
              </w:rPr>
            </w:pPr>
            <w:r>
              <w:rPr>
                <w:rFonts w:ascii="Arial" w:cs="Arial" w:eastAsia="Arial" w:hAnsi="Arial"/>
                <w:sz w:val="18"/>
                <w:szCs w:val="18"/>
                <w:color w:val="auto"/>
                <w:w w:val="90"/>
              </w:rPr>
              <w:t>November 9, 2015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0" w:type="dxa"/>
            <w:vAlign w:val="bottom"/>
            <w:tcBorders>
              <w:top w:val="single" w:sz="8" w:color="0000EE"/>
              <w:bottom w:val="single" w:sz="8" w:color="0000EE"/>
            </w:tcBorders>
            <w:gridSpan w:val="6"/>
          </w:tcPr>
          <w:p>
            <w:pPr>
              <w:spacing w:after="0" w:line="156"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Incorporation of the Registrant</w:t>
              </w:r>
            </w:hyperlink>
          </w:p>
        </w:tc>
        <w:tc>
          <w:tcPr>
            <w:tcW w:w="840" w:type="dxa"/>
            <w:vAlign w:val="bottom"/>
            <w:tcBorders>
              <w:top w:val="single" w:sz="8" w:color="0000EE"/>
            </w:tcBorders>
            <w:gridSpan w:val="4"/>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2"/>
                <w:szCs w:val="22"/>
                <w:color w:val="auto"/>
              </w:rPr>
            </w:pPr>
          </w:p>
        </w:tc>
        <w:tc>
          <w:tcPr>
            <w:tcW w:w="3480" w:type="dxa"/>
            <w:vAlign w:val="bottom"/>
            <w:tcBorders>
              <w:bottom w:val="single" w:sz="8" w:color="0000EE"/>
            </w:tcBorders>
            <w:gridSpan w:val="12"/>
          </w:tcPr>
          <w:p>
            <w:pPr>
              <w:spacing w:after="0"/>
              <w:rPr>
                <w:rFonts w:ascii="Arial" w:cs="Arial" w:eastAsia="Arial" w:hAnsi="Arial"/>
                <w:sz w:val="18"/>
                <w:szCs w:val="18"/>
                <w:color w:val="0000EE"/>
                <w:w w:val="89"/>
              </w:rPr>
            </w:pPr>
            <w:hyperlink r:id="rId139">
              <w:r>
                <w:rPr>
                  <w:rFonts w:ascii="Arial" w:cs="Arial" w:eastAsia="Arial" w:hAnsi="Arial"/>
                  <w:sz w:val="18"/>
                  <w:szCs w:val="18"/>
                  <w:color w:val="0000EE"/>
                  <w:w w:val="89"/>
                </w:rPr>
                <w:t>Amended and Restated Bylaws of the Registrant</w:t>
              </w:r>
            </w:hyperlink>
          </w:p>
        </w:tc>
        <w:tc>
          <w:tcPr>
            <w:tcW w:w="660" w:type="dxa"/>
            <w:vAlign w:val="bottom"/>
            <w:gridSpan w:val="14"/>
          </w:tcPr>
          <w:p>
            <w:pPr>
              <w:spacing w:after="0"/>
              <w:rPr>
                <w:sz w:val="22"/>
                <w:szCs w:val="22"/>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4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60" w:type="dxa"/>
            <w:vAlign w:val="bottom"/>
          </w:tcPr>
          <w:p>
            <w:pPr>
              <w:spacing w:after="0"/>
              <w:rPr>
                <w:sz w:val="22"/>
                <w:szCs w:val="22"/>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0"/>
              </w:rPr>
              <w:t>November 9, 2015</w:t>
            </w: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2"/>
                <w:szCs w:val="22"/>
                <w:color w:val="auto"/>
              </w:rPr>
            </w:pPr>
          </w:p>
        </w:tc>
        <w:tc>
          <w:tcPr>
            <w:tcW w:w="2660" w:type="dxa"/>
            <w:vAlign w:val="bottom"/>
            <w:tcBorders>
              <w:bottom w:val="single" w:sz="8" w:color="0000EE"/>
            </w:tcBorders>
            <w:gridSpan w:val="8"/>
          </w:tcPr>
          <w:p>
            <w:pPr>
              <w:spacing w:after="0"/>
              <w:rPr>
                <w:rFonts w:ascii="Arial" w:cs="Arial" w:eastAsia="Arial" w:hAnsi="Arial"/>
                <w:sz w:val="18"/>
                <w:szCs w:val="18"/>
                <w:color w:val="0000EE"/>
                <w:w w:val="89"/>
              </w:rPr>
            </w:pPr>
            <w:hyperlink r:id="rId140">
              <w:r>
                <w:rPr>
                  <w:rFonts w:ascii="Arial" w:cs="Arial" w:eastAsia="Arial" w:hAnsi="Arial"/>
                  <w:sz w:val="18"/>
                  <w:szCs w:val="18"/>
                  <w:color w:val="0000EE"/>
                  <w:w w:val="89"/>
                </w:rPr>
                <w:t>Specimen Common Stock Certificate</w:t>
              </w:r>
            </w:hyperlink>
          </w:p>
        </w:tc>
        <w:tc>
          <w:tcPr>
            <w:tcW w:w="1480" w:type="dxa"/>
            <w:vAlign w:val="bottom"/>
            <w:gridSpan w:val="18"/>
          </w:tcPr>
          <w:p>
            <w:pPr>
              <w:spacing w:after="0"/>
              <w:rPr>
                <w:sz w:val="22"/>
                <w:szCs w:val="22"/>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S-1/A</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333-202938</w:t>
            </w:r>
          </w:p>
        </w:tc>
        <w:tc>
          <w:tcPr>
            <w:tcW w:w="14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60" w:type="dxa"/>
            <w:vAlign w:val="bottom"/>
          </w:tcPr>
          <w:p>
            <w:pPr>
              <w:spacing w:after="0"/>
              <w:rPr>
                <w:sz w:val="22"/>
                <w:szCs w:val="22"/>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April 20, 2015</w:t>
            </w: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2"/>
                <w:szCs w:val="22"/>
                <w:color w:val="auto"/>
              </w:rPr>
            </w:pPr>
          </w:p>
        </w:tc>
        <w:tc>
          <w:tcPr>
            <w:tcW w:w="3500" w:type="dxa"/>
            <w:vAlign w:val="bottom"/>
            <w:tcBorders>
              <w:bottom w:val="single" w:sz="8" w:color="0000EE"/>
            </w:tcBorders>
            <w:gridSpan w:val="13"/>
          </w:tcPr>
          <w:p>
            <w:pPr>
              <w:spacing w:after="0"/>
              <w:rPr>
                <w:rFonts w:ascii="Arial" w:cs="Arial" w:eastAsia="Arial" w:hAnsi="Arial"/>
                <w:sz w:val="18"/>
                <w:szCs w:val="18"/>
                <w:color w:val="0000EE"/>
                <w:w w:val="88"/>
              </w:rPr>
            </w:pPr>
            <w:hyperlink r:id="rId141">
              <w:r>
                <w:rPr>
                  <w:rFonts w:ascii="Arial" w:cs="Arial" w:eastAsia="Arial" w:hAnsi="Arial"/>
                  <w:sz w:val="18"/>
                  <w:szCs w:val="18"/>
                  <w:color w:val="0000EE"/>
                  <w:w w:val="88"/>
                </w:rPr>
                <w:t>Second Amended and Restated Investors’ Rights</w:t>
              </w:r>
            </w:hyperlink>
          </w:p>
        </w:tc>
        <w:tc>
          <w:tcPr>
            <w:tcW w:w="640" w:type="dxa"/>
            <w:vAlign w:val="bottom"/>
            <w:gridSpan w:val="13"/>
          </w:tcPr>
          <w:p>
            <w:pPr>
              <w:spacing w:after="0"/>
              <w:rPr>
                <w:sz w:val="22"/>
                <w:szCs w:val="22"/>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S-1</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333-202938</w:t>
            </w:r>
          </w:p>
        </w:tc>
        <w:tc>
          <w:tcPr>
            <w:tcW w:w="14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60" w:type="dxa"/>
            <w:vAlign w:val="bottom"/>
          </w:tcPr>
          <w:p>
            <w:pPr>
              <w:spacing w:after="0"/>
              <w:rPr>
                <w:sz w:val="22"/>
                <w:szCs w:val="22"/>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1"/>
              </w:rPr>
              <w:t>March 23, 2015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140" w:type="dxa"/>
            <w:vAlign w:val="bottom"/>
            <w:gridSpan w:val="26"/>
          </w:tcPr>
          <w:p>
            <w:pPr>
              <w:spacing w:after="0" w:line="156" w:lineRule="exact"/>
              <w:rPr>
                <w:rFonts w:ascii="Arial" w:cs="Arial" w:eastAsia="Arial" w:hAnsi="Arial"/>
                <w:sz w:val="18"/>
                <w:szCs w:val="18"/>
                <w:color w:val="0000EE"/>
              </w:rPr>
            </w:pPr>
            <w:hyperlink r:id="rId141">
              <w:r>
                <w:rPr>
                  <w:rFonts w:ascii="Arial" w:cs="Arial" w:eastAsia="Arial" w:hAnsi="Arial"/>
                  <w:sz w:val="18"/>
                  <w:szCs w:val="18"/>
                  <w:color w:val="0000EE"/>
                </w:rPr>
                <w:t>Agreement, dated as of November 7, 2014, by and</w:t>
              </w:r>
            </w:hyperlink>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140" w:type="dxa"/>
            <w:vAlign w:val="bottom"/>
            <w:gridSpan w:val="26"/>
          </w:tcPr>
          <w:p>
            <w:pPr>
              <w:spacing w:after="0" w:line="156" w:lineRule="exact"/>
              <w:rPr>
                <w:rFonts w:ascii="Arial" w:cs="Arial" w:eastAsia="Arial" w:hAnsi="Arial"/>
                <w:sz w:val="18"/>
                <w:szCs w:val="18"/>
                <w:color w:val="0000EE"/>
                <w:w w:val="97"/>
              </w:rPr>
            </w:pPr>
            <w:hyperlink r:id="rId141">
              <w:r>
                <w:rPr>
                  <w:rFonts w:ascii="Arial" w:cs="Arial" w:eastAsia="Arial" w:hAnsi="Arial"/>
                  <w:sz w:val="18"/>
                  <w:szCs w:val="18"/>
                  <w:color w:val="0000EE"/>
                  <w:w w:val="97"/>
                </w:rPr>
                <w:t>among the Registrant and the Investors listed therein</w:t>
              </w:r>
            </w:hyperlink>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2"/>
                <w:szCs w:val="22"/>
                <w:color w:val="auto"/>
              </w:rPr>
            </w:pPr>
          </w:p>
        </w:tc>
        <w:tc>
          <w:tcPr>
            <w:tcW w:w="3760" w:type="dxa"/>
            <w:vAlign w:val="bottom"/>
            <w:tcBorders>
              <w:top w:val="single" w:sz="8" w:color="0000EE"/>
            </w:tcBorders>
            <w:gridSpan w:val="20"/>
          </w:tcPr>
          <w:p>
            <w:pPr>
              <w:spacing w:after="0"/>
              <w:rPr>
                <w:rFonts w:ascii="Arial" w:cs="Arial" w:eastAsia="Arial" w:hAnsi="Arial"/>
                <w:sz w:val="18"/>
                <w:szCs w:val="18"/>
                <w:color w:val="0000EE"/>
                <w:w w:val="88"/>
              </w:rPr>
            </w:pPr>
            <w:hyperlink r:id="rId142">
              <w:r>
                <w:rPr>
                  <w:rFonts w:ascii="Arial" w:cs="Arial" w:eastAsia="Arial" w:hAnsi="Arial"/>
                  <w:sz w:val="18"/>
                  <w:szCs w:val="18"/>
                  <w:color w:val="0000EE"/>
                  <w:w w:val="88"/>
                </w:rPr>
                <w:t>2011 Stock Option and Grant Plan, as amended, and</w:t>
              </w:r>
            </w:hyperlink>
          </w:p>
        </w:tc>
        <w:tc>
          <w:tcPr>
            <w:tcW w:w="380" w:type="dxa"/>
            <w:vAlign w:val="bottom"/>
            <w:gridSpan w:val="6"/>
          </w:tcPr>
          <w:p>
            <w:pPr>
              <w:spacing w:after="0"/>
              <w:rPr>
                <w:sz w:val="22"/>
                <w:szCs w:val="22"/>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S-1</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333-202938</w:t>
            </w:r>
          </w:p>
        </w:tc>
        <w:tc>
          <w:tcPr>
            <w:tcW w:w="14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2"/>
                <w:szCs w:val="22"/>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1"/>
              </w:rPr>
              <w:t>March 23, 2015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60" w:type="dxa"/>
            <w:vAlign w:val="bottom"/>
            <w:tcBorders>
              <w:top w:val="single" w:sz="8" w:color="0000EE"/>
              <w:bottom w:val="single" w:sz="8" w:color="0000EE"/>
            </w:tcBorders>
            <w:gridSpan w:val="9"/>
          </w:tcPr>
          <w:p>
            <w:pPr>
              <w:spacing w:after="0" w:line="156" w:lineRule="exact"/>
              <w:rPr>
                <w:rFonts w:ascii="Arial" w:cs="Arial" w:eastAsia="Arial" w:hAnsi="Arial"/>
                <w:sz w:val="18"/>
                <w:szCs w:val="18"/>
                <w:color w:val="0000EE"/>
                <w:w w:val="88"/>
              </w:rPr>
            </w:pPr>
            <w:hyperlink r:id="rId142">
              <w:r>
                <w:rPr>
                  <w:rFonts w:ascii="Arial" w:cs="Arial" w:eastAsia="Arial" w:hAnsi="Arial"/>
                  <w:sz w:val="18"/>
                  <w:szCs w:val="18"/>
                  <w:color w:val="0000EE"/>
                  <w:w w:val="88"/>
                </w:rPr>
                <w:t>forms of award agreements thereunder</w:t>
              </w:r>
            </w:hyperlink>
          </w:p>
        </w:tc>
        <w:tc>
          <w:tcPr>
            <w:tcW w:w="980" w:type="dxa"/>
            <w:vAlign w:val="bottom"/>
            <w:tcBorders>
              <w:top w:val="single" w:sz="8" w:color="0000EE"/>
            </w:tcBorders>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2"/>
                <w:szCs w:val="22"/>
                <w:color w:val="auto"/>
              </w:rPr>
            </w:pPr>
          </w:p>
        </w:tc>
        <w:tc>
          <w:tcPr>
            <w:tcW w:w="4140" w:type="dxa"/>
            <w:vAlign w:val="bottom"/>
            <w:gridSpan w:val="26"/>
          </w:tcPr>
          <w:p>
            <w:pPr>
              <w:spacing w:after="0"/>
              <w:rPr>
                <w:rFonts w:ascii="Arial" w:cs="Arial" w:eastAsia="Arial" w:hAnsi="Arial"/>
                <w:sz w:val="18"/>
                <w:szCs w:val="18"/>
                <w:color w:val="0000EE"/>
              </w:rPr>
            </w:pPr>
            <w:hyperlink r:id="rId143">
              <w:r>
                <w:rPr>
                  <w:rFonts w:ascii="Arial" w:cs="Arial" w:eastAsia="Arial" w:hAnsi="Arial"/>
                  <w:sz w:val="18"/>
                  <w:szCs w:val="18"/>
                  <w:color w:val="0000EE"/>
                </w:rPr>
                <w:t>2015 Stock Option and Incentive Plan and forms of</w:t>
              </w:r>
            </w:hyperlink>
          </w:p>
        </w:tc>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10-K</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4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60" w:type="dxa"/>
            <w:vAlign w:val="bottom"/>
          </w:tcPr>
          <w:p>
            <w:pPr>
              <w:spacing w:after="0"/>
              <w:rPr>
                <w:sz w:val="22"/>
                <w:szCs w:val="22"/>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1"/>
              </w:rPr>
              <w:t>March 11, 2016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00" w:type="dxa"/>
            <w:vAlign w:val="bottom"/>
            <w:tcBorders>
              <w:top w:val="single" w:sz="8" w:color="0000EE"/>
              <w:bottom w:val="single" w:sz="8" w:color="0000EE"/>
            </w:tcBorders>
            <w:gridSpan w:val="5"/>
          </w:tcPr>
          <w:p>
            <w:pPr>
              <w:spacing w:after="0" w:line="156" w:lineRule="exact"/>
              <w:rPr>
                <w:rFonts w:ascii="Arial" w:cs="Arial" w:eastAsia="Arial" w:hAnsi="Arial"/>
                <w:sz w:val="18"/>
                <w:szCs w:val="18"/>
                <w:color w:val="0000EE"/>
                <w:w w:val="86"/>
              </w:rPr>
            </w:pPr>
            <w:hyperlink r:id="rId143">
              <w:r>
                <w:rPr>
                  <w:rFonts w:ascii="Arial" w:cs="Arial" w:eastAsia="Arial" w:hAnsi="Arial"/>
                  <w:sz w:val="18"/>
                  <w:szCs w:val="18"/>
                  <w:color w:val="0000EE"/>
                  <w:w w:val="86"/>
                </w:rPr>
                <w:t>award agreements thereunder</w:t>
              </w:r>
            </w:hyperlink>
          </w:p>
        </w:tc>
        <w:tc>
          <w:tcPr>
            <w:tcW w:w="1580" w:type="dxa"/>
            <w:vAlign w:val="bottom"/>
            <w:tcBorders>
              <w:top w:val="single" w:sz="8" w:color="0000EE"/>
            </w:tcBorders>
            <w:gridSpan w:val="1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2"/>
                <w:szCs w:val="22"/>
                <w:color w:val="auto"/>
              </w:rPr>
            </w:pPr>
          </w:p>
        </w:tc>
        <w:tc>
          <w:tcPr>
            <w:tcW w:w="4140" w:type="dxa"/>
            <w:vAlign w:val="bottom"/>
            <w:gridSpan w:val="26"/>
          </w:tcPr>
          <w:p>
            <w:pPr>
              <w:spacing w:after="0"/>
              <w:rPr>
                <w:rFonts w:ascii="Arial" w:cs="Arial" w:eastAsia="Arial" w:hAnsi="Arial"/>
                <w:sz w:val="18"/>
                <w:szCs w:val="18"/>
                <w:color w:val="0000EE"/>
              </w:rPr>
            </w:pPr>
            <w:hyperlink r:id="rId144">
              <w:r>
                <w:rPr>
                  <w:rFonts w:ascii="Arial" w:cs="Arial" w:eastAsia="Arial" w:hAnsi="Arial"/>
                  <w:sz w:val="18"/>
                  <w:szCs w:val="18"/>
                  <w:color w:val="0000EE"/>
                </w:rPr>
                <w:t>2015 Employee Stock Purchase Plan</w:t>
              </w:r>
            </w:hyperlink>
          </w:p>
        </w:tc>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S-8</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333-203749</w:t>
            </w:r>
          </w:p>
        </w:tc>
        <w:tc>
          <w:tcPr>
            <w:tcW w:w="14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99.3</w:t>
            </w:r>
          </w:p>
        </w:tc>
        <w:tc>
          <w:tcPr>
            <w:tcW w:w="160" w:type="dxa"/>
            <w:vAlign w:val="bottom"/>
          </w:tcPr>
          <w:p>
            <w:pPr>
              <w:spacing w:after="0"/>
              <w:rPr>
                <w:sz w:val="22"/>
                <w:szCs w:val="22"/>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April 30, 2015</w:t>
            </w: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2"/>
                <w:szCs w:val="22"/>
                <w:color w:val="auto"/>
              </w:rPr>
            </w:pPr>
          </w:p>
        </w:tc>
        <w:tc>
          <w:tcPr>
            <w:tcW w:w="4140" w:type="dxa"/>
            <w:vAlign w:val="bottom"/>
            <w:gridSpan w:val="26"/>
          </w:tcPr>
          <w:p>
            <w:pPr>
              <w:spacing w:after="0"/>
              <w:rPr>
                <w:rFonts w:ascii="Arial" w:cs="Arial" w:eastAsia="Arial" w:hAnsi="Arial"/>
                <w:sz w:val="18"/>
                <w:szCs w:val="18"/>
                <w:color w:val="0000EE"/>
                <w:w w:val="99"/>
              </w:rPr>
            </w:pPr>
            <w:hyperlink r:id="rId145">
              <w:r>
                <w:rPr>
                  <w:rFonts w:ascii="Arial" w:cs="Arial" w:eastAsia="Arial" w:hAnsi="Arial"/>
                  <w:sz w:val="18"/>
                  <w:szCs w:val="18"/>
                  <w:color w:val="0000EE"/>
                  <w:w w:val="99"/>
                </w:rPr>
                <w:t>Lease Agreement, dated February 11, 2015, by and</w:t>
              </w:r>
            </w:hyperlink>
          </w:p>
        </w:tc>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S-1</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333-202938</w:t>
            </w:r>
          </w:p>
        </w:tc>
        <w:tc>
          <w:tcPr>
            <w:tcW w:w="14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60" w:type="dxa"/>
            <w:vAlign w:val="bottom"/>
          </w:tcPr>
          <w:p>
            <w:pPr>
              <w:spacing w:after="0"/>
              <w:rPr>
                <w:sz w:val="22"/>
                <w:szCs w:val="22"/>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1"/>
              </w:rPr>
              <w:t>March 23, 2015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60" w:type="dxa"/>
            <w:vAlign w:val="bottom"/>
            <w:tcBorders>
              <w:top w:val="single" w:sz="8" w:color="0000EE"/>
              <w:bottom w:val="single" w:sz="8" w:color="0000EE"/>
            </w:tcBorders>
            <w:gridSpan w:val="16"/>
          </w:tcPr>
          <w:p>
            <w:pPr>
              <w:spacing w:after="0" w:line="156" w:lineRule="exact"/>
              <w:rPr>
                <w:rFonts w:ascii="Arial" w:cs="Arial" w:eastAsia="Arial" w:hAnsi="Arial"/>
                <w:sz w:val="18"/>
                <w:szCs w:val="18"/>
                <w:color w:val="0000EE"/>
                <w:w w:val="86"/>
              </w:rPr>
            </w:pPr>
            <w:hyperlink r:id="rId145">
              <w:r>
                <w:rPr>
                  <w:rFonts w:ascii="Arial" w:cs="Arial" w:eastAsia="Arial" w:hAnsi="Arial"/>
                  <w:sz w:val="18"/>
                  <w:szCs w:val="18"/>
                  <w:color w:val="0000EE"/>
                  <w:w w:val="86"/>
                </w:rPr>
                <w:t>between the Registrant and 38 Sidney Street Limited</w:t>
              </w:r>
            </w:hyperlink>
          </w:p>
        </w:tc>
        <w:tc>
          <w:tcPr>
            <w:tcW w:w="60" w:type="dxa"/>
            <w:vAlign w:val="bottom"/>
            <w:tcBorders>
              <w:bottom w:val="single" w:sz="8" w:color="0000EE"/>
            </w:tcBorders>
            <w:gridSpan w:val="2"/>
          </w:tcPr>
          <w:p>
            <w:pPr>
              <w:spacing w:after="0"/>
              <w:rPr>
                <w:sz w:val="13"/>
                <w:szCs w:val="13"/>
                <w:color w:val="auto"/>
              </w:rPr>
            </w:pPr>
          </w:p>
        </w:tc>
        <w:tc>
          <w:tcPr>
            <w:tcW w:w="60" w:type="dxa"/>
            <w:vAlign w:val="bottom"/>
            <w:tcBorders>
              <w:bottom w:val="single" w:sz="8" w:color="0000EE"/>
            </w:tcBorders>
            <w:gridSpan w:val="3"/>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Borders>
              <w:bottom w:val="single" w:sz="8" w:color="0000EE"/>
            </w:tcBorders>
            <w:gridSpan w:val="3"/>
          </w:tcPr>
          <w:p>
            <w:pPr>
              <w:spacing w:after="0" w:line="156" w:lineRule="exact"/>
              <w:rPr>
                <w:rFonts w:ascii="Arial" w:cs="Arial" w:eastAsia="Arial" w:hAnsi="Arial"/>
                <w:sz w:val="18"/>
                <w:szCs w:val="18"/>
                <w:color w:val="0000EE"/>
                <w:w w:val="84"/>
              </w:rPr>
            </w:pPr>
            <w:hyperlink r:id="rId145">
              <w:r>
                <w:rPr>
                  <w:rFonts w:ascii="Arial" w:cs="Arial" w:eastAsia="Arial" w:hAnsi="Arial"/>
                  <w:sz w:val="18"/>
                  <w:szCs w:val="18"/>
                  <w:color w:val="0000EE"/>
                  <w:w w:val="84"/>
                </w:rPr>
                <w:t>Partnership</w:t>
              </w:r>
            </w:hyperlink>
          </w:p>
        </w:tc>
        <w:tc>
          <w:tcPr>
            <w:tcW w:w="2980" w:type="dxa"/>
            <w:vAlign w:val="bottom"/>
            <w:gridSpan w:val="18"/>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2"/>
                <w:szCs w:val="22"/>
                <w:color w:val="auto"/>
              </w:rPr>
            </w:pPr>
          </w:p>
        </w:tc>
        <w:tc>
          <w:tcPr>
            <w:tcW w:w="3820" w:type="dxa"/>
            <w:vAlign w:val="bottom"/>
            <w:tcBorders>
              <w:bottom w:val="single" w:sz="8" w:color="0000EE"/>
            </w:tcBorders>
            <w:gridSpan w:val="22"/>
          </w:tcPr>
          <w:p>
            <w:pPr>
              <w:spacing w:after="0"/>
              <w:rPr>
                <w:rFonts w:ascii="Arial" w:cs="Arial" w:eastAsia="Arial" w:hAnsi="Arial"/>
                <w:sz w:val="18"/>
                <w:szCs w:val="18"/>
                <w:color w:val="0000EE"/>
                <w:w w:val="88"/>
              </w:rPr>
            </w:pPr>
            <w:hyperlink w:anchor="page140">
              <w:r>
                <w:rPr>
                  <w:rFonts w:ascii="Arial" w:cs="Arial" w:eastAsia="Arial" w:hAnsi="Arial"/>
                  <w:sz w:val="18"/>
                  <w:szCs w:val="18"/>
                  <w:color w:val="0000EE"/>
                  <w:w w:val="88"/>
                </w:rPr>
                <w:t>First Amendment to Lease Agreement, dated January</w:t>
              </w:r>
            </w:hyperlink>
          </w:p>
        </w:tc>
        <w:tc>
          <w:tcPr>
            <w:tcW w:w="320" w:type="dxa"/>
            <w:vAlign w:val="bottom"/>
            <w:gridSpan w:val="4"/>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140" w:type="dxa"/>
            <w:vAlign w:val="bottom"/>
            <w:gridSpan w:val="26"/>
          </w:tcPr>
          <w:p>
            <w:pPr>
              <w:spacing w:after="0" w:line="156" w:lineRule="exact"/>
              <w:rPr>
                <w:rFonts w:ascii="Arial" w:cs="Arial" w:eastAsia="Arial" w:hAnsi="Arial"/>
                <w:sz w:val="18"/>
                <w:szCs w:val="18"/>
                <w:color w:val="0000EE"/>
                <w:w w:val="92"/>
              </w:rPr>
            </w:pPr>
            <w:hyperlink w:anchor="page140">
              <w:r>
                <w:rPr>
                  <w:rFonts w:ascii="Arial" w:cs="Arial" w:eastAsia="Arial" w:hAnsi="Arial"/>
                  <w:sz w:val="18"/>
                  <w:szCs w:val="18"/>
                  <w:color w:val="0000EE"/>
                  <w:w w:val="92"/>
                </w:rPr>
                <w:t>26, 2018, by and between the Registrant and 38 Sidney</w:t>
              </w:r>
            </w:hyperlink>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tcBorders>
              <w:top w:val="single" w:sz="8" w:color="0000EE"/>
              <w:bottom w:val="single" w:sz="8" w:color="0000EE"/>
            </w:tcBorders>
            <w:gridSpan w:val="4"/>
          </w:tcPr>
          <w:p>
            <w:pPr>
              <w:spacing w:after="0" w:line="156" w:lineRule="exact"/>
              <w:rPr>
                <w:rFonts w:ascii="Arial" w:cs="Arial" w:eastAsia="Arial" w:hAnsi="Arial"/>
                <w:sz w:val="18"/>
                <w:szCs w:val="18"/>
                <w:color w:val="0000EE"/>
                <w:w w:val="89"/>
              </w:rPr>
            </w:pPr>
            <w:hyperlink w:anchor="page140">
              <w:r>
                <w:rPr>
                  <w:rFonts w:ascii="Arial" w:cs="Arial" w:eastAsia="Arial" w:hAnsi="Arial"/>
                  <w:sz w:val="18"/>
                  <w:szCs w:val="18"/>
                  <w:color w:val="0000EE"/>
                  <w:w w:val="89"/>
                </w:rPr>
                <w:t>Street Limited Partnership</w:t>
              </w:r>
            </w:hyperlink>
          </w:p>
        </w:tc>
        <w:tc>
          <w:tcPr>
            <w:tcW w:w="2060" w:type="dxa"/>
            <w:vAlign w:val="bottom"/>
            <w:tcBorders>
              <w:top w:val="single" w:sz="8" w:color="0000EE"/>
            </w:tcBorders>
            <w:gridSpan w:val="20"/>
          </w:tcPr>
          <w:p>
            <w:pPr>
              <w:spacing w:after="0"/>
              <w:rPr>
                <w:sz w:val="13"/>
                <w:szCs w:val="13"/>
                <w:color w:val="auto"/>
              </w:rPr>
            </w:pPr>
          </w:p>
        </w:tc>
        <w:tc>
          <w:tcPr>
            <w:tcW w:w="20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2"/>
                <w:szCs w:val="22"/>
                <w:color w:val="auto"/>
              </w:rPr>
            </w:pPr>
          </w:p>
        </w:tc>
        <w:tc>
          <w:tcPr>
            <w:tcW w:w="3400" w:type="dxa"/>
            <w:vAlign w:val="bottom"/>
            <w:tcBorders>
              <w:bottom w:val="single" w:sz="8" w:color="0000EE"/>
            </w:tcBorders>
            <w:gridSpan w:val="11"/>
          </w:tcPr>
          <w:p>
            <w:pPr>
              <w:spacing w:after="0"/>
              <w:rPr>
                <w:rFonts w:ascii="Arial" w:cs="Arial" w:eastAsia="Arial" w:hAnsi="Arial"/>
                <w:sz w:val="18"/>
                <w:szCs w:val="18"/>
                <w:color w:val="0000EE"/>
                <w:w w:val="89"/>
              </w:rPr>
            </w:pPr>
            <w:hyperlink r:id="rId146">
              <w:r>
                <w:rPr>
                  <w:rFonts w:ascii="Arial" w:cs="Arial" w:eastAsia="Arial" w:hAnsi="Arial"/>
                  <w:sz w:val="18"/>
                  <w:szCs w:val="18"/>
                  <w:color w:val="0000EE"/>
                  <w:w w:val="89"/>
                </w:rPr>
                <w:t>Lease Agreement, dated April 28, 2017, by and</w:t>
              </w:r>
            </w:hyperlink>
          </w:p>
        </w:tc>
        <w:tc>
          <w:tcPr>
            <w:tcW w:w="740" w:type="dxa"/>
            <w:vAlign w:val="bottom"/>
            <w:gridSpan w:val="15"/>
          </w:tcPr>
          <w:p>
            <w:pPr>
              <w:spacing w:after="0"/>
              <w:rPr>
                <w:sz w:val="22"/>
                <w:szCs w:val="22"/>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4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2"/>
                <w:szCs w:val="22"/>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May 3, 2017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140" w:type="dxa"/>
            <w:vAlign w:val="bottom"/>
            <w:gridSpan w:val="26"/>
          </w:tcPr>
          <w:p>
            <w:pPr>
              <w:spacing w:after="0" w:line="156" w:lineRule="exact"/>
              <w:rPr>
                <w:rFonts w:ascii="Arial" w:cs="Arial" w:eastAsia="Arial" w:hAnsi="Arial"/>
                <w:sz w:val="18"/>
                <w:szCs w:val="18"/>
                <w:color w:val="0000EE"/>
                <w:w w:val="98"/>
              </w:rPr>
            </w:pPr>
            <w:hyperlink r:id="rId146">
              <w:r>
                <w:rPr>
                  <w:rFonts w:ascii="Arial" w:cs="Arial" w:eastAsia="Arial" w:hAnsi="Arial"/>
                  <w:sz w:val="18"/>
                  <w:szCs w:val="18"/>
                  <w:color w:val="0000EE"/>
                  <w:w w:val="98"/>
                </w:rPr>
                <w:t>between the Registrant and UP 45/75 Sidney Street,</w:t>
              </w:r>
            </w:hyperlink>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Borders>
              <w:top w:val="single" w:sz="8" w:color="0000EE"/>
              <w:bottom w:val="single" w:sz="8" w:color="0000EE"/>
            </w:tcBorders>
            <w:gridSpan w:val="2"/>
          </w:tcPr>
          <w:p>
            <w:pPr>
              <w:spacing w:after="0" w:line="156" w:lineRule="exact"/>
              <w:rPr>
                <w:rFonts w:ascii="Arial" w:cs="Arial" w:eastAsia="Arial" w:hAnsi="Arial"/>
                <w:sz w:val="18"/>
                <w:szCs w:val="18"/>
                <w:color w:val="0000EE"/>
                <w:w w:val="90"/>
              </w:rPr>
            </w:pPr>
            <w:hyperlink r:id="rId146">
              <w:r>
                <w:rPr>
                  <w:rFonts w:ascii="Arial" w:cs="Arial" w:eastAsia="Arial" w:hAnsi="Arial"/>
                  <w:sz w:val="18"/>
                  <w:szCs w:val="18"/>
                  <w:color w:val="0000EE"/>
                  <w:w w:val="90"/>
                </w:rPr>
                <w:t>LLC</w:t>
              </w:r>
            </w:hyperlink>
          </w:p>
        </w:tc>
        <w:tc>
          <w:tcPr>
            <w:tcW w:w="3400" w:type="dxa"/>
            <w:vAlign w:val="bottom"/>
            <w:tcBorders>
              <w:top w:val="single" w:sz="8" w:color="0000EE"/>
            </w:tcBorders>
            <w:gridSpan w:val="16"/>
          </w:tcPr>
          <w:p>
            <w:pPr>
              <w:spacing w:after="0"/>
              <w:rPr>
                <w:sz w:val="13"/>
                <w:szCs w:val="13"/>
                <w:color w:val="auto"/>
              </w:rPr>
            </w:pPr>
          </w:p>
        </w:tc>
        <w:tc>
          <w:tcPr>
            <w:tcW w:w="160" w:type="dxa"/>
            <w:vAlign w:val="bottom"/>
            <w:gridSpan w:val="5"/>
          </w:tcPr>
          <w:p>
            <w:pPr>
              <w:spacing w:after="0"/>
              <w:rPr>
                <w:sz w:val="13"/>
                <w:szCs w:val="13"/>
                <w:color w:val="auto"/>
              </w:rPr>
            </w:pPr>
          </w:p>
        </w:tc>
        <w:tc>
          <w:tcPr>
            <w:tcW w:w="260" w:type="dxa"/>
            <w:vAlign w:val="bottom"/>
            <w:gridSpan w:val="3"/>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2"/>
                <w:szCs w:val="22"/>
                <w:color w:val="auto"/>
              </w:rPr>
            </w:pPr>
          </w:p>
        </w:tc>
        <w:tc>
          <w:tcPr>
            <w:tcW w:w="4140" w:type="dxa"/>
            <w:vAlign w:val="bottom"/>
            <w:gridSpan w:val="26"/>
          </w:tcPr>
          <w:p>
            <w:pPr>
              <w:spacing w:after="0"/>
              <w:rPr>
                <w:rFonts w:ascii="Arial" w:cs="Arial" w:eastAsia="Arial" w:hAnsi="Arial"/>
                <w:sz w:val="18"/>
                <w:szCs w:val="18"/>
                <w:color w:val="0000EE"/>
                <w:w w:val="95"/>
              </w:rPr>
            </w:pPr>
            <w:hyperlink r:id="rId147">
              <w:r>
                <w:rPr>
                  <w:rFonts w:ascii="Arial" w:cs="Arial" w:eastAsia="Arial" w:hAnsi="Arial"/>
                  <w:sz w:val="18"/>
                  <w:szCs w:val="18"/>
                  <w:color w:val="0000EE"/>
                  <w:w w:val="95"/>
                </w:rPr>
                <w:t>Employment Agreement, dated November 6, 2015, by</w:t>
              </w:r>
            </w:hyperlink>
          </w:p>
        </w:tc>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4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60" w:type="dxa"/>
            <w:vAlign w:val="bottom"/>
          </w:tcPr>
          <w:p>
            <w:pPr>
              <w:spacing w:after="0"/>
              <w:rPr>
                <w:sz w:val="22"/>
                <w:szCs w:val="22"/>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0"/>
              </w:rPr>
              <w:t>November 9, 2015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80" w:type="dxa"/>
            <w:vAlign w:val="bottom"/>
            <w:tcBorders>
              <w:top w:val="single" w:sz="8" w:color="0000EE"/>
            </w:tcBorders>
            <w:gridSpan w:val="23"/>
          </w:tcPr>
          <w:p>
            <w:pPr>
              <w:spacing w:after="0" w:line="156" w:lineRule="exact"/>
              <w:rPr>
                <w:rFonts w:ascii="Arial" w:cs="Arial" w:eastAsia="Arial" w:hAnsi="Arial"/>
                <w:sz w:val="18"/>
                <w:szCs w:val="18"/>
                <w:color w:val="0000EE"/>
                <w:w w:val="97"/>
              </w:rPr>
            </w:pPr>
            <w:hyperlink r:id="rId147">
              <w:r>
                <w:rPr>
                  <w:rFonts w:ascii="Arial" w:cs="Arial" w:eastAsia="Arial" w:hAnsi="Arial"/>
                  <w:sz w:val="18"/>
                  <w:szCs w:val="18"/>
                  <w:color w:val="0000EE"/>
                  <w:w w:val="97"/>
                </w:rPr>
                <w:t>and between the Registrant and Jeffrey W. Albers</w:t>
              </w:r>
            </w:hyperlink>
          </w:p>
        </w:tc>
        <w:tc>
          <w:tcPr>
            <w:tcW w:w="260" w:type="dxa"/>
            <w:vAlign w:val="bottom"/>
            <w:gridSpan w:val="3"/>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540" w:type="dxa"/>
            <w:vAlign w:val="bottom"/>
            <w:gridSpan w:val="1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11"/>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22"/>
                <w:szCs w:val="22"/>
                <w:color w:val="auto"/>
              </w:rPr>
            </w:pPr>
          </w:p>
        </w:tc>
        <w:tc>
          <w:tcPr>
            <w:tcW w:w="4140" w:type="dxa"/>
            <w:vAlign w:val="bottom"/>
            <w:gridSpan w:val="26"/>
          </w:tcPr>
          <w:p>
            <w:pPr>
              <w:spacing w:after="0"/>
              <w:rPr>
                <w:rFonts w:ascii="Arial" w:cs="Arial" w:eastAsia="Arial" w:hAnsi="Arial"/>
                <w:sz w:val="18"/>
                <w:szCs w:val="18"/>
                <w:color w:val="0000EE"/>
                <w:w w:val="95"/>
              </w:rPr>
            </w:pPr>
            <w:hyperlink r:id="rId148">
              <w:r>
                <w:rPr>
                  <w:rFonts w:ascii="Arial" w:cs="Arial" w:eastAsia="Arial" w:hAnsi="Arial"/>
                  <w:sz w:val="18"/>
                  <w:szCs w:val="18"/>
                  <w:color w:val="0000EE"/>
                  <w:w w:val="95"/>
                </w:rPr>
                <w:t>Employment Agreement, dated November 6, 2015, by</w:t>
              </w:r>
            </w:hyperlink>
          </w:p>
        </w:tc>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4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60" w:type="dxa"/>
            <w:vAlign w:val="bottom"/>
          </w:tcPr>
          <w:p>
            <w:pPr>
              <w:spacing w:after="0"/>
              <w:rPr>
                <w:sz w:val="22"/>
                <w:szCs w:val="22"/>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0"/>
              </w:rPr>
              <w:t>November 9, 2015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80" w:type="dxa"/>
            <w:vAlign w:val="bottom"/>
            <w:tcBorders>
              <w:top w:val="single" w:sz="8" w:color="0000EE"/>
            </w:tcBorders>
            <w:gridSpan w:val="23"/>
          </w:tcPr>
          <w:p>
            <w:pPr>
              <w:spacing w:after="0" w:line="156" w:lineRule="exact"/>
              <w:rPr>
                <w:rFonts w:ascii="Arial" w:cs="Arial" w:eastAsia="Arial" w:hAnsi="Arial"/>
                <w:sz w:val="18"/>
                <w:szCs w:val="18"/>
                <w:color w:val="0000EE"/>
                <w:w w:val="98"/>
              </w:rPr>
            </w:pPr>
            <w:hyperlink r:id="rId148">
              <w:r>
                <w:rPr>
                  <w:rFonts w:ascii="Arial" w:cs="Arial" w:eastAsia="Arial" w:hAnsi="Arial"/>
                  <w:sz w:val="18"/>
                  <w:szCs w:val="18"/>
                  <w:color w:val="0000EE"/>
                  <w:w w:val="98"/>
                </w:rPr>
                <w:t>and between the Registrant and Anthony L. Boral</w:t>
              </w:r>
            </w:hyperlink>
          </w:p>
        </w:tc>
        <w:tc>
          <w:tcPr>
            <w:tcW w:w="260" w:type="dxa"/>
            <w:vAlign w:val="bottom"/>
            <w:gridSpan w:val="3"/>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60" w:type="dxa"/>
            <w:vAlign w:val="bottom"/>
            <w:gridSpan w:val="15"/>
            <w:shd w:val="clear" w:color="auto" w:fill="0000EE"/>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20" w:type="dxa"/>
            <w:vAlign w:val="bottom"/>
            <w:gridSpan w:val="22"/>
          </w:tcPr>
          <w:p>
            <w:pPr>
              <w:jc w:val="right"/>
              <w:ind w:right="40"/>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100"/>
          </w:cols>
          <w:pgMar w:left="1420" w:top="112" w:right="1379" w:bottom="1440" w:gutter="0" w:footer="0" w:header="0"/>
        </w:sectPr>
      </w:pPr>
    </w:p>
    <w:bookmarkStart w:id="108" w:name="page109"/>
    <w:bookmarkEnd w:id="10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180" w:type="dxa"/>
            <w:vAlign w:val="bottom"/>
            <w:gridSpan w:val="35"/>
            <w:vMerge w:val="restart"/>
          </w:tcPr>
          <w:p>
            <w:pPr>
              <w:ind w:left="3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3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line="156" w:lineRule="exact"/>
              <w:rPr>
                <w:sz w:val="20"/>
                <w:szCs w:val="20"/>
                <w:color w:val="auto"/>
              </w:rPr>
            </w:pPr>
            <w:r>
              <w:rPr>
                <w:rFonts w:ascii="Arial" w:cs="Arial" w:eastAsia="Arial" w:hAnsi="Arial"/>
                <w:sz w:val="18"/>
                <w:szCs w:val="18"/>
                <w:color w:val="auto"/>
              </w:rPr>
              <w:t>10.9#</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gridSpan w:val="36"/>
          </w:tcPr>
          <w:p>
            <w:pPr>
              <w:spacing w:after="0" w:line="156" w:lineRule="exact"/>
              <w:rPr>
                <w:rFonts w:ascii="Arial" w:cs="Arial" w:eastAsia="Arial" w:hAnsi="Arial"/>
                <w:sz w:val="18"/>
                <w:szCs w:val="18"/>
                <w:color w:val="0000EE"/>
              </w:rPr>
            </w:pPr>
            <w:hyperlink r:id="rId149">
              <w:r>
                <w:rPr>
                  <w:rFonts w:ascii="Arial" w:cs="Arial" w:eastAsia="Arial" w:hAnsi="Arial"/>
                  <w:sz w:val="18"/>
                  <w:szCs w:val="18"/>
                  <w:color w:val="0000EE"/>
                </w:rPr>
                <w:t>Employment Agreement, dated March 10, 2016, by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580" w:type="dxa"/>
            <w:vAlign w:val="bottom"/>
            <w:tcBorders>
              <w:top w:val="single" w:sz="8" w:color="0000EE"/>
              <w:bottom w:val="single" w:sz="8" w:color="0000EE"/>
            </w:tcBorders>
            <w:gridSpan w:val="15"/>
          </w:tcPr>
          <w:p>
            <w:pPr>
              <w:spacing w:after="0" w:line="156" w:lineRule="exact"/>
              <w:rPr>
                <w:rFonts w:ascii="Arial" w:cs="Arial" w:eastAsia="Arial" w:hAnsi="Arial"/>
                <w:sz w:val="18"/>
                <w:szCs w:val="18"/>
                <w:color w:val="0000EE"/>
                <w:w w:val="89"/>
              </w:rPr>
            </w:pPr>
            <w:hyperlink r:id="rId149">
              <w:r>
                <w:rPr>
                  <w:rFonts w:ascii="Arial" w:cs="Arial" w:eastAsia="Arial" w:hAnsi="Arial"/>
                  <w:sz w:val="18"/>
                  <w:szCs w:val="18"/>
                  <w:color w:val="0000EE"/>
                  <w:w w:val="89"/>
                </w:rPr>
                <w:t>and between the Registrant and Kathryn Haviland</w:t>
              </w:r>
            </w:hyperlink>
          </w:p>
        </w:tc>
        <w:tc>
          <w:tcPr>
            <w:tcW w:w="100" w:type="dxa"/>
            <w:vAlign w:val="bottom"/>
            <w:tcBorders>
              <w:top w:val="single" w:sz="8" w:color="0000EE"/>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10.10#</w:t>
            </w:r>
          </w:p>
        </w:tc>
        <w:tc>
          <w:tcPr>
            <w:tcW w:w="180" w:type="dxa"/>
            <w:vAlign w:val="bottom"/>
          </w:tcPr>
          <w:p>
            <w:pPr>
              <w:spacing w:after="0"/>
              <w:rPr>
                <w:sz w:val="22"/>
                <w:szCs w:val="22"/>
                <w:color w:val="auto"/>
              </w:rPr>
            </w:pPr>
          </w:p>
        </w:tc>
        <w:tc>
          <w:tcPr>
            <w:tcW w:w="4160" w:type="dxa"/>
            <w:vAlign w:val="bottom"/>
            <w:gridSpan w:val="37"/>
          </w:tcPr>
          <w:p>
            <w:pPr>
              <w:spacing w:after="0"/>
              <w:rPr>
                <w:rFonts w:ascii="Arial" w:cs="Arial" w:eastAsia="Arial" w:hAnsi="Arial"/>
                <w:sz w:val="18"/>
                <w:szCs w:val="18"/>
                <w:color w:val="0000EE"/>
                <w:w w:val="95"/>
              </w:rPr>
            </w:pPr>
            <w:hyperlink r:id="rId150">
              <w:r>
                <w:rPr>
                  <w:rFonts w:ascii="Arial" w:cs="Arial" w:eastAsia="Arial" w:hAnsi="Arial"/>
                  <w:sz w:val="18"/>
                  <w:szCs w:val="18"/>
                  <w:color w:val="0000EE"/>
                  <w:w w:val="95"/>
                </w:rPr>
                <w:t>Employment Agreement, dated September 6, 2016, by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0" w:type="dxa"/>
            <w:vAlign w:val="bottom"/>
            <w:tcBorders>
              <w:top w:val="single" w:sz="8" w:color="0000EE"/>
              <w:bottom w:val="single" w:sz="8" w:color="0000EE"/>
            </w:tcBorders>
            <w:gridSpan w:val="16"/>
          </w:tcPr>
          <w:p>
            <w:pPr>
              <w:spacing w:after="0" w:line="156" w:lineRule="exact"/>
              <w:rPr>
                <w:rFonts w:ascii="Arial" w:cs="Arial" w:eastAsia="Arial" w:hAnsi="Arial"/>
                <w:sz w:val="18"/>
                <w:szCs w:val="18"/>
                <w:color w:val="0000EE"/>
                <w:w w:val="89"/>
              </w:rPr>
            </w:pPr>
            <w:hyperlink r:id="rId150">
              <w:r>
                <w:rPr>
                  <w:rFonts w:ascii="Arial" w:cs="Arial" w:eastAsia="Arial" w:hAnsi="Arial"/>
                  <w:sz w:val="18"/>
                  <w:szCs w:val="18"/>
                  <w:color w:val="0000EE"/>
                  <w:w w:val="89"/>
                </w:rPr>
                <w:t>and between the Registrant and Tracey L. McCain</w:t>
              </w:r>
            </w:hyperlink>
          </w:p>
        </w:tc>
        <w:tc>
          <w:tcPr>
            <w:tcW w:w="320" w:type="dxa"/>
            <w:vAlign w:val="bottom"/>
            <w:tcBorders>
              <w:top w:val="single" w:sz="8" w:color="0000EE"/>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10.11#</w:t>
            </w:r>
          </w:p>
        </w:tc>
        <w:tc>
          <w:tcPr>
            <w:tcW w:w="180" w:type="dxa"/>
            <w:vAlign w:val="bottom"/>
          </w:tcPr>
          <w:p>
            <w:pPr>
              <w:spacing w:after="0"/>
              <w:rPr>
                <w:sz w:val="22"/>
                <w:szCs w:val="22"/>
                <w:color w:val="auto"/>
              </w:rPr>
            </w:pPr>
          </w:p>
        </w:tc>
        <w:tc>
          <w:tcPr>
            <w:tcW w:w="4160" w:type="dxa"/>
            <w:vAlign w:val="bottom"/>
            <w:gridSpan w:val="37"/>
          </w:tcPr>
          <w:p>
            <w:pPr>
              <w:spacing w:after="0"/>
              <w:rPr>
                <w:rFonts w:ascii="Arial" w:cs="Arial" w:eastAsia="Arial" w:hAnsi="Arial"/>
                <w:sz w:val="18"/>
                <w:szCs w:val="18"/>
                <w:color w:val="0000EE"/>
                <w:w w:val="96"/>
              </w:rPr>
            </w:pPr>
            <w:hyperlink r:id="rId151">
              <w:r>
                <w:rPr>
                  <w:rFonts w:ascii="Arial" w:cs="Arial" w:eastAsia="Arial" w:hAnsi="Arial"/>
                  <w:sz w:val="18"/>
                  <w:szCs w:val="18"/>
                  <w:color w:val="0000EE"/>
                  <w:w w:val="96"/>
                </w:rPr>
                <w:t>Employment Agreement, dated November 9, 2016, by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380" w:type="dxa"/>
            <w:vAlign w:val="bottom"/>
            <w:tcBorders>
              <w:top w:val="single" w:sz="8" w:color="0000EE"/>
              <w:bottom w:val="single" w:sz="8" w:color="0000EE"/>
            </w:tcBorders>
            <w:gridSpan w:val="11"/>
          </w:tcPr>
          <w:p>
            <w:pPr>
              <w:spacing w:after="0" w:line="156" w:lineRule="exact"/>
              <w:rPr>
                <w:rFonts w:ascii="Arial" w:cs="Arial" w:eastAsia="Arial" w:hAnsi="Arial"/>
                <w:sz w:val="18"/>
                <w:szCs w:val="18"/>
                <w:color w:val="0000EE"/>
                <w:w w:val="89"/>
              </w:rPr>
            </w:pPr>
            <w:hyperlink r:id="rId151">
              <w:r>
                <w:rPr>
                  <w:rFonts w:ascii="Arial" w:cs="Arial" w:eastAsia="Arial" w:hAnsi="Arial"/>
                  <w:sz w:val="18"/>
                  <w:szCs w:val="18"/>
                  <w:color w:val="0000EE"/>
                  <w:w w:val="89"/>
                </w:rPr>
                <w:t>and between the Registrant and Marion Dorsch</w:t>
              </w:r>
            </w:hyperlink>
          </w:p>
        </w:tc>
        <w:tc>
          <w:tcPr>
            <w:tcW w:w="520" w:type="dxa"/>
            <w:vAlign w:val="bottom"/>
            <w:tcBorders>
              <w:top w:val="single" w:sz="8" w:color="0000EE"/>
            </w:tcBorders>
            <w:gridSpan w:val="1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10.12#</w:t>
            </w:r>
          </w:p>
        </w:tc>
        <w:tc>
          <w:tcPr>
            <w:tcW w:w="180" w:type="dxa"/>
            <w:vAlign w:val="bottom"/>
          </w:tcPr>
          <w:p>
            <w:pPr>
              <w:spacing w:after="0"/>
              <w:rPr>
                <w:sz w:val="22"/>
                <w:szCs w:val="22"/>
                <w:color w:val="auto"/>
              </w:rPr>
            </w:pPr>
          </w:p>
        </w:tc>
        <w:tc>
          <w:tcPr>
            <w:tcW w:w="4160" w:type="dxa"/>
            <w:vAlign w:val="bottom"/>
            <w:gridSpan w:val="37"/>
          </w:tcPr>
          <w:p>
            <w:pPr>
              <w:spacing w:after="0"/>
              <w:rPr>
                <w:rFonts w:ascii="Arial" w:cs="Arial" w:eastAsia="Arial" w:hAnsi="Arial"/>
                <w:sz w:val="18"/>
                <w:szCs w:val="18"/>
                <w:color w:val="0000EE"/>
                <w:w w:val="98"/>
              </w:rPr>
            </w:pPr>
            <w:hyperlink r:id="rId152">
              <w:r>
                <w:rPr>
                  <w:rFonts w:ascii="Arial" w:cs="Arial" w:eastAsia="Arial" w:hAnsi="Arial"/>
                  <w:sz w:val="18"/>
                  <w:szCs w:val="18"/>
                  <w:color w:val="0000EE"/>
                  <w:w w:val="98"/>
                </w:rPr>
                <w:t>Employment Agreement, dated October 10, 2017, by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720" w:type="dxa"/>
            <w:vAlign w:val="bottom"/>
            <w:tcBorders>
              <w:top w:val="single" w:sz="8" w:color="0000EE"/>
              <w:bottom w:val="single" w:sz="8" w:color="0000EE"/>
            </w:tcBorders>
            <w:gridSpan w:val="20"/>
          </w:tcPr>
          <w:p>
            <w:pPr>
              <w:spacing w:after="0" w:line="156" w:lineRule="exact"/>
              <w:rPr>
                <w:rFonts w:ascii="Arial" w:cs="Arial" w:eastAsia="Arial" w:hAnsi="Arial"/>
                <w:sz w:val="18"/>
                <w:szCs w:val="18"/>
                <w:color w:val="0000EE"/>
                <w:w w:val="89"/>
              </w:rPr>
            </w:pPr>
            <w:hyperlink r:id="rId152">
              <w:r>
                <w:rPr>
                  <w:rFonts w:ascii="Arial" w:cs="Arial" w:eastAsia="Arial" w:hAnsi="Arial"/>
                  <w:sz w:val="18"/>
                  <w:szCs w:val="18"/>
                  <w:color w:val="0000EE"/>
                  <w:w w:val="89"/>
                </w:rPr>
                <w:t>and between the Registrant and Christopher Murray</w:t>
              </w:r>
            </w:hyperlink>
          </w:p>
        </w:tc>
        <w:tc>
          <w:tcPr>
            <w:tcW w:w="80" w:type="dxa"/>
            <w:vAlign w:val="bottom"/>
            <w:tcBorders>
              <w:top w:val="single" w:sz="8" w:color="0000EE"/>
            </w:tcBorders>
            <w:gridSpan w:val="2"/>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10.13#</w:t>
            </w:r>
          </w:p>
        </w:tc>
        <w:tc>
          <w:tcPr>
            <w:tcW w:w="180" w:type="dxa"/>
            <w:vAlign w:val="bottom"/>
          </w:tcPr>
          <w:p>
            <w:pPr>
              <w:spacing w:after="0"/>
              <w:rPr>
                <w:sz w:val="22"/>
                <w:szCs w:val="22"/>
                <w:color w:val="auto"/>
              </w:rPr>
            </w:pPr>
          </w:p>
        </w:tc>
        <w:tc>
          <w:tcPr>
            <w:tcW w:w="4160" w:type="dxa"/>
            <w:vAlign w:val="bottom"/>
            <w:gridSpan w:val="37"/>
          </w:tcPr>
          <w:p>
            <w:pPr>
              <w:spacing w:after="0"/>
              <w:rPr>
                <w:rFonts w:ascii="Arial" w:cs="Arial" w:eastAsia="Arial" w:hAnsi="Arial"/>
                <w:sz w:val="18"/>
                <w:szCs w:val="18"/>
                <w:color w:val="0000EE"/>
                <w:w w:val="94"/>
              </w:rPr>
            </w:pPr>
            <w:hyperlink r:id="rId153">
              <w:r>
                <w:rPr>
                  <w:rFonts w:ascii="Arial" w:cs="Arial" w:eastAsia="Arial" w:hAnsi="Arial"/>
                  <w:sz w:val="18"/>
                  <w:szCs w:val="18"/>
                  <w:color w:val="0000EE"/>
                  <w:w w:val="94"/>
                </w:rPr>
                <w:t>Employment Agreement, dated November 22, 2017, by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40" w:type="dxa"/>
            <w:vAlign w:val="bottom"/>
            <w:tcBorders>
              <w:top w:val="single" w:sz="8" w:color="0000EE"/>
              <w:bottom w:val="single" w:sz="8" w:color="0000EE"/>
            </w:tcBorders>
            <w:gridSpan w:val="17"/>
          </w:tcPr>
          <w:p>
            <w:pPr>
              <w:spacing w:after="0" w:line="156" w:lineRule="exact"/>
              <w:rPr>
                <w:rFonts w:ascii="Arial" w:cs="Arial" w:eastAsia="Arial" w:hAnsi="Arial"/>
                <w:sz w:val="18"/>
                <w:szCs w:val="18"/>
                <w:color w:val="0000EE"/>
                <w:w w:val="89"/>
              </w:rPr>
            </w:pPr>
            <w:hyperlink r:id="rId153">
              <w:r>
                <w:rPr>
                  <w:rFonts w:ascii="Arial" w:cs="Arial" w:eastAsia="Arial" w:hAnsi="Arial"/>
                  <w:sz w:val="18"/>
                  <w:szCs w:val="18"/>
                  <w:color w:val="0000EE"/>
                  <w:w w:val="89"/>
                </w:rPr>
                <w:t>and between the Registrant and Michael Landsittel</w:t>
              </w:r>
            </w:hyperlink>
          </w:p>
        </w:tc>
        <w:tc>
          <w:tcPr>
            <w:tcW w:w="480" w:type="dxa"/>
            <w:vAlign w:val="bottom"/>
            <w:tcBorders>
              <w:top w:val="single" w:sz="8" w:color="0000EE"/>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10.14</w:t>
            </w:r>
          </w:p>
        </w:tc>
        <w:tc>
          <w:tcPr>
            <w:tcW w:w="180" w:type="dxa"/>
            <w:vAlign w:val="bottom"/>
          </w:tcPr>
          <w:p>
            <w:pPr>
              <w:spacing w:after="0"/>
              <w:rPr>
                <w:sz w:val="22"/>
                <w:szCs w:val="22"/>
                <w:color w:val="auto"/>
              </w:rPr>
            </w:pPr>
          </w:p>
        </w:tc>
        <w:tc>
          <w:tcPr>
            <w:tcW w:w="4160" w:type="dxa"/>
            <w:vAlign w:val="bottom"/>
            <w:gridSpan w:val="37"/>
          </w:tcPr>
          <w:p>
            <w:pPr>
              <w:spacing w:after="0"/>
              <w:rPr>
                <w:rFonts w:ascii="Arial" w:cs="Arial" w:eastAsia="Arial" w:hAnsi="Arial"/>
                <w:sz w:val="18"/>
                <w:szCs w:val="18"/>
                <w:color w:val="0000EE"/>
                <w:w w:val="94"/>
              </w:rPr>
            </w:pPr>
            <w:hyperlink r:id="rId154">
              <w:r>
                <w:rPr>
                  <w:rFonts w:ascii="Arial" w:cs="Arial" w:eastAsia="Arial" w:hAnsi="Arial"/>
                  <w:sz w:val="18"/>
                  <w:szCs w:val="18"/>
                  <w:color w:val="0000EE"/>
                  <w:w w:val="94"/>
                </w:rPr>
                <w:t>Loan and Security Agreement, dated May 24, 2013, by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980" w:type="dxa"/>
            <w:vAlign w:val="bottom"/>
            <w:tcBorders>
              <w:top w:val="single" w:sz="8" w:color="0000EE"/>
              <w:bottom w:val="single" w:sz="8" w:color="0000EE"/>
            </w:tcBorders>
            <w:gridSpan w:val="28"/>
          </w:tcPr>
          <w:p>
            <w:pPr>
              <w:spacing w:after="0" w:line="156" w:lineRule="exact"/>
              <w:rPr>
                <w:rFonts w:ascii="Arial" w:cs="Arial" w:eastAsia="Arial" w:hAnsi="Arial"/>
                <w:sz w:val="18"/>
                <w:szCs w:val="18"/>
                <w:color w:val="0000EE"/>
                <w:w w:val="89"/>
              </w:rPr>
            </w:pPr>
            <w:hyperlink r:id="rId154">
              <w:r>
                <w:rPr>
                  <w:rFonts w:ascii="Arial" w:cs="Arial" w:eastAsia="Arial" w:hAnsi="Arial"/>
                  <w:sz w:val="18"/>
                  <w:szCs w:val="18"/>
                  <w:color w:val="0000EE"/>
                  <w:w w:val="89"/>
                </w:rPr>
                <w:t>and between the Registrant and Silicon Valley Bank, as</w:t>
              </w:r>
            </w:hyperlink>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60" w:type="dxa"/>
            <w:vAlign w:val="bottom"/>
            <w:tcBorders>
              <w:bottom w:val="single" w:sz="8" w:color="0000EE"/>
            </w:tcBorders>
            <w:gridSpan w:val="32"/>
          </w:tcPr>
          <w:p>
            <w:pPr>
              <w:spacing w:after="0" w:line="156" w:lineRule="exact"/>
              <w:rPr>
                <w:rFonts w:ascii="Arial" w:cs="Arial" w:eastAsia="Arial" w:hAnsi="Arial"/>
                <w:sz w:val="18"/>
                <w:szCs w:val="18"/>
                <w:color w:val="0000EE"/>
                <w:w w:val="90"/>
              </w:rPr>
            </w:pPr>
            <w:hyperlink r:id="rId154">
              <w:r>
                <w:rPr>
                  <w:rFonts w:ascii="Arial" w:cs="Arial" w:eastAsia="Arial" w:hAnsi="Arial"/>
                  <w:sz w:val="18"/>
                  <w:szCs w:val="18"/>
                  <w:color w:val="0000EE"/>
                  <w:w w:val="90"/>
                </w:rPr>
                <w:t>amended by First Amendment, dated January 21, 2014,</w:t>
              </w:r>
            </w:hyperlink>
          </w:p>
        </w:tc>
        <w:tc>
          <w:tcPr>
            <w:tcW w:w="2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60" w:type="dxa"/>
            <w:vAlign w:val="bottom"/>
            <w:tcBorders>
              <w:bottom w:val="single" w:sz="8" w:color="0000EE"/>
            </w:tcBorders>
            <w:gridSpan w:val="13"/>
          </w:tcPr>
          <w:p>
            <w:pPr>
              <w:spacing w:after="0" w:line="156" w:lineRule="exact"/>
              <w:rPr>
                <w:rFonts w:ascii="Arial" w:cs="Arial" w:eastAsia="Arial" w:hAnsi="Arial"/>
                <w:sz w:val="18"/>
                <w:szCs w:val="18"/>
                <w:color w:val="0000EE"/>
                <w:w w:val="88"/>
              </w:rPr>
            </w:pPr>
            <w:hyperlink r:id="rId154">
              <w:r>
                <w:rPr>
                  <w:rFonts w:ascii="Arial" w:cs="Arial" w:eastAsia="Arial" w:hAnsi="Arial"/>
                  <w:sz w:val="18"/>
                  <w:szCs w:val="18"/>
                  <w:color w:val="0000EE"/>
                  <w:w w:val="88"/>
                </w:rPr>
                <w:t>Second Amendment, dated June 27, 2014, Third</w:t>
              </w:r>
            </w:hyperlink>
          </w:p>
        </w:tc>
        <w:tc>
          <w:tcPr>
            <w:tcW w:w="620" w:type="dxa"/>
            <w:vAlign w:val="bottom"/>
            <w:gridSpan w:val="20"/>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160" w:type="dxa"/>
            <w:vAlign w:val="bottom"/>
            <w:gridSpan w:val="37"/>
          </w:tcPr>
          <w:p>
            <w:pPr>
              <w:spacing w:after="0" w:line="156" w:lineRule="exact"/>
              <w:rPr>
                <w:rFonts w:ascii="Arial" w:cs="Arial" w:eastAsia="Arial" w:hAnsi="Arial"/>
                <w:sz w:val="18"/>
                <w:szCs w:val="18"/>
                <w:color w:val="0000EE"/>
                <w:w w:val="92"/>
              </w:rPr>
            </w:pPr>
            <w:hyperlink r:id="rId154">
              <w:r>
                <w:rPr>
                  <w:rFonts w:ascii="Arial" w:cs="Arial" w:eastAsia="Arial" w:hAnsi="Arial"/>
                  <w:sz w:val="18"/>
                  <w:szCs w:val="18"/>
                  <w:color w:val="0000EE"/>
                  <w:w w:val="92"/>
                </w:rPr>
                <w:t>Amendment, dated November 4, 2014 and Consent and</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140" w:type="dxa"/>
            <w:vAlign w:val="bottom"/>
            <w:tcBorders>
              <w:top w:val="single" w:sz="8" w:color="0000EE"/>
            </w:tcBorders>
            <w:gridSpan w:val="36"/>
          </w:tcPr>
          <w:p>
            <w:pPr>
              <w:spacing w:after="0" w:line="156" w:lineRule="exact"/>
              <w:rPr>
                <w:rFonts w:ascii="Arial" w:cs="Arial" w:eastAsia="Arial" w:hAnsi="Arial"/>
                <w:sz w:val="18"/>
                <w:szCs w:val="18"/>
                <w:color w:val="0000EE"/>
              </w:rPr>
            </w:pPr>
            <w:hyperlink r:id="rId154">
              <w:r>
                <w:rPr>
                  <w:rFonts w:ascii="Arial" w:cs="Arial" w:eastAsia="Arial" w:hAnsi="Arial"/>
                  <w:sz w:val="18"/>
                  <w:szCs w:val="18"/>
                  <w:color w:val="0000EE"/>
                </w:rPr>
                <w:t>Fourth Amendment, dated December 22, 2015</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10.15†</w:t>
            </w:r>
          </w:p>
        </w:tc>
        <w:tc>
          <w:tcPr>
            <w:tcW w:w="180" w:type="dxa"/>
            <w:vAlign w:val="bottom"/>
          </w:tcPr>
          <w:p>
            <w:pPr>
              <w:spacing w:after="0"/>
              <w:rPr>
                <w:sz w:val="22"/>
                <w:szCs w:val="22"/>
                <w:color w:val="auto"/>
              </w:rPr>
            </w:pPr>
          </w:p>
        </w:tc>
        <w:tc>
          <w:tcPr>
            <w:tcW w:w="4160" w:type="dxa"/>
            <w:vAlign w:val="bottom"/>
            <w:gridSpan w:val="37"/>
          </w:tcPr>
          <w:p>
            <w:pPr>
              <w:spacing w:after="0"/>
              <w:rPr>
                <w:rFonts w:ascii="Arial" w:cs="Arial" w:eastAsia="Arial" w:hAnsi="Arial"/>
                <w:sz w:val="18"/>
                <w:szCs w:val="18"/>
                <w:color w:val="0000EE"/>
                <w:w w:val="95"/>
              </w:rPr>
            </w:pPr>
            <w:hyperlink r:id="rId155">
              <w:r>
                <w:rPr>
                  <w:rFonts w:ascii="Arial" w:cs="Arial" w:eastAsia="Arial" w:hAnsi="Arial"/>
                  <w:sz w:val="18"/>
                  <w:szCs w:val="18"/>
                  <w:color w:val="0000EE"/>
                  <w:w w:val="95"/>
                </w:rPr>
                <w:t>Collaboration and License Agreement, effective March</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0" w:type="dxa"/>
            <w:vAlign w:val="bottom"/>
            <w:tcBorders>
              <w:top w:val="single" w:sz="8" w:color="0000EE"/>
            </w:tcBorders>
            <w:gridSpan w:val="29"/>
          </w:tcPr>
          <w:p>
            <w:pPr>
              <w:spacing w:after="0" w:line="156" w:lineRule="exact"/>
              <w:rPr>
                <w:rFonts w:ascii="Arial" w:cs="Arial" w:eastAsia="Arial" w:hAnsi="Arial"/>
                <w:sz w:val="18"/>
                <w:szCs w:val="18"/>
                <w:color w:val="0000EE"/>
                <w:w w:val="95"/>
              </w:rPr>
            </w:pPr>
            <w:hyperlink r:id="rId155">
              <w:r>
                <w:rPr>
                  <w:rFonts w:ascii="Arial" w:cs="Arial" w:eastAsia="Arial" w:hAnsi="Arial"/>
                  <w:sz w:val="18"/>
                  <w:szCs w:val="18"/>
                  <w:color w:val="0000EE"/>
                  <w:w w:val="95"/>
                </w:rPr>
                <w:t>14, 2016, by and among F. Hoffmann-La Roche Ltd,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760" w:type="dxa"/>
            <w:vAlign w:val="bottom"/>
            <w:tcBorders>
              <w:top w:val="single" w:sz="8" w:color="0000EE"/>
            </w:tcBorders>
            <w:gridSpan w:val="21"/>
          </w:tcPr>
          <w:p>
            <w:pPr>
              <w:spacing w:after="0" w:line="156" w:lineRule="exact"/>
              <w:rPr>
                <w:rFonts w:ascii="Arial" w:cs="Arial" w:eastAsia="Arial" w:hAnsi="Arial"/>
                <w:sz w:val="18"/>
                <w:szCs w:val="18"/>
                <w:color w:val="0000EE"/>
                <w:w w:val="99"/>
              </w:rPr>
            </w:pPr>
            <w:hyperlink r:id="rId155">
              <w:r>
                <w:rPr>
                  <w:rFonts w:ascii="Arial" w:cs="Arial" w:eastAsia="Arial" w:hAnsi="Arial"/>
                  <w:sz w:val="18"/>
                  <w:szCs w:val="18"/>
                  <w:color w:val="0000EE"/>
                  <w:w w:val="99"/>
                </w:rPr>
                <w:t>Hoffmann-La Roche Inc. and the Registrant, as</w:t>
              </w:r>
            </w:hyperlink>
          </w:p>
        </w:tc>
        <w:tc>
          <w:tcPr>
            <w:tcW w:w="12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380" w:type="dxa"/>
            <w:vAlign w:val="bottom"/>
            <w:tcBorders>
              <w:top w:val="single" w:sz="8" w:color="0000EE"/>
            </w:tcBorders>
            <w:gridSpan w:val="11"/>
          </w:tcPr>
          <w:p>
            <w:pPr>
              <w:spacing w:after="0" w:line="156" w:lineRule="exact"/>
              <w:rPr>
                <w:rFonts w:ascii="Arial" w:cs="Arial" w:eastAsia="Arial" w:hAnsi="Arial"/>
                <w:sz w:val="18"/>
                <w:szCs w:val="18"/>
                <w:color w:val="0000EE"/>
                <w:w w:val="91"/>
              </w:rPr>
            </w:pPr>
            <w:hyperlink r:id="rId155">
              <w:r>
                <w:rPr>
                  <w:rFonts w:ascii="Arial" w:cs="Arial" w:eastAsia="Arial" w:hAnsi="Arial"/>
                  <w:sz w:val="18"/>
                  <w:szCs w:val="18"/>
                  <w:color w:val="0000EE"/>
                  <w:w w:val="91"/>
                </w:rPr>
                <w:t>amended by Amendment to Collaboration and</w:t>
              </w:r>
            </w:hyperlink>
          </w:p>
        </w:tc>
        <w:tc>
          <w:tcPr>
            <w:tcW w:w="780" w:type="dxa"/>
            <w:vAlign w:val="bottom"/>
            <w:gridSpan w:val="26"/>
          </w:tcPr>
          <w:p>
            <w:pPr>
              <w:jc w:val="center"/>
              <w:ind w:right="240"/>
              <w:spacing w:after="0" w:line="156" w:lineRule="exact"/>
              <w:rPr>
                <w:rFonts w:ascii="Arial" w:cs="Arial" w:eastAsia="Arial" w:hAnsi="Arial"/>
                <w:sz w:val="18"/>
                <w:szCs w:val="18"/>
                <w:color w:val="0000EE"/>
                <w:w w:val="86"/>
              </w:rPr>
            </w:pPr>
            <w:hyperlink r:id="rId155">
              <w:r>
                <w:rPr>
                  <w:rFonts w:ascii="Arial" w:cs="Arial" w:eastAsia="Arial" w:hAnsi="Arial"/>
                  <w:sz w:val="18"/>
                  <w:szCs w:val="18"/>
                  <w:color w:val="0000EE"/>
                  <w:w w:val="86"/>
                </w:rPr>
                <w:t>License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940" w:type="dxa"/>
            <w:vAlign w:val="bottom"/>
            <w:tcBorders>
              <w:top w:val="single" w:sz="8" w:color="0000EE"/>
            </w:tcBorders>
            <w:gridSpan w:val="26"/>
          </w:tcPr>
          <w:p>
            <w:pPr>
              <w:spacing w:after="0" w:line="156" w:lineRule="exact"/>
              <w:rPr>
                <w:rFonts w:ascii="Arial" w:cs="Arial" w:eastAsia="Arial" w:hAnsi="Arial"/>
                <w:sz w:val="18"/>
                <w:szCs w:val="18"/>
                <w:color w:val="0000EE"/>
              </w:rPr>
            </w:pPr>
            <w:hyperlink r:id="rId155">
              <w:r>
                <w:rPr>
                  <w:rFonts w:ascii="Arial" w:cs="Arial" w:eastAsia="Arial" w:hAnsi="Arial"/>
                  <w:sz w:val="18"/>
                  <w:szCs w:val="18"/>
                  <w:color w:val="0000EE"/>
                </w:rPr>
                <w:t>Agreement, effective April 15, 2016</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10.16†</w:t>
            </w:r>
          </w:p>
        </w:tc>
        <w:tc>
          <w:tcPr>
            <w:tcW w:w="180" w:type="dxa"/>
            <w:vAlign w:val="bottom"/>
          </w:tcPr>
          <w:p>
            <w:pPr>
              <w:spacing w:after="0"/>
              <w:rPr>
                <w:sz w:val="22"/>
                <w:szCs w:val="22"/>
                <w:color w:val="auto"/>
              </w:rPr>
            </w:pPr>
          </w:p>
        </w:tc>
        <w:tc>
          <w:tcPr>
            <w:tcW w:w="4160" w:type="dxa"/>
            <w:vAlign w:val="bottom"/>
            <w:gridSpan w:val="37"/>
          </w:tcPr>
          <w:p>
            <w:pPr>
              <w:spacing w:after="0"/>
              <w:rPr>
                <w:rFonts w:ascii="Arial" w:cs="Arial" w:eastAsia="Arial" w:hAnsi="Arial"/>
                <w:sz w:val="18"/>
                <w:szCs w:val="18"/>
                <w:color w:val="0000EE"/>
              </w:rPr>
            </w:pPr>
            <w:hyperlink r:id="rId156">
              <w:r>
                <w:rPr>
                  <w:rFonts w:ascii="Arial" w:cs="Arial" w:eastAsia="Arial" w:hAnsi="Arial"/>
                  <w:sz w:val="18"/>
                  <w:szCs w:val="18"/>
                  <w:color w:val="0000EE"/>
                </w:rPr>
                <w:t>Second Amendment to Collaboration and License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80" w:type="dxa"/>
            <w:vAlign w:val="bottom"/>
            <w:tcBorders>
              <w:bottom w:val="single" w:sz="8" w:color="0000EE"/>
            </w:tcBorders>
            <w:gridSpan w:val="23"/>
          </w:tcPr>
          <w:p>
            <w:pPr>
              <w:spacing w:after="0" w:line="156" w:lineRule="exact"/>
              <w:rPr>
                <w:rFonts w:ascii="Arial" w:cs="Arial" w:eastAsia="Arial" w:hAnsi="Arial"/>
                <w:sz w:val="18"/>
                <w:szCs w:val="18"/>
                <w:color w:val="0000EE"/>
                <w:w w:val="90"/>
              </w:rPr>
            </w:pPr>
            <w:hyperlink r:id="rId156">
              <w:r>
                <w:rPr>
                  <w:rFonts w:ascii="Arial" w:cs="Arial" w:eastAsia="Arial" w:hAnsi="Arial"/>
                  <w:sz w:val="18"/>
                  <w:szCs w:val="18"/>
                  <w:color w:val="0000EE"/>
                  <w:w w:val="90"/>
                </w:rPr>
                <w:t>Agreement, effective April 27, 2016, by and among F.</w:t>
              </w:r>
            </w:hyperlink>
          </w:p>
        </w:tc>
        <w:tc>
          <w:tcPr>
            <w:tcW w:w="28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160" w:type="dxa"/>
            <w:vAlign w:val="bottom"/>
            <w:gridSpan w:val="37"/>
          </w:tcPr>
          <w:p>
            <w:pPr>
              <w:spacing w:after="0" w:line="156" w:lineRule="exact"/>
              <w:rPr>
                <w:rFonts w:ascii="Arial" w:cs="Arial" w:eastAsia="Arial" w:hAnsi="Arial"/>
                <w:sz w:val="18"/>
                <w:szCs w:val="18"/>
                <w:color w:val="0000EE"/>
                <w:w w:val="95"/>
              </w:rPr>
            </w:pPr>
            <w:hyperlink r:id="rId156">
              <w:r>
                <w:rPr>
                  <w:rFonts w:ascii="Arial" w:cs="Arial" w:eastAsia="Arial" w:hAnsi="Arial"/>
                  <w:sz w:val="18"/>
                  <w:szCs w:val="18"/>
                  <w:color w:val="0000EE"/>
                  <w:w w:val="95"/>
                </w:rPr>
                <w:t>Hoffmann-La Roche Ltd, Hoffmann-La Roche Inc. and</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Borders>
              <w:top w:val="single" w:sz="8" w:color="0000EE"/>
              <w:bottom w:val="single" w:sz="8" w:color="0000EE"/>
            </w:tcBorders>
            <w:gridSpan w:val="2"/>
          </w:tcPr>
          <w:p>
            <w:pPr>
              <w:spacing w:after="0" w:line="156" w:lineRule="exact"/>
              <w:rPr>
                <w:rFonts w:ascii="Arial" w:cs="Arial" w:eastAsia="Arial" w:hAnsi="Arial"/>
                <w:sz w:val="18"/>
                <w:szCs w:val="18"/>
                <w:color w:val="0000EE"/>
                <w:w w:val="85"/>
              </w:rPr>
            </w:pPr>
            <w:hyperlink r:id="rId156">
              <w:r>
                <w:rPr>
                  <w:rFonts w:ascii="Arial" w:cs="Arial" w:eastAsia="Arial" w:hAnsi="Arial"/>
                  <w:sz w:val="18"/>
                  <w:szCs w:val="18"/>
                  <w:color w:val="0000EE"/>
                  <w:w w:val="85"/>
                </w:rPr>
                <w:t>the Registrant</w:t>
              </w:r>
            </w:hyperlink>
          </w:p>
        </w:tc>
        <w:tc>
          <w:tcPr>
            <w:tcW w:w="3120" w:type="dxa"/>
            <w:vAlign w:val="bottom"/>
            <w:tcBorders>
              <w:top w:val="single" w:sz="8" w:color="0000EE"/>
            </w:tcBorders>
            <w:gridSpan w:val="3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10.17</w:t>
            </w:r>
          </w:p>
        </w:tc>
        <w:tc>
          <w:tcPr>
            <w:tcW w:w="180" w:type="dxa"/>
            <w:vAlign w:val="bottom"/>
          </w:tcPr>
          <w:p>
            <w:pPr>
              <w:spacing w:after="0"/>
              <w:rPr>
                <w:sz w:val="22"/>
                <w:szCs w:val="22"/>
                <w:color w:val="auto"/>
              </w:rPr>
            </w:pPr>
          </w:p>
        </w:tc>
        <w:tc>
          <w:tcPr>
            <w:tcW w:w="3440" w:type="dxa"/>
            <w:vAlign w:val="bottom"/>
            <w:tcBorders>
              <w:bottom w:val="single" w:sz="8" w:color="0000EE"/>
            </w:tcBorders>
            <w:gridSpan w:val="12"/>
          </w:tcPr>
          <w:p>
            <w:pPr>
              <w:spacing w:after="0"/>
              <w:rPr>
                <w:rFonts w:ascii="Arial" w:cs="Arial" w:eastAsia="Arial" w:hAnsi="Arial"/>
                <w:sz w:val="18"/>
                <w:szCs w:val="18"/>
                <w:color w:val="0000EE"/>
                <w:w w:val="90"/>
              </w:rPr>
            </w:pPr>
            <w:hyperlink r:id="rId157">
              <w:r>
                <w:rPr>
                  <w:rFonts w:ascii="Arial" w:cs="Arial" w:eastAsia="Arial" w:hAnsi="Arial"/>
                  <w:sz w:val="18"/>
                  <w:szCs w:val="18"/>
                  <w:color w:val="0000EE"/>
                  <w:w w:val="90"/>
                </w:rPr>
                <w:t>Third Amendment to Collaboration and License</w:t>
              </w:r>
            </w:hyperlink>
          </w:p>
        </w:tc>
        <w:tc>
          <w:tcPr>
            <w:tcW w:w="720" w:type="dxa"/>
            <w:vAlign w:val="bottom"/>
            <w:gridSpan w:val="25"/>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160" w:type="dxa"/>
            <w:vAlign w:val="bottom"/>
            <w:gridSpan w:val="37"/>
          </w:tcPr>
          <w:p>
            <w:pPr>
              <w:spacing w:after="0" w:line="156" w:lineRule="exact"/>
              <w:rPr>
                <w:rFonts w:ascii="Arial" w:cs="Arial" w:eastAsia="Arial" w:hAnsi="Arial"/>
                <w:sz w:val="18"/>
                <w:szCs w:val="18"/>
                <w:color w:val="0000EE"/>
                <w:w w:val="94"/>
              </w:rPr>
            </w:pPr>
            <w:hyperlink r:id="rId157">
              <w:r>
                <w:rPr>
                  <w:rFonts w:ascii="Arial" w:cs="Arial" w:eastAsia="Arial" w:hAnsi="Arial"/>
                  <w:sz w:val="18"/>
                  <w:szCs w:val="18"/>
                  <w:color w:val="0000EE"/>
                  <w:w w:val="94"/>
                </w:rPr>
                <w:t>Agreement, effective August 4, 2016, by and among F.</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960" w:type="dxa"/>
            <w:vAlign w:val="bottom"/>
            <w:tcBorders>
              <w:top w:val="single" w:sz="8" w:color="0000EE"/>
            </w:tcBorders>
            <w:gridSpan w:val="27"/>
          </w:tcPr>
          <w:p>
            <w:pPr>
              <w:spacing w:after="0" w:line="156" w:lineRule="exact"/>
              <w:rPr>
                <w:rFonts w:ascii="Arial" w:cs="Arial" w:eastAsia="Arial" w:hAnsi="Arial"/>
                <w:sz w:val="18"/>
                <w:szCs w:val="18"/>
                <w:color w:val="0000EE"/>
                <w:w w:val="91"/>
              </w:rPr>
            </w:pPr>
            <w:hyperlink r:id="rId157">
              <w:r>
                <w:rPr>
                  <w:rFonts w:ascii="Arial" w:cs="Arial" w:eastAsia="Arial" w:hAnsi="Arial"/>
                  <w:sz w:val="18"/>
                  <w:szCs w:val="18"/>
                  <w:color w:val="0000EE"/>
                  <w:w w:val="91"/>
                </w:rPr>
                <w:t>Hoffmann-La Roche Ltd, Hoffmann-La Roche Inc. and</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Borders>
              <w:top w:val="single" w:sz="8" w:color="0000EE"/>
              <w:bottom w:val="single" w:sz="8" w:color="0000EE"/>
            </w:tcBorders>
            <w:gridSpan w:val="2"/>
          </w:tcPr>
          <w:p>
            <w:pPr>
              <w:spacing w:after="0" w:line="156" w:lineRule="exact"/>
              <w:rPr>
                <w:rFonts w:ascii="Arial" w:cs="Arial" w:eastAsia="Arial" w:hAnsi="Arial"/>
                <w:sz w:val="18"/>
                <w:szCs w:val="18"/>
                <w:color w:val="0000EE"/>
                <w:w w:val="85"/>
              </w:rPr>
            </w:pPr>
            <w:hyperlink r:id="rId157">
              <w:r>
                <w:rPr>
                  <w:rFonts w:ascii="Arial" w:cs="Arial" w:eastAsia="Arial" w:hAnsi="Arial"/>
                  <w:sz w:val="18"/>
                  <w:szCs w:val="18"/>
                  <w:color w:val="0000EE"/>
                  <w:w w:val="85"/>
                </w:rPr>
                <w:t>the Registrant</w:t>
              </w:r>
            </w:hyperlink>
          </w:p>
        </w:tc>
        <w:tc>
          <w:tcPr>
            <w:tcW w:w="3120" w:type="dxa"/>
            <w:vAlign w:val="bottom"/>
            <w:tcBorders>
              <w:top w:val="single" w:sz="8" w:color="0000EE"/>
            </w:tcBorders>
            <w:gridSpan w:val="3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10.18</w:t>
            </w:r>
          </w:p>
        </w:tc>
        <w:tc>
          <w:tcPr>
            <w:tcW w:w="180" w:type="dxa"/>
            <w:vAlign w:val="bottom"/>
          </w:tcPr>
          <w:p>
            <w:pPr>
              <w:spacing w:after="0"/>
              <w:rPr>
                <w:sz w:val="22"/>
                <w:szCs w:val="22"/>
                <w:color w:val="auto"/>
              </w:rPr>
            </w:pPr>
          </w:p>
        </w:tc>
        <w:tc>
          <w:tcPr>
            <w:tcW w:w="4160" w:type="dxa"/>
            <w:vAlign w:val="bottom"/>
            <w:gridSpan w:val="37"/>
          </w:tcPr>
          <w:p>
            <w:pPr>
              <w:spacing w:after="0"/>
              <w:rPr>
                <w:rFonts w:ascii="Arial" w:cs="Arial" w:eastAsia="Arial" w:hAnsi="Arial"/>
                <w:sz w:val="18"/>
                <w:szCs w:val="18"/>
                <w:color w:val="0000EE"/>
              </w:rPr>
            </w:pPr>
            <w:hyperlink r:id="rId158">
              <w:r>
                <w:rPr>
                  <w:rFonts w:ascii="Arial" w:cs="Arial" w:eastAsia="Arial" w:hAnsi="Arial"/>
                  <w:sz w:val="18"/>
                  <w:szCs w:val="18"/>
                  <w:color w:val="0000EE"/>
                </w:rPr>
                <w:t>Form of Indemnification Agreement entered into</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20" w:type="dxa"/>
            <w:vAlign w:val="bottom"/>
            <w:tcBorders>
              <w:top w:val="single" w:sz="8" w:color="0000EE"/>
              <w:bottom w:val="single" w:sz="8" w:color="0000EE"/>
            </w:tcBorders>
            <w:gridSpan w:val="8"/>
          </w:tcPr>
          <w:p>
            <w:pPr>
              <w:spacing w:after="0" w:line="156" w:lineRule="exact"/>
              <w:rPr>
                <w:rFonts w:ascii="Arial" w:cs="Arial" w:eastAsia="Arial" w:hAnsi="Arial"/>
                <w:sz w:val="18"/>
                <w:szCs w:val="18"/>
                <w:color w:val="0000EE"/>
                <w:w w:val="88"/>
              </w:rPr>
            </w:pPr>
            <w:hyperlink r:id="rId158">
              <w:r>
                <w:rPr>
                  <w:rFonts w:ascii="Arial" w:cs="Arial" w:eastAsia="Arial" w:hAnsi="Arial"/>
                  <w:sz w:val="18"/>
                  <w:szCs w:val="18"/>
                  <w:color w:val="0000EE"/>
                  <w:w w:val="88"/>
                </w:rPr>
                <w:t>between the Registrant and its directors</w:t>
              </w:r>
            </w:hyperlink>
          </w:p>
        </w:tc>
        <w:tc>
          <w:tcPr>
            <w:tcW w:w="740" w:type="dxa"/>
            <w:vAlign w:val="bottom"/>
            <w:tcBorders>
              <w:top w:val="single" w:sz="8" w:color="0000EE"/>
            </w:tcBorders>
            <w:gridSpan w:val="6"/>
          </w:tcPr>
          <w:p>
            <w:pPr>
              <w:spacing w:after="0"/>
              <w:rPr>
                <w:sz w:val="13"/>
                <w:szCs w:val="13"/>
                <w:color w:val="auto"/>
              </w:rPr>
            </w:pPr>
          </w:p>
        </w:tc>
        <w:tc>
          <w:tcPr>
            <w:tcW w:w="140" w:type="dxa"/>
            <w:vAlign w:val="bottom"/>
            <w:gridSpan w:val="5"/>
          </w:tcPr>
          <w:p>
            <w:pPr>
              <w:spacing w:after="0"/>
              <w:rPr>
                <w:sz w:val="13"/>
                <w:szCs w:val="13"/>
                <w:color w:val="auto"/>
              </w:rPr>
            </w:pPr>
          </w:p>
        </w:tc>
        <w:tc>
          <w:tcPr>
            <w:tcW w:w="32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10.19</w:t>
            </w:r>
          </w:p>
        </w:tc>
        <w:tc>
          <w:tcPr>
            <w:tcW w:w="180" w:type="dxa"/>
            <w:vAlign w:val="bottom"/>
          </w:tcPr>
          <w:p>
            <w:pPr>
              <w:spacing w:after="0"/>
              <w:rPr>
                <w:sz w:val="22"/>
                <w:szCs w:val="22"/>
                <w:color w:val="auto"/>
              </w:rPr>
            </w:pPr>
          </w:p>
        </w:tc>
        <w:tc>
          <w:tcPr>
            <w:tcW w:w="4160" w:type="dxa"/>
            <w:vAlign w:val="bottom"/>
            <w:gridSpan w:val="37"/>
          </w:tcPr>
          <w:p>
            <w:pPr>
              <w:spacing w:after="0"/>
              <w:rPr>
                <w:rFonts w:ascii="Arial" w:cs="Arial" w:eastAsia="Arial" w:hAnsi="Arial"/>
                <w:sz w:val="18"/>
                <w:szCs w:val="18"/>
                <w:color w:val="0000EE"/>
              </w:rPr>
            </w:pPr>
            <w:hyperlink r:id="rId159">
              <w:r>
                <w:rPr>
                  <w:rFonts w:ascii="Arial" w:cs="Arial" w:eastAsia="Arial" w:hAnsi="Arial"/>
                  <w:sz w:val="18"/>
                  <w:szCs w:val="18"/>
                  <w:color w:val="0000EE"/>
                </w:rPr>
                <w:t>Form of Indemnification Agreement entered into</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40" w:type="dxa"/>
            <w:vAlign w:val="bottom"/>
            <w:tcBorders>
              <w:top w:val="single" w:sz="8" w:color="0000EE"/>
              <w:bottom w:val="single" w:sz="8" w:color="0000EE"/>
            </w:tcBorders>
            <w:gridSpan w:val="7"/>
          </w:tcPr>
          <w:p>
            <w:pPr>
              <w:spacing w:after="0" w:line="156" w:lineRule="exact"/>
              <w:rPr>
                <w:rFonts w:ascii="Arial" w:cs="Arial" w:eastAsia="Arial" w:hAnsi="Arial"/>
                <w:sz w:val="18"/>
                <w:szCs w:val="18"/>
                <w:color w:val="0000EE"/>
                <w:w w:val="88"/>
              </w:rPr>
            </w:pPr>
            <w:hyperlink r:id="rId159">
              <w:r>
                <w:rPr>
                  <w:rFonts w:ascii="Arial" w:cs="Arial" w:eastAsia="Arial" w:hAnsi="Arial"/>
                  <w:sz w:val="18"/>
                  <w:szCs w:val="18"/>
                  <w:color w:val="0000EE"/>
                  <w:w w:val="88"/>
                </w:rPr>
                <w:t>between the Registrant and its officers</w:t>
              </w:r>
            </w:hyperlink>
          </w:p>
        </w:tc>
        <w:tc>
          <w:tcPr>
            <w:tcW w:w="820" w:type="dxa"/>
            <w:vAlign w:val="bottom"/>
            <w:tcBorders>
              <w:top w:val="single" w:sz="8" w:color="0000EE"/>
            </w:tcBorders>
            <w:gridSpan w:val="7"/>
          </w:tcPr>
          <w:p>
            <w:pPr>
              <w:spacing w:after="0"/>
              <w:rPr>
                <w:sz w:val="13"/>
                <w:szCs w:val="13"/>
                <w:color w:val="auto"/>
              </w:rPr>
            </w:pPr>
          </w:p>
        </w:tc>
        <w:tc>
          <w:tcPr>
            <w:tcW w:w="140" w:type="dxa"/>
            <w:vAlign w:val="bottom"/>
            <w:gridSpan w:val="5"/>
          </w:tcPr>
          <w:p>
            <w:pPr>
              <w:spacing w:after="0"/>
              <w:rPr>
                <w:sz w:val="13"/>
                <w:szCs w:val="13"/>
                <w:color w:val="auto"/>
              </w:rPr>
            </w:pPr>
          </w:p>
        </w:tc>
        <w:tc>
          <w:tcPr>
            <w:tcW w:w="32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10.20</w:t>
            </w:r>
          </w:p>
        </w:tc>
        <w:tc>
          <w:tcPr>
            <w:tcW w:w="180" w:type="dxa"/>
            <w:vAlign w:val="bottom"/>
          </w:tcPr>
          <w:p>
            <w:pPr>
              <w:spacing w:after="0"/>
              <w:rPr>
                <w:sz w:val="22"/>
                <w:szCs w:val="22"/>
                <w:color w:val="auto"/>
              </w:rPr>
            </w:pPr>
          </w:p>
        </w:tc>
        <w:tc>
          <w:tcPr>
            <w:tcW w:w="3200" w:type="dxa"/>
            <w:vAlign w:val="bottom"/>
            <w:tcBorders>
              <w:bottom w:val="single" w:sz="8" w:color="0000EE"/>
            </w:tcBorders>
            <w:gridSpan w:val="9"/>
          </w:tcPr>
          <w:p>
            <w:pPr>
              <w:spacing w:after="0"/>
              <w:rPr>
                <w:rFonts w:ascii="Arial" w:cs="Arial" w:eastAsia="Arial" w:hAnsi="Arial"/>
                <w:sz w:val="18"/>
                <w:szCs w:val="18"/>
                <w:color w:val="0000EE"/>
                <w:w w:val="89"/>
              </w:rPr>
            </w:pPr>
            <w:hyperlink r:id="rId160">
              <w:r>
                <w:rPr>
                  <w:rFonts w:ascii="Arial" w:cs="Arial" w:eastAsia="Arial" w:hAnsi="Arial"/>
                  <w:sz w:val="18"/>
                  <w:szCs w:val="18"/>
                  <w:color w:val="0000EE"/>
                  <w:w w:val="89"/>
                </w:rPr>
                <w:t>Senior Executive Cash Incentive Bonus Plan</w:t>
              </w:r>
            </w:hyperlink>
          </w:p>
        </w:tc>
        <w:tc>
          <w:tcPr>
            <w:tcW w:w="960" w:type="dxa"/>
            <w:vAlign w:val="bottom"/>
            <w:gridSpan w:val="28"/>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22"/>
                <w:szCs w:val="22"/>
                <w:color w:val="auto"/>
              </w:rPr>
            </w:pPr>
          </w:p>
        </w:tc>
        <w:tc>
          <w:tcPr>
            <w:tcW w:w="210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145">
              <w:r>
                <w:rPr>
                  <w:rFonts w:ascii="Arial" w:cs="Arial" w:eastAsia="Arial" w:hAnsi="Arial"/>
                  <w:sz w:val="18"/>
                  <w:szCs w:val="18"/>
                  <w:color w:val="0000EE"/>
                  <w:w w:val="88"/>
                </w:rPr>
                <w:t>Subsidiaries of the Registrant</w:t>
              </w:r>
            </w:hyperlink>
          </w:p>
        </w:tc>
        <w:tc>
          <w:tcPr>
            <w:tcW w:w="2060" w:type="dxa"/>
            <w:vAlign w:val="bottom"/>
            <w:gridSpan w:val="33"/>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22"/>
                <w:szCs w:val="22"/>
                <w:color w:val="auto"/>
              </w:rPr>
            </w:pPr>
          </w:p>
        </w:tc>
        <w:tc>
          <w:tcPr>
            <w:tcW w:w="226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146">
              <w:r>
                <w:rPr>
                  <w:rFonts w:ascii="Arial" w:cs="Arial" w:eastAsia="Arial" w:hAnsi="Arial"/>
                  <w:sz w:val="18"/>
                  <w:szCs w:val="18"/>
                  <w:color w:val="0000EE"/>
                  <w:w w:val="91"/>
                </w:rPr>
                <w:t>Consent of Ernst &amp; Young LLP</w:t>
              </w:r>
            </w:hyperlink>
          </w:p>
        </w:tc>
        <w:tc>
          <w:tcPr>
            <w:tcW w:w="1900" w:type="dxa"/>
            <w:vAlign w:val="bottom"/>
            <w:gridSpan w:val="3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2"/>
                <w:szCs w:val="22"/>
                <w:color w:val="auto"/>
              </w:rPr>
            </w:pPr>
          </w:p>
        </w:tc>
        <w:tc>
          <w:tcPr>
            <w:tcW w:w="4160" w:type="dxa"/>
            <w:vAlign w:val="bottom"/>
            <w:gridSpan w:val="37"/>
          </w:tcPr>
          <w:p>
            <w:pPr>
              <w:spacing w:after="0"/>
              <w:rPr>
                <w:rFonts w:ascii="Arial" w:cs="Arial" w:eastAsia="Arial" w:hAnsi="Arial"/>
                <w:sz w:val="18"/>
                <w:szCs w:val="18"/>
                <w:color w:val="0000EE"/>
                <w:w w:val="97"/>
              </w:rPr>
            </w:pPr>
            <w:hyperlink w:anchor="page147">
              <w:r>
                <w:rPr>
                  <w:rFonts w:ascii="Arial" w:cs="Arial" w:eastAsia="Arial" w:hAnsi="Arial"/>
                  <w:sz w:val="18"/>
                  <w:szCs w:val="18"/>
                  <w:color w:val="0000EE"/>
                  <w:w w:val="97"/>
                </w:rPr>
                <w:t>Certification of Principal Executive Officer pursuant to</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20" w:type="dxa"/>
            <w:vAlign w:val="bottom"/>
            <w:tcBorders>
              <w:top w:val="single" w:sz="8" w:color="0000EE"/>
              <w:bottom w:val="single" w:sz="8" w:color="0000EE"/>
            </w:tcBorders>
            <w:gridSpan w:val="30"/>
          </w:tcPr>
          <w:p>
            <w:pPr>
              <w:spacing w:after="0" w:line="156" w:lineRule="exact"/>
              <w:rPr>
                <w:rFonts w:ascii="Arial" w:cs="Arial" w:eastAsia="Arial" w:hAnsi="Arial"/>
                <w:sz w:val="18"/>
                <w:szCs w:val="18"/>
                <w:color w:val="0000EE"/>
                <w:w w:val="91"/>
              </w:rPr>
            </w:pPr>
            <w:hyperlink w:anchor="page147">
              <w:r>
                <w:rPr>
                  <w:rFonts w:ascii="Arial" w:cs="Arial" w:eastAsia="Arial" w:hAnsi="Arial"/>
                  <w:sz w:val="18"/>
                  <w:szCs w:val="18"/>
                  <w:color w:val="0000EE"/>
                  <w:w w:val="91"/>
                </w:rPr>
                <w:t>Rule 13a-14(a) or Rule 15d-14(a) of the Exchange Act,</w:t>
              </w:r>
            </w:hyperlink>
          </w:p>
        </w:tc>
        <w:tc>
          <w:tcPr>
            <w:tcW w:w="20" w:type="dxa"/>
            <w:vAlign w:val="bottom"/>
            <w:tcBorders>
              <w:bottom w:val="single" w:sz="8" w:color="0000EE"/>
            </w:tcBorders>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40" w:type="dxa"/>
            <w:vAlign w:val="bottom"/>
            <w:gridSpan w:val="31"/>
          </w:tcPr>
          <w:p>
            <w:pPr>
              <w:spacing w:after="0" w:line="156" w:lineRule="exact"/>
              <w:rPr>
                <w:rFonts w:ascii="Arial" w:cs="Arial" w:eastAsia="Arial" w:hAnsi="Arial"/>
                <w:sz w:val="18"/>
                <w:szCs w:val="18"/>
                <w:color w:val="0000EE"/>
                <w:w w:val="95"/>
              </w:rPr>
            </w:pPr>
            <w:hyperlink w:anchor="page147">
              <w:r>
                <w:rPr>
                  <w:rFonts w:ascii="Arial" w:cs="Arial" w:eastAsia="Arial" w:hAnsi="Arial"/>
                  <w:sz w:val="18"/>
                  <w:szCs w:val="18"/>
                  <w:color w:val="0000EE"/>
                  <w:w w:val="95"/>
                </w:rPr>
                <w:t>as adopted pursuant to Section 302 of the Sarbanes-</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700" w:type="dxa"/>
            <w:vAlign w:val="bottom"/>
            <w:tcBorders>
              <w:top w:val="single" w:sz="8" w:color="0000EE"/>
            </w:tcBorders>
            <w:gridSpan w:val="19"/>
          </w:tcPr>
          <w:p>
            <w:pPr>
              <w:spacing w:after="0" w:line="156" w:lineRule="exact"/>
              <w:rPr>
                <w:rFonts w:ascii="Arial" w:cs="Arial" w:eastAsia="Arial" w:hAnsi="Arial"/>
                <w:sz w:val="18"/>
                <w:szCs w:val="18"/>
                <w:color w:val="0000EE"/>
              </w:rPr>
            </w:pPr>
            <w:hyperlink w:anchor="page147">
              <w:r>
                <w:rPr>
                  <w:rFonts w:ascii="Arial" w:cs="Arial" w:eastAsia="Arial" w:hAnsi="Arial"/>
                  <w:sz w:val="18"/>
                  <w:szCs w:val="18"/>
                  <w:color w:val="0000EE"/>
                </w:rPr>
                <w:t>Oxley Act of 2002</w:t>
              </w:r>
            </w:hyperlink>
          </w:p>
        </w:tc>
        <w:tc>
          <w:tcPr>
            <w:tcW w:w="460" w:type="dxa"/>
            <w:vAlign w:val="bottom"/>
            <w:gridSpan w:val="18"/>
          </w:tcPr>
          <w:p>
            <w:pPr>
              <w:spacing w:after="0"/>
              <w:rPr>
                <w:sz w:val="13"/>
                <w:szCs w:val="13"/>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Borders>
              <w:top w:val="single" w:sz="8" w:color="0000EE"/>
            </w:tcBorders>
            <w:gridSpan w:val="3"/>
          </w:tcPr>
          <w:p>
            <w:pPr>
              <w:spacing w:after="0"/>
              <w:rPr>
                <w:sz w:val="24"/>
                <w:szCs w:val="24"/>
                <w:color w:val="auto"/>
              </w:rPr>
            </w:pPr>
          </w:p>
        </w:tc>
        <w:tc>
          <w:tcPr>
            <w:tcW w:w="2480" w:type="dxa"/>
            <w:vAlign w:val="bottom"/>
            <w:gridSpan w:val="19"/>
          </w:tcPr>
          <w:p>
            <w:pPr>
              <w:jc w:val="right"/>
              <w:ind w:right="2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575437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580" w:type="dxa"/>
            <w:vAlign w:val="bottom"/>
            <w:gridSpan w:val="6"/>
          </w:tcPr>
          <w:p>
            <w:pPr>
              <w:ind w:left="380"/>
              <w:spacing w:after="0"/>
              <w:rPr>
                <w:sz w:val="20"/>
                <w:szCs w:val="20"/>
                <w:color w:val="auto"/>
              </w:rPr>
            </w:pPr>
            <w:r>
              <w:rPr>
                <w:rFonts w:ascii="Arial" w:cs="Arial" w:eastAsia="Arial" w:hAnsi="Arial"/>
                <w:sz w:val="14"/>
                <w:szCs w:val="14"/>
                <w:b w:val="1"/>
                <w:bCs w:val="1"/>
                <w:color w:val="auto"/>
              </w:rPr>
              <w:t>Incorporated by Reference</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Form</w:t>
            </w:r>
          </w:p>
        </w:tc>
        <w:tc>
          <w:tcPr>
            <w:tcW w:w="1040" w:type="dxa"/>
            <w:vAlign w:val="bottom"/>
            <w:tcBorders>
              <w:top w:val="single" w:sz="8" w:color="auto"/>
            </w:tcBorders>
            <w:gridSpan w:val="2"/>
            <w:vMerge w:val="restart"/>
          </w:tcPr>
          <w:p>
            <w:pPr>
              <w:ind w:left="200"/>
              <w:spacing w:after="0"/>
              <w:rPr>
                <w:sz w:val="20"/>
                <w:szCs w:val="20"/>
                <w:color w:val="auto"/>
              </w:rPr>
            </w:pPr>
            <w:r>
              <w:rPr>
                <w:rFonts w:ascii="Arial" w:cs="Arial" w:eastAsia="Arial" w:hAnsi="Arial"/>
                <w:sz w:val="14"/>
                <w:szCs w:val="14"/>
                <w:b w:val="1"/>
                <w:bCs w:val="1"/>
                <w:color w:val="auto"/>
              </w:rPr>
              <w:t>File No.</w:t>
            </w: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Exhibit</w:t>
            </w:r>
          </w:p>
        </w:tc>
        <w:tc>
          <w:tcPr>
            <w:tcW w:w="160" w:type="dxa"/>
            <w:vAlign w:val="bottom"/>
          </w:tcPr>
          <w:p>
            <w:pPr>
              <w:spacing w:after="0"/>
              <w:rPr>
                <w:sz w:val="10"/>
                <w:szCs w:val="10"/>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71"/>
        </w:trPr>
        <w:tc>
          <w:tcPr>
            <w:tcW w:w="7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Number</w:t>
            </w: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10-K</w:t>
            </w:r>
          </w:p>
        </w:tc>
        <w:tc>
          <w:tcPr>
            <w:tcW w:w="140" w:type="dxa"/>
            <w:vAlign w:val="bottom"/>
          </w:tcPr>
          <w:p>
            <w:pPr>
              <w:spacing w:after="0"/>
              <w:rPr>
                <w:sz w:val="19"/>
                <w:szCs w:val="19"/>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001-37359</w:t>
            </w:r>
          </w:p>
        </w:tc>
        <w:tc>
          <w:tcPr>
            <w:tcW w:w="140" w:type="dxa"/>
            <w:vAlign w:val="bottom"/>
          </w:tcPr>
          <w:p>
            <w:pPr>
              <w:spacing w:after="0"/>
              <w:rPr>
                <w:sz w:val="19"/>
                <w:szCs w:val="19"/>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10.9</w:t>
            </w:r>
          </w:p>
        </w:tc>
        <w:tc>
          <w:tcPr>
            <w:tcW w:w="160" w:type="dxa"/>
            <w:vAlign w:val="bottom"/>
          </w:tcPr>
          <w:p>
            <w:pPr>
              <w:spacing w:after="0"/>
              <w:rPr>
                <w:sz w:val="19"/>
                <w:szCs w:val="19"/>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March 11, 2016</w:t>
            </w:r>
          </w:p>
        </w:tc>
        <w:tc>
          <w:tcPr>
            <w:tcW w:w="0" w:type="dxa"/>
            <w:vAlign w:val="bottom"/>
          </w:tcPr>
          <w:p>
            <w:pPr>
              <w:spacing w:after="0"/>
              <w:rPr>
                <w:sz w:val="1"/>
                <w:szCs w:val="1"/>
                <w:color w:val="auto"/>
              </w:rPr>
            </w:pPr>
          </w:p>
        </w:tc>
      </w:tr>
      <w:tr>
        <w:trPr>
          <w:trHeight w:val="431"/>
        </w:trPr>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November 10, 2016</w:t>
            </w:r>
          </w:p>
        </w:tc>
        <w:tc>
          <w:tcPr>
            <w:tcW w:w="0" w:type="dxa"/>
            <w:vAlign w:val="bottom"/>
          </w:tcPr>
          <w:p>
            <w:pPr>
              <w:spacing w:after="0"/>
              <w:rPr>
                <w:sz w:val="1"/>
                <w:szCs w:val="1"/>
                <w:color w:val="auto"/>
              </w:rPr>
            </w:pPr>
          </w:p>
        </w:tc>
      </w:tr>
      <w:tr>
        <w:trPr>
          <w:trHeight w:val="459"/>
        </w:trPr>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November 14, 2016</w:t>
            </w:r>
          </w:p>
        </w:tc>
        <w:tc>
          <w:tcPr>
            <w:tcW w:w="0" w:type="dxa"/>
            <w:vAlign w:val="bottom"/>
          </w:tcPr>
          <w:p>
            <w:pPr>
              <w:spacing w:after="0"/>
              <w:rPr>
                <w:sz w:val="1"/>
                <w:szCs w:val="1"/>
                <w:color w:val="auto"/>
              </w:rPr>
            </w:pPr>
          </w:p>
        </w:tc>
      </w:tr>
      <w:tr>
        <w:trPr>
          <w:trHeight w:val="459"/>
        </w:trPr>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October 31, 2017</w:t>
            </w:r>
          </w:p>
        </w:tc>
        <w:tc>
          <w:tcPr>
            <w:tcW w:w="0" w:type="dxa"/>
            <w:vAlign w:val="bottom"/>
          </w:tcPr>
          <w:p>
            <w:pPr>
              <w:spacing w:after="0"/>
              <w:rPr>
                <w:sz w:val="1"/>
                <w:szCs w:val="1"/>
                <w:color w:val="auto"/>
              </w:rPr>
            </w:pPr>
          </w:p>
        </w:tc>
      </w:tr>
      <w:tr>
        <w:trPr>
          <w:trHeight w:val="459"/>
        </w:trPr>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November 22, 2017</w:t>
            </w:r>
          </w:p>
        </w:tc>
        <w:tc>
          <w:tcPr>
            <w:tcW w:w="0" w:type="dxa"/>
            <w:vAlign w:val="bottom"/>
          </w:tcPr>
          <w:p>
            <w:pPr>
              <w:spacing w:after="0"/>
              <w:rPr>
                <w:sz w:val="1"/>
                <w:szCs w:val="1"/>
                <w:color w:val="auto"/>
              </w:rPr>
            </w:pPr>
          </w:p>
        </w:tc>
      </w:tr>
      <w:tr>
        <w:trPr>
          <w:trHeight w:val="459"/>
        </w:trPr>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10-K</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March 11, 2016</w:t>
            </w:r>
          </w:p>
        </w:tc>
        <w:tc>
          <w:tcPr>
            <w:tcW w:w="0" w:type="dxa"/>
            <w:vAlign w:val="bottom"/>
          </w:tcPr>
          <w:p>
            <w:pPr>
              <w:spacing w:after="0"/>
              <w:rPr>
                <w:sz w:val="1"/>
                <w:szCs w:val="1"/>
                <w:color w:val="auto"/>
              </w:rPr>
            </w:pPr>
          </w:p>
        </w:tc>
      </w:tr>
      <w:tr>
        <w:trPr>
          <w:trHeight w:val="1161"/>
        </w:trPr>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98"/>
              </w:rPr>
              <w:t>10-Q/A</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July 22, 2016</w:t>
            </w:r>
          </w:p>
        </w:tc>
        <w:tc>
          <w:tcPr>
            <w:tcW w:w="0" w:type="dxa"/>
            <w:vAlign w:val="bottom"/>
          </w:tcPr>
          <w:p>
            <w:pPr>
              <w:spacing w:after="0"/>
              <w:rPr>
                <w:sz w:val="1"/>
                <w:szCs w:val="1"/>
                <w:color w:val="auto"/>
              </w:rPr>
            </w:pPr>
          </w:p>
        </w:tc>
      </w:tr>
      <w:tr>
        <w:trPr>
          <w:trHeight w:val="986"/>
        </w:trPr>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August 9, 2016</w:t>
            </w:r>
          </w:p>
        </w:tc>
        <w:tc>
          <w:tcPr>
            <w:tcW w:w="0" w:type="dxa"/>
            <w:vAlign w:val="bottom"/>
          </w:tcPr>
          <w:p>
            <w:pPr>
              <w:spacing w:after="0"/>
              <w:rPr>
                <w:sz w:val="1"/>
                <w:szCs w:val="1"/>
                <w:color w:val="auto"/>
              </w:rPr>
            </w:pPr>
          </w:p>
        </w:tc>
      </w:tr>
      <w:tr>
        <w:trPr>
          <w:trHeight w:val="810"/>
        </w:trPr>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November 10, 2016</w:t>
            </w:r>
          </w:p>
        </w:tc>
        <w:tc>
          <w:tcPr>
            <w:tcW w:w="0" w:type="dxa"/>
            <w:vAlign w:val="bottom"/>
          </w:tcPr>
          <w:p>
            <w:pPr>
              <w:spacing w:after="0"/>
              <w:rPr>
                <w:sz w:val="1"/>
                <w:szCs w:val="1"/>
                <w:color w:val="auto"/>
              </w:rPr>
            </w:pPr>
          </w:p>
        </w:tc>
      </w:tr>
      <w:tr>
        <w:trPr>
          <w:trHeight w:val="810"/>
        </w:trPr>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S-1</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333-202938</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March 23, 2015</w:t>
            </w:r>
          </w:p>
        </w:tc>
        <w:tc>
          <w:tcPr>
            <w:tcW w:w="0" w:type="dxa"/>
            <w:vAlign w:val="bottom"/>
          </w:tcPr>
          <w:p>
            <w:pPr>
              <w:spacing w:after="0"/>
              <w:rPr>
                <w:sz w:val="1"/>
                <w:szCs w:val="1"/>
                <w:color w:val="auto"/>
              </w:rPr>
            </w:pPr>
          </w:p>
        </w:tc>
      </w:tr>
      <w:tr>
        <w:trPr>
          <w:trHeight w:val="459"/>
        </w:trPr>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S-1</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333-202938</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March 23, 2015</w:t>
            </w:r>
          </w:p>
        </w:tc>
        <w:tc>
          <w:tcPr>
            <w:tcW w:w="0" w:type="dxa"/>
            <w:vAlign w:val="bottom"/>
          </w:tcPr>
          <w:p>
            <w:pPr>
              <w:spacing w:after="0"/>
              <w:rPr>
                <w:sz w:val="1"/>
                <w:szCs w:val="1"/>
                <w:color w:val="auto"/>
              </w:rPr>
            </w:pPr>
          </w:p>
        </w:tc>
      </w:tr>
      <w:tr>
        <w:trPr>
          <w:trHeight w:val="459"/>
        </w:trPr>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10-K</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March 11, 2016</w:t>
            </w:r>
          </w:p>
        </w:tc>
        <w:tc>
          <w:tcPr>
            <w:tcW w:w="0" w:type="dxa"/>
            <w:vAlign w:val="bottom"/>
          </w:tcPr>
          <w:p>
            <w:pPr>
              <w:spacing w:after="0"/>
              <w:rPr>
                <w:sz w:val="1"/>
                <w:szCs w:val="1"/>
                <w:color w:val="auto"/>
              </w:rPr>
            </w:pPr>
          </w:p>
        </w:tc>
      </w:tr>
      <w:tr>
        <w:trPr>
          <w:trHeight w:val="284"/>
        </w:trPr>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w:t>
      </w:r>
    </w:p>
    <w:p>
      <w:pPr>
        <w:sectPr>
          <w:pgSz w:w="11900" w:h="16838" w:orient="portrait"/>
          <w:cols w:equalWidth="0" w:num="2">
            <w:col w:w="4860" w:space="160"/>
            <w:col w:w="4080"/>
          </w:cols>
          <w:pgMar w:left="1420" w:top="111" w:right="1379" w:bottom="1440" w:gutter="0" w:footer="0" w:header="0"/>
        </w:sectPr>
      </w:pPr>
    </w:p>
    <w:bookmarkStart w:id="109" w:name="page110"/>
    <w:bookmarkEnd w:id="10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6"/>
          </w:tcPr>
          <w:p>
            <w:pPr>
              <w:ind w:left="380"/>
              <w:spacing w:after="0"/>
              <w:rPr>
                <w:sz w:val="20"/>
                <w:szCs w:val="20"/>
                <w:color w:val="auto"/>
              </w:rPr>
            </w:pPr>
            <w:r>
              <w:rPr>
                <w:rFonts w:ascii="Arial" w:cs="Arial" w:eastAsia="Arial" w:hAnsi="Arial"/>
                <w:sz w:val="14"/>
                <w:szCs w:val="14"/>
                <w:b w:val="1"/>
                <w:bCs w:val="1"/>
                <w:color w:val="auto"/>
              </w:rPr>
              <w:t>Incorporated by Reference</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140" w:type="dxa"/>
            <w:vAlign w:val="bottom"/>
            <w:gridSpan w:val="10"/>
            <w:vMerge w:val="restart"/>
          </w:tcPr>
          <w:p>
            <w:pPr>
              <w:ind w:left="1300"/>
              <w:spacing w:after="0"/>
              <w:rPr>
                <w:sz w:val="20"/>
                <w:szCs w:val="20"/>
                <w:color w:val="auto"/>
              </w:rPr>
            </w:pPr>
            <w:r>
              <w:rPr>
                <w:rFonts w:ascii="Arial" w:cs="Arial" w:eastAsia="Arial" w:hAnsi="Arial"/>
                <w:sz w:val="14"/>
                <w:szCs w:val="14"/>
                <w:b w:val="1"/>
                <w:bCs w:val="1"/>
                <w:color w:val="auto"/>
              </w:rPr>
              <w:t>Description of Exhibit</w:t>
            </w:r>
          </w:p>
        </w:tc>
        <w:tc>
          <w:tcPr>
            <w:tcW w:w="72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Form</w:t>
            </w:r>
          </w:p>
        </w:tc>
        <w:tc>
          <w:tcPr>
            <w:tcW w:w="1040" w:type="dxa"/>
            <w:vAlign w:val="bottom"/>
            <w:tcBorders>
              <w:top w:val="single" w:sz="8" w:color="auto"/>
            </w:tcBorders>
            <w:gridSpan w:val="2"/>
            <w:vMerge w:val="restart"/>
          </w:tcPr>
          <w:p>
            <w:pPr>
              <w:ind w:left="200"/>
              <w:spacing w:after="0"/>
              <w:rPr>
                <w:sz w:val="20"/>
                <w:szCs w:val="20"/>
                <w:color w:val="auto"/>
              </w:rPr>
            </w:pPr>
            <w:r>
              <w:rPr>
                <w:rFonts w:ascii="Arial" w:cs="Arial" w:eastAsia="Arial" w:hAnsi="Arial"/>
                <w:sz w:val="14"/>
                <w:szCs w:val="14"/>
                <w:b w:val="1"/>
                <w:bCs w:val="1"/>
                <w:color w:val="auto"/>
              </w:rPr>
              <w:t>File No.</w:t>
            </w: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Exhibit</w:t>
            </w:r>
          </w:p>
        </w:tc>
        <w:tc>
          <w:tcPr>
            <w:tcW w:w="160" w:type="dxa"/>
            <w:vAlign w:val="bottom"/>
          </w:tcPr>
          <w:p>
            <w:pPr>
              <w:spacing w:after="0"/>
              <w:rPr>
                <w:sz w:val="10"/>
                <w:szCs w:val="10"/>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40" w:type="dxa"/>
            <w:vAlign w:val="bottom"/>
            <w:gridSpan w:val="10"/>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Number</w:t>
            </w: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Borders>
              <w:top w:val="single" w:sz="8" w:color="auto"/>
            </w:tcBorders>
          </w:tcPr>
          <w:p>
            <w:pPr>
              <w:spacing w:after="0" w:line="156" w:lineRule="exact"/>
              <w:rPr>
                <w:sz w:val="20"/>
                <w:szCs w:val="20"/>
                <w:color w:val="auto"/>
              </w:rPr>
            </w:pPr>
            <w:r>
              <w:rPr>
                <w:rFonts w:ascii="Arial" w:cs="Arial" w:eastAsia="Arial" w:hAnsi="Arial"/>
                <w:sz w:val="18"/>
                <w:szCs w:val="18"/>
                <w:color w:val="auto"/>
              </w:rPr>
              <w:t>31.2</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0" w:type="dxa"/>
            <w:vAlign w:val="bottom"/>
            <w:tcBorders>
              <w:top w:val="single" w:sz="8" w:color="auto"/>
            </w:tcBorders>
            <w:gridSpan w:val="9"/>
          </w:tcPr>
          <w:p>
            <w:pPr>
              <w:spacing w:after="0" w:line="156" w:lineRule="exact"/>
              <w:rPr>
                <w:rFonts w:ascii="Arial" w:cs="Arial" w:eastAsia="Arial" w:hAnsi="Arial"/>
                <w:sz w:val="18"/>
                <w:szCs w:val="18"/>
                <w:color w:val="0000EE"/>
                <w:w w:val="94"/>
              </w:rPr>
            </w:pPr>
            <w:hyperlink w:anchor="page148">
              <w:r>
                <w:rPr>
                  <w:rFonts w:ascii="Arial" w:cs="Arial" w:eastAsia="Arial" w:hAnsi="Arial"/>
                  <w:sz w:val="18"/>
                  <w:szCs w:val="18"/>
                  <w:color w:val="0000EE"/>
                  <w:w w:val="94"/>
                </w:rPr>
                <w:t>Certification of Principal Financial Officer pursuant to</w:t>
              </w:r>
            </w:hyperlink>
          </w:p>
        </w:tc>
        <w:tc>
          <w:tcPr>
            <w:tcW w:w="14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920" w:type="dxa"/>
            <w:vAlign w:val="bottom"/>
            <w:tcBorders>
              <w:top w:val="single" w:sz="8" w:color="0000EE"/>
              <w:bottom w:val="single" w:sz="8" w:color="0000EE"/>
            </w:tcBorders>
            <w:gridSpan w:val="7"/>
          </w:tcPr>
          <w:p>
            <w:pPr>
              <w:spacing w:after="0" w:line="156" w:lineRule="exact"/>
              <w:rPr>
                <w:rFonts w:ascii="Arial" w:cs="Arial" w:eastAsia="Arial" w:hAnsi="Arial"/>
                <w:sz w:val="18"/>
                <w:szCs w:val="18"/>
                <w:color w:val="0000EE"/>
                <w:w w:val="89"/>
              </w:rPr>
            </w:pPr>
            <w:hyperlink w:anchor="page148">
              <w:r>
                <w:rPr>
                  <w:rFonts w:ascii="Arial" w:cs="Arial" w:eastAsia="Arial" w:hAnsi="Arial"/>
                  <w:sz w:val="18"/>
                  <w:szCs w:val="18"/>
                  <w:color w:val="0000EE"/>
                  <w:w w:val="89"/>
                </w:rPr>
                <w:t>Rule 13a-14(a) or Rule 15d-14(a) of the Exchange Act,</w:t>
              </w:r>
            </w:hyperlink>
          </w:p>
        </w:tc>
        <w:tc>
          <w:tcPr>
            <w:tcW w:w="6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980" w:type="dxa"/>
            <w:vAlign w:val="bottom"/>
            <w:gridSpan w:val="8"/>
          </w:tcPr>
          <w:p>
            <w:pPr>
              <w:spacing w:after="0" w:line="156" w:lineRule="exact"/>
              <w:rPr>
                <w:rFonts w:ascii="Arial" w:cs="Arial" w:eastAsia="Arial" w:hAnsi="Arial"/>
                <w:sz w:val="18"/>
                <w:szCs w:val="18"/>
                <w:color w:val="0000EE"/>
                <w:w w:val="93"/>
              </w:rPr>
            </w:pPr>
            <w:hyperlink w:anchor="page148">
              <w:r>
                <w:rPr>
                  <w:rFonts w:ascii="Arial" w:cs="Arial" w:eastAsia="Arial" w:hAnsi="Arial"/>
                  <w:sz w:val="18"/>
                  <w:szCs w:val="18"/>
                  <w:color w:val="0000EE"/>
                  <w:w w:val="93"/>
                </w:rPr>
                <w:t>as adopted pursuant to Section 302 of the Sarbanes-</w:t>
              </w:r>
            </w:hyperlink>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Borders>
              <w:top w:val="single" w:sz="8" w:color="0000EE"/>
              <w:bottom w:val="single" w:sz="8" w:color="0000EE"/>
            </w:tcBorders>
            <w:gridSpan w:val="2"/>
          </w:tcPr>
          <w:p>
            <w:pPr>
              <w:spacing w:after="0" w:line="156" w:lineRule="exact"/>
              <w:rPr>
                <w:rFonts w:ascii="Arial" w:cs="Arial" w:eastAsia="Arial" w:hAnsi="Arial"/>
                <w:sz w:val="18"/>
                <w:szCs w:val="18"/>
                <w:color w:val="0000EE"/>
                <w:w w:val="92"/>
              </w:rPr>
            </w:pPr>
            <w:hyperlink w:anchor="page148">
              <w:r>
                <w:rPr>
                  <w:rFonts w:ascii="Arial" w:cs="Arial" w:eastAsia="Arial" w:hAnsi="Arial"/>
                  <w:sz w:val="18"/>
                  <w:szCs w:val="18"/>
                  <w:color w:val="0000EE"/>
                  <w:w w:val="92"/>
                </w:rPr>
                <w:t>Oxley Act of 2002</w:t>
              </w:r>
            </w:hyperlink>
          </w:p>
        </w:tc>
        <w:tc>
          <w:tcPr>
            <w:tcW w:w="2380" w:type="dxa"/>
            <w:vAlign w:val="bottom"/>
            <w:tcBorders>
              <w:top w:val="single" w:sz="8" w:color="0000EE"/>
            </w:tcBorders>
            <w:gridSpan w:val="4"/>
          </w:tcPr>
          <w:p>
            <w:pPr>
              <w:spacing w:after="0"/>
              <w:rPr>
                <w:sz w:val="13"/>
                <w:szCs w:val="13"/>
                <w:color w:val="auto"/>
              </w:rPr>
            </w:pPr>
          </w:p>
        </w:tc>
        <w:tc>
          <w:tcPr>
            <w:tcW w:w="280" w:type="dxa"/>
            <w:vAlign w:val="bottom"/>
            <w:gridSpan w:val="3"/>
          </w:tcPr>
          <w:p>
            <w:pPr>
              <w:spacing w:after="0"/>
              <w:rPr>
                <w:sz w:val="13"/>
                <w:szCs w:val="13"/>
                <w:color w:val="auto"/>
              </w:rPr>
            </w:pPr>
          </w:p>
        </w:tc>
        <w:tc>
          <w:tcPr>
            <w:tcW w:w="16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00" w:type="dxa"/>
            <w:vAlign w:val="bottom"/>
            <w:gridSpan w:val="2"/>
          </w:tcPr>
          <w:p>
            <w:pPr>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2"/>
                <w:szCs w:val="22"/>
                <w:color w:val="auto"/>
              </w:rPr>
            </w:pPr>
          </w:p>
        </w:tc>
        <w:tc>
          <w:tcPr>
            <w:tcW w:w="4160" w:type="dxa"/>
            <w:vAlign w:val="bottom"/>
            <w:gridSpan w:val="11"/>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Certifications of Principal Executive Officer and</w:t>
              </w:r>
            </w:hyperlink>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500" w:type="dxa"/>
            <w:vAlign w:val="bottom"/>
            <w:tcBorders>
              <w:top w:val="single" w:sz="8" w:color="0000EE"/>
              <w:bottom w:val="single" w:sz="8" w:color="0000EE"/>
            </w:tcBorders>
            <w:gridSpan w:val="4"/>
          </w:tcPr>
          <w:p>
            <w:pPr>
              <w:spacing w:after="0" w:line="156" w:lineRule="exact"/>
              <w:rPr>
                <w:rFonts w:ascii="Arial" w:cs="Arial" w:eastAsia="Arial" w:hAnsi="Arial"/>
                <w:sz w:val="18"/>
                <w:szCs w:val="18"/>
                <w:color w:val="0000EE"/>
                <w:w w:val="91"/>
              </w:rPr>
            </w:pPr>
            <w:hyperlink w:anchor="page149">
              <w:r>
                <w:rPr>
                  <w:rFonts w:ascii="Arial" w:cs="Arial" w:eastAsia="Arial" w:hAnsi="Arial"/>
                  <w:sz w:val="18"/>
                  <w:szCs w:val="18"/>
                  <w:color w:val="0000EE"/>
                  <w:w w:val="91"/>
                </w:rPr>
                <w:t>Principal Financial Officer pursuant to 18 U.S.C.</w:t>
              </w:r>
            </w:hyperlink>
          </w:p>
        </w:tc>
        <w:tc>
          <w:tcPr>
            <w:tcW w:w="20" w:type="dxa"/>
            <w:vAlign w:val="bottom"/>
            <w:tcBorders>
              <w:bottom w:val="single" w:sz="8" w:color="0000EE"/>
            </w:tcBorders>
          </w:tcPr>
          <w:p>
            <w:pPr>
              <w:spacing w:after="0"/>
              <w:rPr>
                <w:sz w:val="13"/>
                <w:szCs w:val="13"/>
                <w:color w:val="auto"/>
              </w:rPr>
            </w:pPr>
          </w:p>
        </w:tc>
        <w:tc>
          <w:tcPr>
            <w:tcW w:w="640" w:type="dxa"/>
            <w:vAlign w:val="bottom"/>
            <w:gridSpan w:val="6"/>
            <w:vMerge w:val="restart"/>
          </w:tcPr>
          <w:p>
            <w:pPr>
              <w:ind w:left="60"/>
              <w:spacing w:after="0"/>
              <w:rPr>
                <w:rFonts w:ascii="Arial" w:cs="Arial" w:eastAsia="Arial" w:hAnsi="Arial"/>
                <w:sz w:val="18"/>
                <w:szCs w:val="18"/>
                <w:color w:val="0000EE"/>
              </w:rPr>
            </w:pPr>
            <w:hyperlink w:anchor="page149">
              <w:r>
                <w:rPr>
                  <w:rFonts w:ascii="Arial" w:cs="Arial" w:eastAsia="Arial" w:hAnsi="Arial"/>
                  <w:sz w:val="18"/>
                  <w:szCs w:val="18"/>
                  <w:color w:val="0000EE"/>
                </w:rPr>
                <w:t>of the</w:t>
              </w:r>
            </w:hyperlink>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520" w:type="dxa"/>
            <w:vAlign w:val="bottom"/>
            <w:gridSpan w:val="5"/>
          </w:tcPr>
          <w:p>
            <w:pPr>
              <w:spacing w:after="0" w:line="156" w:lineRule="exact"/>
              <w:rPr>
                <w:rFonts w:ascii="Arial" w:cs="Arial" w:eastAsia="Arial" w:hAnsi="Arial"/>
                <w:sz w:val="18"/>
                <w:szCs w:val="18"/>
                <w:color w:val="0000EE"/>
                <w:w w:val="87"/>
              </w:rPr>
            </w:pPr>
            <w:hyperlink w:anchor="page149">
              <w:r>
                <w:rPr>
                  <w:rFonts w:ascii="Arial" w:cs="Arial" w:eastAsia="Arial" w:hAnsi="Arial"/>
                  <w:sz w:val="18"/>
                  <w:szCs w:val="18"/>
                  <w:color w:val="0000EE"/>
                  <w:w w:val="87"/>
                </w:rPr>
                <w:t>Section 1350, as adopted pursuant to Section 906</w:t>
              </w:r>
            </w:hyperlink>
          </w:p>
        </w:tc>
        <w:tc>
          <w:tcPr>
            <w:tcW w:w="640" w:type="dxa"/>
            <w:vAlign w:val="bottom"/>
            <w:gridSpan w:val="6"/>
            <w:vMerge w:val="continue"/>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0" w:type="dxa"/>
            <w:vAlign w:val="bottom"/>
            <w:tcBorders>
              <w:top w:val="single" w:sz="8" w:color="0000EE"/>
            </w:tcBorders>
            <w:gridSpan w:val="9"/>
          </w:tcPr>
          <w:p>
            <w:pPr>
              <w:spacing w:after="0" w:line="156" w:lineRule="exact"/>
              <w:rPr>
                <w:rFonts w:ascii="Arial" w:cs="Arial" w:eastAsia="Arial" w:hAnsi="Arial"/>
                <w:sz w:val="18"/>
                <w:szCs w:val="18"/>
                <w:color w:val="0000EE"/>
              </w:rPr>
            </w:pPr>
            <w:hyperlink w:anchor="page149">
              <w:r>
                <w:rPr>
                  <w:rFonts w:ascii="Arial" w:cs="Arial" w:eastAsia="Arial" w:hAnsi="Arial"/>
                  <w:sz w:val="18"/>
                  <w:szCs w:val="18"/>
                  <w:color w:val="0000EE"/>
                </w:rPr>
                <w:t>Sarbanes-Oxley Act of 2002</w:t>
              </w:r>
            </w:hyperlink>
          </w:p>
        </w:tc>
        <w:tc>
          <w:tcPr>
            <w:tcW w:w="16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7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24"/>
                <w:szCs w:val="24"/>
                <w:color w:val="auto"/>
              </w:rPr>
            </w:pPr>
          </w:p>
        </w:tc>
        <w:tc>
          <w:tcPr>
            <w:tcW w:w="20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w w:val="97"/>
              </w:rPr>
              <w:t>XBRL Instance Document</w:t>
            </w:r>
          </w:p>
        </w:tc>
        <w:tc>
          <w:tcPr>
            <w:tcW w:w="2120" w:type="dxa"/>
            <w:vAlign w:val="bottom"/>
            <w:gridSpan w:val="8"/>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700" w:type="dxa"/>
            <w:vAlign w:val="bottom"/>
            <w:gridSpan w:val="2"/>
          </w:tcPr>
          <w:p>
            <w:pPr>
              <w:spacing w:after="0"/>
              <w:rPr>
                <w:sz w:val="20"/>
                <w:szCs w:val="20"/>
                <w:color w:val="auto"/>
              </w:rPr>
            </w:pPr>
            <w:r>
              <w:rPr>
                <w:rFonts w:ascii="Arial" w:cs="Arial" w:eastAsia="Arial" w:hAnsi="Arial"/>
                <w:sz w:val="18"/>
                <w:szCs w:val="18"/>
                <w:color w:val="auto"/>
                <w:w w:val="93"/>
              </w:rPr>
              <w:t>101.SCH</w:t>
            </w:r>
          </w:p>
        </w:tc>
        <w:tc>
          <w:tcPr>
            <w:tcW w:w="160" w:type="dxa"/>
            <w:vAlign w:val="bottom"/>
          </w:tcPr>
          <w:p>
            <w:pPr>
              <w:spacing w:after="0"/>
              <w:rPr>
                <w:sz w:val="24"/>
                <w:szCs w:val="24"/>
                <w:color w:val="auto"/>
              </w:rPr>
            </w:pPr>
          </w:p>
        </w:tc>
        <w:tc>
          <w:tcPr>
            <w:tcW w:w="416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0" w:type="dxa"/>
            <w:vAlign w:val="bottom"/>
            <w:gridSpan w:val="2"/>
          </w:tcPr>
          <w:p>
            <w:pPr>
              <w:spacing w:after="0"/>
              <w:rPr>
                <w:sz w:val="20"/>
                <w:szCs w:val="20"/>
                <w:color w:val="auto"/>
              </w:rPr>
            </w:pPr>
            <w:r>
              <w:rPr>
                <w:rFonts w:ascii="Arial" w:cs="Arial" w:eastAsia="Arial" w:hAnsi="Arial"/>
                <w:sz w:val="18"/>
                <w:szCs w:val="18"/>
                <w:color w:val="auto"/>
                <w:w w:val="97"/>
              </w:rPr>
              <w:t>101.CAL</w:t>
            </w:r>
          </w:p>
        </w:tc>
        <w:tc>
          <w:tcPr>
            <w:tcW w:w="160" w:type="dxa"/>
            <w:vAlign w:val="bottom"/>
          </w:tcPr>
          <w:p>
            <w:pPr>
              <w:spacing w:after="0"/>
              <w:rPr>
                <w:sz w:val="19"/>
                <w:szCs w:val="19"/>
                <w:color w:val="auto"/>
              </w:rPr>
            </w:pPr>
          </w:p>
        </w:tc>
        <w:tc>
          <w:tcPr>
            <w:tcW w:w="416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60" w:type="dxa"/>
            <w:vAlign w:val="bottom"/>
            <w:gridSpan w:val="11"/>
          </w:tcPr>
          <w:p>
            <w:pPr>
              <w:spacing w:after="0"/>
              <w:rPr>
                <w:sz w:val="20"/>
                <w:szCs w:val="20"/>
                <w:color w:val="auto"/>
              </w:rPr>
            </w:pPr>
            <w:r>
              <w:rPr>
                <w:rFonts w:ascii="Arial" w:cs="Arial" w:eastAsia="Arial" w:hAnsi="Arial"/>
                <w:sz w:val="18"/>
                <w:szCs w:val="18"/>
                <w:color w:val="auto"/>
              </w:rPr>
              <w:t>Document</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0" w:type="dxa"/>
            <w:vAlign w:val="bottom"/>
            <w:gridSpan w:val="2"/>
          </w:tcPr>
          <w:p>
            <w:pPr>
              <w:spacing w:after="0"/>
              <w:rPr>
                <w:sz w:val="20"/>
                <w:szCs w:val="20"/>
                <w:color w:val="auto"/>
              </w:rPr>
            </w:pPr>
            <w:r>
              <w:rPr>
                <w:rFonts w:ascii="Arial" w:cs="Arial" w:eastAsia="Arial" w:hAnsi="Arial"/>
                <w:sz w:val="18"/>
                <w:szCs w:val="18"/>
                <w:color w:val="auto"/>
                <w:w w:val="95"/>
              </w:rPr>
              <w:t>101.DEF</w:t>
            </w:r>
          </w:p>
        </w:tc>
        <w:tc>
          <w:tcPr>
            <w:tcW w:w="160" w:type="dxa"/>
            <w:vAlign w:val="bottom"/>
          </w:tcPr>
          <w:p>
            <w:pPr>
              <w:spacing w:after="0"/>
              <w:rPr>
                <w:sz w:val="19"/>
                <w:szCs w:val="19"/>
                <w:color w:val="auto"/>
              </w:rPr>
            </w:pPr>
          </w:p>
        </w:tc>
        <w:tc>
          <w:tcPr>
            <w:tcW w:w="416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60" w:type="dxa"/>
            <w:vAlign w:val="bottom"/>
            <w:gridSpan w:val="11"/>
          </w:tcPr>
          <w:p>
            <w:pPr>
              <w:spacing w:after="0"/>
              <w:rPr>
                <w:sz w:val="20"/>
                <w:szCs w:val="20"/>
                <w:color w:val="auto"/>
              </w:rPr>
            </w:pPr>
            <w:r>
              <w:rPr>
                <w:rFonts w:ascii="Arial" w:cs="Arial" w:eastAsia="Arial" w:hAnsi="Arial"/>
                <w:sz w:val="18"/>
                <w:szCs w:val="18"/>
                <w:color w:val="auto"/>
              </w:rPr>
              <w:t>Document</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0" w:type="dxa"/>
            <w:vAlign w:val="bottom"/>
            <w:gridSpan w:val="2"/>
          </w:tcPr>
          <w:p>
            <w:pPr>
              <w:spacing w:after="0"/>
              <w:rPr>
                <w:sz w:val="20"/>
                <w:szCs w:val="20"/>
                <w:color w:val="auto"/>
              </w:rPr>
            </w:pPr>
            <w:r>
              <w:rPr>
                <w:rFonts w:ascii="Arial" w:cs="Arial" w:eastAsia="Arial" w:hAnsi="Arial"/>
                <w:sz w:val="18"/>
                <w:szCs w:val="18"/>
                <w:color w:val="auto"/>
                <w:w w:val="98"/>
              </w:rPr>
              <w:t>101.LAB</w:t>
            </w:r>
          </w:p>
        </w:tc>
        <w:tc>
          <w:tcPr>
            <w:tcW w:w="160" w:type="dxa"/>
            <w:vAlign w:val="bottom"/>
          </w:tcPr>
          <w:p>
            <w:pPr>
              <w:spacing w:after="0"/>
              <w:rPr>
                <w:sz w:val="19"/>
                <w:szCs w:val="19"/>
                <w:color w:val="auto"/>
              </w:rPr>
            </w:pPr>
          </w:p>
        </w:tc>
        <w:tc>
          <w:tcPr>
            <w:tcW w:w="416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60" w:type="dxa"/>
            <w:vAlign w:val="bottom"/>
            <w:gridSpan w:val="11"/>
          </w:tcPr>
          <w:p>
            <w:pPr>
              <w:spacing w:after="0"/>
              <w:rPr>
                <w:sz w:val="20"/>
                <w:szCs w:val="20"/>
                <w:color w:val="auto"/>
              </w:rPr>
            </w:pPr>
            <w:r>
              <w:rPr>
                <w:rFonts w:ascii="Arial" w:cs="Arial" w:eastAsia="Arial" w:hAnsi="Arial"/>
                <w:sz w:val="18"/>
                <w:szCs w:val="18"/>
                <w:color w:val="auto"/>
              </w:rPr>
              <w:t>Document</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0" w:type="dxa"/>
            <w:vAlign w:val="bottom"/>
            <w:gridSpan w:val="2"/>
          </w:tcPr>
          <w:p>
            <w:pPr>
              <w:spacing w:after="0"/>
              <w:rPr>
                <w:sz w:val="20"/>
                <w:szCs w:val="20"/>
                <w:color w:val="auto"/>
              </w:rPr>
            </w:pPr>
            <w:r>
              <w:rPr>
                <w:rFonts w:ascii="Arial" w:cs="Arial" w:eastAsia="Arial" w:hAnsi="Arial"/>
                <w:sz w:val="18"/>
                <w:szCs w:val="18"/>
                <w:color w:val="auto"/>
                <w:w w:val="94"/>
              </w:rPr>
              <w:t>101.PRE</w:t>
            </w:r>
          </w:p>
        </w:tc>
        <w:tc>
          <w:tcPr>
            <w:tcW w:w="160" w:type="dxa"/>
            <w:vAlign w:val="bottom"/>
          </w:tcPr>
          <w:p>
            <w:pPr>
              <w:spacing w:after="0"/>
              <w:rPr>
                <w:sz w:val="19"/>
                <w:szCs w:val="19"/>
                <w:color w:val="auto"/>
              </w:rPr>
            </w:pPr>
          </w:p>
        </w:tc>
        <w:tc>
          <w:tcPr>
            <w:tcW w:w="416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60" w:type="dxa"/>
            <w:vAlign w:val="bottom"/>
            <w:gridSpan w:val="11"/>
          </w:tcPr>
          <w:p>
            <w:pPr>
              <w:spacing w:after="0"/>
              <w:rPr>
                <w:sz w:val="20"/>
                <w:szCs w:val="20"/>
                <w:color w:val="auto"/>
              </w:rPr>
            </w:pPr>
            <w:r>
              <w:rPr>
                <w:rFonts w:ascii="Arial" w:cs="Arial" w:eastAsia="Arial" w:hAnsi="Arial"/>
                <w:sz w:val="18"/>
                <w:szCs w:val="18"/>
                <w:color w:val="auto"/>
              </w:rPr>
              <w:t>Document</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44081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 or arrangement.</w:t>
      </w:r>
    </w:p>
    <w:p>
      <w:pPr>
        <w:spacing w:after="0" w:line="77" w:lineRule="exact"/>
        <w:rPr>
          <w:sz w:val="20"/>
          <w:szCs w:val="20"/>
          <w:color w:val="auto"/>
        </w:rPr>
      </w:pPr>
    </w:p>
    <w:p>
      <w:pPr>
        <w:ind w:left="200" w:right="160" w:hanging="197"/>
        <w:spacing w:after="0" w:line="235" w:lineRule="auto"/>
        <w:tabs>
          <w:tab w:leader="none" w:pos="2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Confidential treatment requested as to portions of the exhibit. Confidential materials omitted and filed separately with the Securities and Exchange Commission.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77" w:lineRule="exact"/>
        <w:rPr>
          <w:sz w:val="20"/>
          <w:szCs w:val="20"/>
          <w:color w:val="auto"/>
        </w:rPr>
      </w:pPr>
    </w:p>
    <w:p>
      <w:pPr>
        <w:ind w:left="200" w:right="100" w:hanging="197"/>
        <w:spacing w:after="0" w:line="219" w:lineRule="auto"/>
        <w:tabs>
          <w:tab w:leader="none" w:pos="2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be furnished with this Annual Report on Form 10-K and will not be deemed to be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118" w:lineRule="exact"/>
        <w:rPr>
          <w:sz w:val="20"/>
          <w:szCs w:val="20"/>
          <w:color w:val="auto"/>
        </w:rPr>
      </w:pPr>
    </w:p>
    <w:p>
      <w:pPr>
        <w:jc w:val="center"/>
        <w:ind w:right="6720"/>
        <w:spacing w:after="0"/>
        <w:rPr>
          <w:sz w:val="20"/>
          <w:szCs w:val="20"/>
          <w:color w:val="auto"/>
        </w:rPr>
      </w:pPr>
      <w:r>
        <w:rPr>
          <w:rFonts w:ascii="Arial" w:cs="Arial" w:eastAsia="Arial" w:hAnsi="Arial"/>
          <w:sz w:val="16"/>
          <w:szCs w:val="16"/>
          <w:b w:val="1"/>
          <w:bCs w:val="1"/>
          <w:color w:val="auto"/>
        </w:rPr>
        <w:t>Item 16. Form 10-K Summary.</w:t>
      </w:r>
    </w:p>
    <w:p>
      <w:pPr>
        <w:spacing w:after="0" w:line="104" w:lineRule="exact"/>
        <w:rPr>
          <w:sz w:val="20"/>
          <w:szCs w:val="20"/>
          <w:color w:val="auto"/>
        </w:rPr>
      </w:pPr>
    </w:p>
    <w:p>
      <w:pPr>
        <w:jc w:val="center"/>
        <w:ind w:right="6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11" w:right="1379" w:bottom="1440" w:gutter="0" w:footer="0" w:header="0"/>
        </w:sectPr>
      </w:pPr>
    </w:p>
    <w:bookmarkStart w:id="110" w:name="page111"/>
    <w:bookmarkEnd w:id="1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139" w:firstLine="648"/>
        <w:spacing w:after="0" w:line="23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BLUEPRINT MEDICINES CORPORATION</w:t>
      </w:r>
    </w:p>
    <w:p>
      <w:pPr>
        <w:spacing w:after="0" w:line="216" w:lineRule="exact"/>
        <w:rPr>
          <w:sz w:val="20"/>
          <w:szCs w:val="20"/>
          <w:color w:val="auto"/>
        </w:rPr>
      </w:pPr>
    </w:p>
    <w:p>
      <w:pPr>
        <w:spacing w:after="0"/>
        <w:tabs>
          <w:tab w:leader="none" w:pos="4860" w:val="left"/>
          <w:tab w:leader="none" w:pos="5380" w:val="left"/>
        </w:tabs>
        <w:rPr>
          <w:sz w:val="20"/>
          <w:szCs w:val="20"/>
          <w:color w:val="auto"/>
        </w:rPr>
      </w:pPr>
      <w:r>
        <w:rPr>
          <w:rFonts w:ascii="Arial" w:cs="Arial" w:eastAsia="Arial" w:hAnsi="Arial"/>
          <w:sz w:val="18"/>
          <w:szCs w:val="18"/>
          <w:color w:val="auto"/>
        </w:rPr>
        <w:t>Date: February 21,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3432175</wp:posOffset>
            </wp:positionH>
            <wp:positionV relativeFrom="paragraph">
              <wp:posOffset>6350</wp:posOffset>
            </wp:positionV>
            <wp:extent cx="23241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4">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4"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Jeffrey W. Albers</w:t>
      </w:r>
    </w:p>
    <w:p>
      <w:pPr>
        <w:ind w:left="54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344" w:lineRule="exact"/>
        <w:rPr>
          <w:sz w:val="20"/>
          <w:szCs w:val="20"/>
          <w:color w:val="auto"/>
        </w:rPr>
      </w:pPr>
    </w:p>
    <w:p>
      <w:pPr>
        <w:ind w:right="459"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7"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324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Signature</w:t>
            </w:r>
          </w:p>
        </w:tc>
        <w:tc>
          <w:tcPr>
            <w:tcW w:w="160" w:type="dxa"/>
            <w:vAlign w:val="bottom"/>
          </w:tcPr>
          <w:p>
            <w:pPr>
              <w:spacing w:after="0"/>
              <w:rPr>
                <w:sz w:val="14"/>
                <w:szCs w:val="14"/>
                <w:color w:val="auto"/>
              </w:rPr>
            </w:pPr>
          </w:p>
        </w:tc>
        <w:tc>
          <w:tcPr>
            <w:tcW w:w="358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318"/>
        </w:trPr>
        <w:tc>
          <w:tcPr>
            <w:tcW w:w="3240" w:type="dxa"/>
            <w:vAlign w:val="bottom"/>
          </w:tcPr>
          <w:p>
            <w:pPr>
              <w:spacing w:after="0"/>
              <w:rPr>
                <w:sz w:val="20"/>
                <w:szCs w:val="20"/>
                <w:color w:val="auto"/>
              </w:rPr>
            </w:pPr>
            <w:r>
              <w:rPr>
                <w:rFonts w:ascii="Arial" w:cs="Arial" w:eastAsia="Arial" w:hAnsi="Arial"/>
                <w:sz w:val="18"/>
                <w:szCs w:val="18"/>
                <w:color w:val="auto"/>
              </w:rPr>
              <w:t>/s/ Jeffrey W. Albers</w:t>
            </w: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w w:val="95"/>
              </w:rPr>
              <w:t>President, Chief Executive Officer and Director</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February 21, 2018</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3740" w:type="dxa"/>
            <w:vAlign w:val="bottom"/>
            <w:gridSpan w:val="2"/>
            <w:vMerge w:val="restart"/>
          </w:tcPr>
          <w:p>
            <w:pPr>
              <w:ind w:left="160"/>
              <w:spacing w:after="0"/>
              <w:rPr>
                <w:sz w:val="20"/>
                <w:szCs w:val="20"/>
                <w:color w:val="auto"/>
              </w:rPr>
            </w:pPr>
            <w:r>
              <w:rPr>
                <w:rFonts w:ascii="Arial" w:cs="Arial" w:eastAsia="Arial" w:hAnsi="Arial"/>
                <w:sz w:val="18"/>
                <w:szCs w:val="18"/>
                <w:i w:val="1"/>
                <w:iCs w:val="1"/>
                <w:color w:val="auto"/>
              </w:rPr>
              <w:t>(Principal Executive Officer)</w:t>
            </w: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8"/>
                <w:szCs w:val="18"/>
                <w:color w:val="auto"/>
              </w:rPr>
              <w:t>Jeffrey W. Albers</w:t>
            </w:r>
          </w:p>
        </w:tc>
        <w:tc>
          <w:tcPr>
            <w:tcW w:w="37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3240" w:type="dxa"/>
            <w:vAlign w:val="bottom"/>
          </w:tcPr>
          <w:p>
            <w:pPr>
              <w:spacing w:after="0"/>
              <w:rPr>
                <w:sz w:val="20"/>
                <w:szCs w:val="20"/>
                <w:color w:val="auto"/>
              </w:rPr>
            </w:pPr>
            <w:r>
              <w:rPr>
                <w:rFonts w:ascii="Arial" w:cs="Arial" w:eastAsia="Arial" w:hAnsi="Arial"/>
                <w:sz w:val="18"/>
                <w:szCs w:val="18"/>
                <w:color w:val="auto"/>
              </w:rPr>
              <w:t>/s/ Michael Landsittel</w:t>
            </w: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Vice President of Finance</w:t>
            </w:r>
          </w:p>
        </w:tc>
        <w:tc>
          <w:tcPr>
            <w:tcW w:w="16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February 21, 2018</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3740" w:type="dxa"/>
            <w:vAlign w:val="bottom"/>
            <w:gridSpan w:val="2"/>
            <w:vMerge w:val="restart"/>
          </w:tcPr>
          <w:p>
            <w:pPr>
              <w:ind w:left="160"/>
              <w:spacing w:after="0"/>
              <w:rPr>
                <w:sz w:val="20"/>
                <w:szCs w:val="20"/>
                <w:color w:val="auto"/>
              </w:rPr>
            </w:pPr>
            <w:r>
              <w:rPr>
                <w:rFonts w:ascii="Arial" w:cs="Arial" w:eastAsia="Arial" w:hAnsi="Arial"/>
                <w:sz w:val="18"/>
                <w:szCs w:val="18"/>
                <w:i w:val="1"/>
                <w:iCs w:val="1"/>
                <w:color w:val="auto"/>
              </w:rPr>
              <w:t>(Principal Financial and Accounting Officer)</w:t>
            </w: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8"/>
                <w:szCs w:val="18"/>
                <w:color w:val="auto"/>
              </w:rPr>
              <w:t>Michael Landsittel</w:t>
            </w:r>
          </w:p>
        </w:tc>
        <w:tc>
          <w:tcPr>
            <w:tcW w:w="37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 Lynch</w:t>
            </w: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Chairman of the Board</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February 21, 2018</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8"/>
                <w:szCs w:val="18"/>
                <w:color w:val="auto"/>
              </w:rPr>
              <w:t>Daniel S. Lynch</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Nicholas Lydon</w:t>
            </w: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February 21, 2018</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8"/>
                <w:szCs w:val="18"/>
                <w:color w:val="auto"/>
              </w:rPr>
              <w:t>Nicholas Lydon, Ph.D.</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Alexis Borisy</w:t>
            </w: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February 21, 2018</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8"/>
                <w:szCs w:val="18"/>
                <w:color w:val="auto"/>
              </w:rPr>
              <w:t>Alexis Borisy</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Goldberg</w:t>
            </w: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February 21, 2018</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8"/>
                <w:szCs w:val="18"/>
                <w:color w:val="auto"/>
              </w:rPr>
              <w:t>Mark Goldberg, M.D.</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A. Rowland, Jr.</w:t>
            </w: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February 21, 2018</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8"/>
                <w:szCs w:val="18"/>
                <w:color w:val="auto"/>
              </w:rPr>
              <w:t>Charles A. Rowland, Jr.</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Demetri</w:t>
            </w: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February 21, 2018</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8"/>
                <w:szCs w:val="18"/>
                <w:color w:val="auto"/>
              </w:rPr>
              <w:t>George Demetri, M.D.</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Lonnel Coats</w:t>
            </w: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February 21, 2018</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8"/>
                <w:szCs w:val="18"/>
                <w:color w:val="auto"/>
              </w:rPr>
              <w:t>Lonnel Coats</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Lynn Seely</w:t>
            </w: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February 21, 2018</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8"/>
                <w:szCs w:val="18"/>
                <w:color w:val="auto"/>
              </w:rPr>
              <w:t>Lynn Seely, M.D.</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07"/>
        </w:trPr>
        <w:tc>
          <w:tcPr>
            <w:tcW w:w="7700" w:type="dxa"/>
            <w:vAlign w:val="bottom"/>
            <w:gridSpan w:val="8"/>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80" w:type="dxa"/>
            <w:vAlign w:val="bottom"/>
            <w:tcBorders>
              <w:top w:val="single" w:sz="8" w:color="0563C1"/>
            </w:tcBorders>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40" w:type="dxa"/>
            <w:vAlign w:val="bottom"/>
            <w:gridSpan w:val="4"/>
          </w:tcPr>
          <w:p>
            <w:pPr>
              <w:jc w:val="center"/>
              <w:ind w:right="1800"/>
              <w:spacing w:after="0"/>
              <w:rPr>
                <w:sz w:val="20"/>
                <w:szCs w:val="20"/>
                <w:color w:val="auto"/>
              </w:rPr>
            </w:pPr>
            <w:r>
              <w:rPr>
                <w:rFonts w:ascii="Arial" w:cs="Arial" w:eastAsia="Arial" w:hAnsi="Arial"/>
                <w:sz w:val="18"/>
                <w:szCs w:val="18"/>
                <w:b w:val="1"/>
                <w:bCs w:val="1"/>
                <w:color w:val="auto"/>
                <w:w w:val="92"/>
              </w:rPr>
              <w:t>Blueprint Medicines Corporation</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0" w:type="dxa"/>
            <w:vAlign w:val="bottom"/>
            <w:gridSpan w:val="6"/>
          </w:tcPr>
          <w:p>
            <w:pPr>
              <w:jc w:val="center"/>
              <w:ind w:right="740"/>
              <w:spacing w:after="0"/>
              <w:rPr>
                <w:sz w:val="20"/>
                <w:szCs w:val="20"/>
                <w:color w:val="auto"/>
              </w:rPr>
            </w:pPr>
            <w:r>
              <w:rPr>
                <w:rFonts w:ascii="Arial" w:cs="Arial" w:eastAsia="Arial" w:hAnsi="Arial"/>
                <w:sz w:val="18"/>
                <w:szCs w:val="18"/>
                <w:b w:val="1"/>
                <w:bCs w:val="1"/>
                <w:color w:val="auto"/>
                <w:w w:val="89"/>
              </w:rPr>
              <w:t>Index to Consolidated Financial Statements</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700" w:type="dxa"/>
            <w:vAlign w:val="bottom"/>
            <w:gridSpan w:val="8"/>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Report of Independent Registered Public Accounting Firm</w:t>
              </w:r>
            </w:hyperlink>
          </w:p>
        </w:tc>
        <w:tc>
          <w:tcPr>
            <w:tcW w:w="1360" w:type="dxa"/>
            <w:vAlign w:val="bottom"/>
          </w:tcPr>
          <w:p>
            <w:pPr>
              <w:ind w:left="1120"/>
              <w:spacing w:after="0"/>
              <w:rPr>
                <w:sz w:val="20"/>
                <w:szCs w:val="20"/>
                <w:color w:val="auto"/>
              </w:rPr>
            </w:pPr>
            <w:r>
              <w:rPr>
                <w:rFonts w:ascii="Arial" w:cs="Arial" w:eastAsia="Arial" w:hAnsi="Arial"/>
                <w:sz w:val="18"/>
                <w:szCs w:val="18"/>
                <w:color w:val="auto"/>
                <w:w w:val="81"/>
              </w:rPr>
              <w:t>F-2</w:t>
            </w:r>
          </w:p>
        </w:tc>
        <w:tc>
          <w:tcPr>
            <w:tcW w:w="0" w:type="dxa"/>
            <w:vAlign w:val="bottom"/>
          </w:tcPr>
          <w:p>
            <w:pPr>
              <w:spacing w:after="0"/>
              <w:rPr>
                <w:sz w:val="1"/>
                <w:szCs w:val="1"/>
                <w:color w:val="auto"/>
              </w:rPr>
            </w:pPr>
          </w:p>
        </w:tc>
      </w:tr>
      <w:tr>
        <w:trPr>
          <w:trHeight w:val="156"/>
        </w:trPr>
        <w:tc>
          <w:tcPr>
            <w:tcW w:w="4220" w:type="dxa"/>
            <w:vAlign w:val="bottom"/>
            <w:tcBorders>
              <w:top w:val="single" w:sz="8" w:color="0000EE"/>
            </w:tcBorders>
            <w:gridSpan w:val="5"/>
          </w:tcPr>
          <w:p>
            <w:pPr>
              <w:spacing w:after="0" w:line="156" w:lineRule="exact"/>
              <w:rPr>
                <w:rFonts w:ascii="Arial" w:cs="Arial" w:eastAsia="Arial" w:hAnsi="Arial"/>
                <w:sz w:val="18"/>
                <w:szCs w:val="18"/>
                <w:color w:val="0000EE"/>
              </w:rPr>
            </w:pPr>
            <w:hyperlink w:anchor="page114">
              <w:r>
                <w:rPr>
                  <w:rFonts w:ascii="Arial" w:cs="Arial" w:eastAsia="Arial" w:hAnsi="Arial"/>
                  <w:sz w:val="18"/>
                  <w:szCs w:val="18"/>
                  <w:color w:val="0000EE"/>
                </w:rPr>
                <w:t>Consolidated Balance Sheets</w:t>
              </w:r>
            </w:hyperlink>
          </w:p>
        </w:tc>
        <w:tc>
          <w:tcPr>
            <w:tcW w:w="4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60" w:type="dxa"/>
            <w:vAlign w:val="bottom"/>
          </w:tcPr>
          <w:p>
            <w:pPr>
              <w:ind w:left="1120"/>
              <w:spacing w:after="0" w:line="156" w:lineRule="exact"/>
              <w:rPr>
                <w:sz w:val="20"/>
                <w:szCs w:val="20"/>
                <w:color w:val="auto"/>
              </w:rPr>
            </w:pPr>
            <w:r>
              <w:rPr>
                <w:rFonts w:ascii="Arial" w:cs="Arial" w:eastAsia="Arial" w:hAnsi="Arial"/>
                <w:sz w:val="18"/>
                <w:szCs w:val="18"/>
                <w:color w:val="auto"/>
                <w:w w:val="81"/>
              </w:rPr>
              <w:t>F-3</w:t>
            </w:r>
          </w:p>
        </w:tc>
        <w:tc>
          <w:tcPr>
            <w:tcW w:w="0" w:type="dxa"/>
            <w:vAlign w:val="bottom"/>
          </w:tcPr>
          <w:p>
            <w:pPr>
              <w:spacing w:after="0"/>
              <w:rPr>
                <w:sz w:val="1"/>
                <w:szCs w:val="1"/>
                <w:color w:val="auto"/>
              </w:rPr>
            </w:pPr>
          </w:p>
        </w:tc>
      </w:tr>
      <w:tr>
        <w:trPr>
          <w:trHeight w:val="156"/>
        </w:trPr>
        <w:tc>
          <w:tcPr>
            <w:tcW w:w="2100" w:type="dxa"/>
            <w:vAlign w:val="bottom"/>
            <w:tcBorders>
              <w:top w:val="single" w:sz="8" w:color="0000EE"/>
            </w:tcBorders>
            <w:gridSpan w:val="2"/>
          </w:tcPr>
          <w:p>
            <w:pPr>
              <w:spacing w:after="0" w:line="156" w:lineRule="exact"/>
              <w:rPr>
                <w:rFonts w:ascii="Arial" w:cs="Arial" w:eastAsia="Arial" w:hAnsi="Arial"/>
                <w:sz w:val="18"/>
                <w:szCs w:val="18"/>
                <w:color w:val="0000EE"/>
                <w:w w:val="94"/>
              </w:rPr>
            </w:pPr>
            <w:hyperlink w:anchor="page115">
              <w:r>
                <w:rPr>
                  <w:rFonts w:ascii="Arial" w:cs="Arial" w:eastAsia="Arial" w:hAnsi="Arial"/>
                  <w:sz w:val="18"/>
                  <w:szCs w:val="18"/>
                  <w:color w:val="0000EE"/>
                  <w:w w:val="94"/>
                </w:rPr>
                <w:t>Consolidated Statements of</w:t>
              </w:r>
            </w:hyperlink>
          </w:p>
        </w:tc>
        <w:tc>
          <w:tcPr>
            <w:tcW w:w="5600" w:type="dxa"/>
            <w:vAlign w:val="bottom"/>
            <w:gridSpan w:val="6"/>
          </w:tcPr>
          <w:p>
            <w:pPr>
              <w:spacing w:after="0" w:line="156" w:lineRule="exact"/>
              <w:rPr>
                <w:rFonts w:ascii="Arial" w:cs="Arial" w:eastAsia="Arial" w:hAnsi="Arial"/>
                <w:sz w:val="18"/>
                <w:szCs w:val="18"/>
                <w:color w:val="0000EE"/>
              </w:rPr>
            </w:pPr>
            <w:hyperlink w:anchor="page115">
              <w:r>
                <w:rPr>
                  <w:rFonts w:ascii="Arial" w:cs="Arial" w:eastAsia="Arial" w:hAnsi="Arial"/>
                  <w:sz w:val="18"/>
                  <w:szCs w:val="18"/>
                  <w:color w:val="0000EE"/>
                </w:rPr>
                <w:t>Operations and Comprehensive Loss</w:t>
              </w:r>
            </w:hyperlink>
          </w:p>
        </w:tc>
        <w:tc>
          <w:tcPr>
            <w:tcW w:w="1360" w:type="dxa"/>
            <w:vAlign w:val="bottom"/>
          </w:tcPr>
          <w:p>
            <w:pPr>
              <w:ind w:left="1120"/>
              <w:spacing w:after="0" w:line="156" w:lineRule="exact"/>
              <w:rPr>
                <w:sz w:val="20"/>
                <w:szCs w:val="20"/>
                <w:color w:val="auto"/>
              </w:rPr>
            </w:pPr>
            <w:r>
              <w:rPr>
                <w:rFonts w:ascii="Arial" w:cs="Arial" w:eastAsia="Arial" w:hAnsi="Arial"/>
                <w:sz w:val="18"/>
                <w:szCs w:val="18"/>
                <w:color w:val="auto"/>
                <w:w w:val="81"/>
              </w:rPr>
              <w:t>F-4</w:t>
            </w:r>
          </w:p>
        </w:tc>
        <w:tc>
          <w:tcPr>
            <w:tcW w:w="0" w:type="dxa"/>
            <w:vAlign w:val="bottom"/>
          </w:tcPr>
          <w:p>
            <w:pPr>
              <w:spacing w:after="0"/>
              <w:rPr>
                <w:sz w:val="1"/>
                <w:szCs w:val="1"/>
                <w:color w:val="auto"/>
              </w:rPr>
            </w:pP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vMerge w:val="restart"/>
          </w:tcPr>
          <w:p>
            <w:pPr>
              <w:ind w:left="1120"/>
              <w:spacing w:after="0" w:line="176" w:lineRule="exact"/>
              <w:rPr>
                <w:sz w:val="20"/>
                <w:szCs w:val="20"/>
                <w:color w:val="auto"/>
              </w:rPr>
            </w:pPr>
            <w:r>
              <w:rPr>
                <w:rFonts w:ascii="Arial" w:cs="Arial" w:eastAsia="Arial" w:hAnsi="Arial"/>
                <w:sz w:val="18"/>
                <w:szCs w:val="18"/>
                <w:color w:val="auto"/>
                <w:w w:val="81"/>
              </w:rPr>
              <w:t>F-5</w:t>
            </w:r>
          </w:p>
        </w:tc>
        <w:tc>
          <w:tcPr>
            <w:tcW w:w="0" w:type="dxa"/>
            <w:vAlign w:val="bottom"/>
          </w:tcPr>
          <w:p>
            <w:pPr>
              <w:spacing w:after="0" w:line="20" w:lineRule="exact"/>
              <w:rPr>
                <w:sz w:val="1"/>
                <w:szCs w:val="1"/>
                <w:color w:val="auto"/>
              </w:rPr>
            </w:pPr>
          </w:p>
        </w:tc>
      </w:tr>
      <w:tr>
        <w:trPr>
          <w:trHeight w:val="156"/>
        </w:trPr>
        <w:tc>
          <w:tcPr>
            <w:tcW w:w="7700" w:type="dxa"/>
            <w:vAlign w:val="bottom"/>
            <w:gridSpan w:val="8"/>
          </w:tcPr>
          <w:p>
            <w:pPr>
              <w:spacing w:after="0" w:line="156" w:lineRule="exact"/>
              <w:rPr>
                <w:rFonts w:ascii="Arial" w:cs="Arial" w:eastAsia="Arial" w:hAnsi="Arial"/>
                <w:sz w:val="18"/>
                <w:szCs w:val="18"/>
                <w:color w:val="0000EE"/>
              </w:rPr>
            </w:pPr>
            <w:hyperlink w:anchor="page116">
              <w:r>
                <w:rPr>
                  <w:rFonts w:ascii="Arial" w:cs="Arial" w:eastAsia="Arial" w:hAnsi="Arial"/>
                  <w:sz w:val="18"/>
                  <w:szCs w:val="18"/>
                  <w:color w:val="0000EE"/>
                </w:rPr>
                <w:t>Consolidated Statements of Convertible Preferred Stock and Stockholders’ (Deficit) Equity</w:t>
              </w:r>
            </w:hyperlink>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80" w:type="dxa"/>
            <w:vAlign w:val="bottom"/>
            <w:tcBorders>
              <w:top w:val="single" w:sz="8" w:color="0000EE"/>
              <w:bottom w:val="single" w:sz="8" w:color="0000EE"/>
            </w:tcBorders>
            <w:gridSpan w:val="3"/>
          </w:tcPr>
          <w:p>
            <w:pPr>
              <w:spacing w:after="0" w:line="156" w:lineRule="exact"/>
              <w:rPr>
                <w:rFonts w:ascii="Arial" w:cs="Arial" w:eastAsia="Arial" w:hAnsi="Arial"/>
                <w:sz w:val="18"/>
                <w:szCs w:val="18"/>
                <w:color w:val="0000EE"/>
                <w:w w:val="89"/>
              </w:rPr>
            </w:pPr>
            <w:hyperlink w:anchor="page117">
              <w:r>
                <w:rPr>
                  <w:rFonts w:ascii="Arial" w:cs="Arial" w:eastAsia="Arial" w:hAnsi="Arial"/>
                  <w:sz w:val="18"/>
                  <w:szCs w:val="18"/>
                  <w:color w:val="0000EE"/>
                  <w:w w:val="89"/>
                </w:rPr>
                <w:t>Consolidated Statements of Cash Flows</w:t>
              </w:r>
            </w:hyperlink>
          </w:p>
        </w:tc>
        <w:tc>
          <w:tcPr>
            <w:tcW w:w="3700" w:type="dxa"/>
            <w:vAlign w:val="bottom"/>
            <w:tcBorders>
              <w:top w:val="single" w:sz="8" w:color="0000EE"/>
            </w:tcBorders>
            <w:gridSpan w:val="4"/>
          </w:tcPr>
          <w:p>
            <w:pPr>
              <w:spacing w:after="0"/>
              <w:rPr>
                <w:sz w:val="13"/>
                <w:szCs w:val="13"/>
                <w:color w:val="auto"/>
              </w:rPr>
            </w:pPr>
          </w:p>
        </w:tc>
        <w:tc>
          <w:tcPr>
            <w:tcW w:w="1120" w:type="dxa"/>
            <w:vAlign w:val="bottom"/>
          </w:tcPr>
          <w:p>
            <w:pPr>
              <w:spacing w:after="0"/>
              <w:rPr>
                <w:sz w:val="13"/>
                <w:szCs w:val="13"/>
                <w:color w:val="auto"/>
              </w:rPr>
            </w:pPr>
          </w:p>
        </w:tc>
        <w:tc>
          <w:tcPr>
            <w:tcW w:w="1360" w:type="dxa"/>
            <w:vAlign w:val="bottom"/>
          </w:tcPr>
          <w:p>
            <w:pPr>
              <w:ind w:left="1120"/>
              <w:spacing w:after="0" w:line="156" w:lineRule="exact"/>
              <w:rPr>
                <w:sz w:val="20"/>
                <w:szCs w:val="20"/>
                <w:color w:val="auto"/>
              </w:rPr>
            </w:pPr>
            <w:r>
              <w:rPr>
                <w:rFonts w:ascii="Arial" w:cs="Arial" w:eastAsia="Arial" w:hAnsi="Arial"/>
                <w:sz w:val="18"/>
                <w:szCs w:val="18"/>
                <w:color w:val="auto"/>
                <w:w w:val="81"/>
              </w:rPr>
              <w:t>F-6</w:t>
            </w:r>
          </w:p>
        </w:tc>
        <w:tc>
          <w:tcPr>
            <w:tcW w:w="0" w:type="dxa"/>
            <w:vAlign w:val="bottom"/>
          </w:tcPr>
          <w:p>
            <w:pPr>
              <w:spacing w:after="0"/>
              <w:rPr>
                <w:sz w:val="1"/>
                <w:szCs w:val="1"/>
                <w:color w:val="auto"/>
              </w:rPr>
            </w:pPr>
          </w:p>
        </w:tc>
      </w:tr>
      <w:tr>
        <w:trPr>
          <w:trHeight w:val="156"/>
        </w:trPr>
        <w:tc>
          <w:tcPr>
            <w:tcW w:w="7700" w:type="dxa"/>
            <w:vAlign w:val="bottom"/>
            <w:gridSpan w:val="8"/>
          </w:tcPr>
          <w:p>
            <w:pPr>
              <w:spacing w:after="0" w:line="156" w:lineRule="exact"/>
              <w:rPr>
                <w:rFonts w:ascii="Arial" w:cs="Arial" w:eastAsia="Arial" w:hAnsi="Arial"/>
                <w:sz w:val="18"/>
                <w:szCs w:val="18"/>
                <w:color w:val="0000EE"/>
              </w:rPr>
            </w:pPr>
            <w:hyperlink w:anchor="page118">
              <w:r>
                <w:rPr>
                  <w:rFonts w:ascii="Arial" w:cs="Arial" w:eastAsia="Arial" w:hAnsi="Arial"/>
                  <w:sz w:val="18"/>
                  <w:szCs w:val="18"/>
                  <w:color w:val="0000EE"/>
                </w:rPr>
                <w:t>Notes to Consolidated Financial Statements</w:t>
              </w:r>
            </w:hyperlink>
          </w:p>
        </w:tc>
        <w:tc>
          <w:tcPr>
            <w:tcW w:w="1360" w:type="dxa"/>
            <w:vAlign w:val="bottom"/>
          </w:tcPr>
          <w:p>
            <w:pPr>
              <w:ind w:left="1120"/>
              <w:spacing w:after="0" w:line="156" w:lineRule="exact"/>
              <w:rPr>
                <w:sz w:val="20"/>
                <w:szCs w:val="20"/>
                <w:color w:val="auto"/>
              </w:rPr>
            </w:pPr>
            <w:r>
              <w:rPr>
                <w:rFonts w:ascii="Arial" w:cs="Arial" w:eastAsia="Arial" w:hAnsi="Arial"/>
                <w:sz w:val="18"/>
                <w:szCs w:val="18"/>
                <w:color w:val="auto"/>
                <w:w w:val="81"/>
              </w:rPr>
              <w:t>F-7</w:t>
            </w:r>
          </w:p>
        </w:tc>
        <w:tc>
          <w:tcPr>
            <w:tcW w:w="0" w:type="dxa"/>
            <w:vAlign w:val="bottom"/>
          </w:tcPr>
          <w:p>
            <w:pPr>
              <w:spacing w:after="0"/>
              <w:rPr>
                <w:sz w:val="1"/>
                <w:szCs w:val="1"/>
                <w:color w:val="auto"/>
              </w:rPr>
            </w:pPr>
          </w:p>
        </w:tc>
      </w:tr>
      <w:tr>
        <w:trPr>
          <w:trHeight w:val="601"/>
        </w:trPr>
        <w:tc>
          <w:tcPr>
            <w:tcW w:w="128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3480" w:type="dxa"/>
            <w:vAlign w:val="bottom"/>
            <w:gridSpan w:val="3"/>
          </w:tcPr>
          <w:p>
            <w:pPr>
              <w:jc w:val="center"/>
              <w:ind w:right="2860"/>
              <w:spacing w:after="0"/>
              <w:rPr>
                <w:sz w:val="20"/>
                <w:szCs w:val="20"/>
                <w:color w:val="auto"/>
              </w:rPr>
            </w:pPr>
            <w:r>
              <w:rPr>
                <w:rFonts w:ascii="Arial" w:cs="Arial" w:eastAsia="Arial" w:hAnsi="Arial"/>
                <w:sz w:val="18"/>
                <w:szCs w:val="18"/>
                <w:color w:val="auto"/>
                <w:w w:val="96"/>
              </w:rPr>
              <w:t>F-1</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2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95" w:right="1419" w:bottom="1440" w:gutter="0" w:footer="0" w:header="0"/>
        </w:sectPr>
      </w:pPr>
    </w:p>
    <w:bookmarkStart w:id="112" w:name="page113"/>
    <w:bookmarkEnd w:id="1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ind w:right="3460"/>
        <w:spacing w:after="0" w:line="454" w:lineRule="auto"/>
        <w:rPr>
          <w:sz w:val="20"/>
          <w:szCs w:val="20"/>
          <w:color w:val="auto"/>
        </w:rPr>
      </w:pPr>
      <w:r>
        <w:rPr>
          <w:rFonts w:ascii="Arial" w:cs="Arial" w:eastAsia="Arial" w:hAnsi="Arial"/>
          <w:sz w:val="18"/>
          <w:szCs w:val="18"/>
          <w:color w:val="auto"/>
        </w:rPr>
        <w:t xml:space="preserve">The Board of Directors and Stockholders of Blueprint Medicines Corporation </w:t>
      </w:r>
      <w:r>
        <w:rPr>
          <w:rFonts w:ascii="Arial" w:cs="Arial" w:eastAsia="Arial" w:hAnsi="Arial"/>
          <w:sz w:val="18"/>
          <w:szCs w:val="18"/>
          <w:b w:val="1"/>
          <w:bCs w:val="1"/>
          <w:i w:val="1"/>
          <w:iCs w:val="1"/>
          <w:color w:val="auto"/>
        </w:rPr>
        <w:t>Opinion on the Financial Statements</w:t>
      </w:r>
    </w:p>
    <w:p>
      <w:pPr>
        <w:jc w:val="both"/>
        <w:spacing w:after="0" w:line="225" w:lineRule="auto"/>
        <w:rPr>
          <w:sz w:val="20"/>
          <w:szCs w:val="20"/>
          <w:color w:val="auto"/>
        </w:rPr>
      </w:pPr>
      <w:r>
        <w:rPr>
          <w:rFonts w:ascii="Arial" w:cs="Arial" w:eastAsia="Arial" w:hAnsi="Arial"/>
          <w:sz w:val="17"/>
          <w:szCs w:val="17"/>
          <w:color w:val="auto"/>
        </w:rPr>
        <w:t>We have audited the accompanying consolidated balance sheets of Blueprint Medicines Corporation as of December 31, 2017 and 2016, the related consolidated statements of operations and comprehensive loss, convertible preferred stock and stockholders’ equity (deficit), and cash flows for each of the three years in the period ended December 31, 2017, and the related notes (collectively referred to as the “consolidated financial statements”). In our opinion, the consolidated financial statements present fairly, in all material respects, the financial position of the Company at December 31, 2017 and 2016, and the results of its operations and its cash flows for each of the three years in the period ended December 31, 2017, in conformity with U.S. generally accepted accounting principles.</w:t>
      </w:r>
    </w:p>
    <w:p>
      <w:pPr>
        <w:spacing w:after="0" w:line="162"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Company’s internal control over financial reporting as of December 31, 2017, based on criteria established in Internal Control-Integrated Framework issued by the Committee of Sponsoring Organizations of the Treadway Commission (2013 framework) and our report February 21, 2018 expressed an unqualified opinion thereon.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8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rPr>
          <w:sz w:val="20"/>
          <w:szCs w:val="20"/>
          <w:color w:val="auto"/>
        </w:rPr>
      </w:pPr>
      <w:r>
        <w:rPr>
          <w:rFonts w:ascii="Arial" w:cs="Arial" w:eastAsia="Arial" w:hAnsi="Arial"/>
          <w:sz w:val="18"/>
          <w:szCs w:val="18"/>
          <w:color w:val="auto"/>
        </w:rPr>
        <w:t>February 21, 2018</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13" w:name="page114"/>
    <w:bookmarkEnd w:id="1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jc w:val="center"/>
        <w:spacing w:after="0" w:line="203" w:lineRule="auto"/>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66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66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Assets</w:t>
            </w: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60" w:type="dxa"/>
            <w:vAlign w:val="bottom"/>
          </w:tcPr>
          <w:p>
            <w:pPr>
              <w:spacing w:after="0" w:line="135" w:lineRule="exact"/>
              <w:rPr>
                <w:sz w:val="20"/>
                <w:szCs w:val="20"/>
                <w:color w:val="auto"/>
              </w:rPr>
            </w:pPr>
            <w:r>
              <w:rPr>
                <w:rFonts w:ascii="Arial" w:cs="Arial" w:eastAsia="Arial" w:hAnsi="Arial"/>
                <w:sz w:val="14"/>
                <w:szCs w:val="14"/>
                <w:color w:val="auto"/>
              </w:rPr>
              <w:t>Current assets:</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6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Cash and cash equivalents</w:t>
            </w:r>
          </w:p>
        </w:tc>
        <w:tc>
          <w:tcPr>
            <w:tcW w:w="50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400,304</w:t>
            </w:r>
          </w:p>
        </w:tc>
        <w:tc>
          <w:tcPr>
            <w:tcW w:w="200" w:type="dxa"/>
            <w:vAlign w:val="bottom"/>
            <w:shd w:val="clear" w:color="auto" w:fill="CCEEFF"/>
          </w:tcPr>
          <w:p>
            <w:pPr>
              <w:spacing w:after="0"/>
              <w:rPr>
                <w:sz w:val="11"/>
                <w:szCs w:val="11"/>
                <w:color w:val="auto"/>
              </w:rPr>
            </w:pPr>
          </w:p>
        </w:tc>
        <w:tc>
          <w:tcPr>
            <w:tcW w:w="18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52,069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60" w:type="dxa"/>
            <w:vAlign w:val="bottom"/>
          </w:tcPr>
          <w:p>
            <w:pPr>
              <w:ind w:left="220"/>
              <w:spacing w:after="0" w:line="135" w:lineRule="exact"/>
              <w:rPr>
                <w:sz w:val="20"/>
                <w:szCs w:val="20"/>
                <w:color w:val="auto"/>
              </w:rPr>
            </w:pPr>
            <w:r>
              <w:rPr>
                <w:rFonts w:ascii="Arial" w:cs="Arial" w:eastAsia="Arial" w:hAnsi="Arial"/>
                <w:sz w:val="14"/>
                <w:szCs w:val="14"/>
                <w:color w:val="auto"/>
              </w:rPr>
              <w:t>Investments, available-for-sale</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273,052</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162,090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6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Unbilled accounts receivable</w:t>
            </w: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3,577</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60" w:type="dxa"/>
            <w:vAlign w:val="bottom"/>
            <w:tcBorders>
              <w:bottom w:val="single" w:sz="8" w:color="CCEEFF"/>
            </w:tcBorders>
          </w:tcPr>
          <w:p>
            <w:pPr>
              <w:ind w:left="220"/>
              <w:spacing w:after="0" w:line="135" w:lineRule="exact"/>
              <w:rPr>
                <w:sz w:val="20"/>
                <w:szCs w:val="20"/>
                <w:color w:val="auto"/>
              </w:rPr>
            </w:pPr>
            <w:r>
              <w:rPr>
                <w:rFonts w:ascii="Arial" w:cs="Arial" w:eastAsia="Arial" w:hAnsi="Arial"/>
                <w:sz w:val="14"/>
                <w:szCs w:val="14"/>
                <w:color w:val="auto"/>
              </w:rPr>
              <w:t>Prepaid expenses and other current assets</w:t>
            </w:r>
          </w:p>
        </w:tc>
        <w:tc>
          <w:tcPr>
            <w:tcW w:w="3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12,149</w:t>
            </w:r>
          </w:p>
        </w:tc>
        <w:tc>
          <w:tcPr>
            <w:tcW w:w="2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2,689</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66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Total current assets</w:t>
            </w: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685,505</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220,425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60" w:type="dxa"/>
            <w:vAlign w:val="bottom"/>
          </w:tcPr>
          <w:p>
            <w:pPr>
              <w:spacing w:after="0" w:line="135" w:lineRule="exact"/>
              <w:rPr>
                <w:sz w:val="20"/>
                <w:szCs w:val="20"/>
                <w:color w:val="auto"/>
              </w:rPr>
            </w:pPr>
            <w:r>
              <w:rPr>
                <w:rFonts w:ascii="Arial" w:cs="Arial" w:eastAsia="Arial" w:hAnsi="Arial"/>
                <w:sz w:val="14"/>
                <w:szCs w:val="14"/>
                <w:color w:val="auto"/>
              </w:rPr>
              <w:t>Investments, available-for-sale</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54,059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Property and equipment, net</w:t>
            </w: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24,363</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6,188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60" w:type="dxa"/>
            <w:vAlign w:val="bottom"/>
          </w:tcPr>
          <w:p>
            <w:pPr>
              <w:spacing w:after="0" w:line="135" w:lineRule="exact"/>
              <w:rPr>
                <w:sz w:val="20"/>
                <w:szCs w:val="20"/>
                <w:color w:val="auto"/>
              </w:rPr>
            </w:pPr>
            <w:r>
              <w:rPr>
                <w:rFonts w:ascii="Arial" w:cs="Arial" w:eastAsia="Arial" w:hAnsi="Arial"/>
                <w:sz w:val="14"/>
                <w:szCs w:val="14"/>
                <w:color w:val="auto"/>
              </w:rPr>
              <w:t>Restricted cash</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4,555</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1,267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Other assets</w:t>
            </w:r>
          </w:p>
        </w:tc>
        <w:tc>
          <w:tcPr>
            <w:tcW w:w="3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1,314</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856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660" w:type="dxa"/>
            <w:vAlign w:val="bottom"/>
            <w:tcBorders>
              <w:bottom w:val="single" w:sz="8" w:color="CCEEFF"/>
            </w:tcBorders>
          </w:tcPr>
          <w:p>
            <w:pPr>
              <w:spacing w:after="0" w:line="129" w:lineRule="exact"/>
              <w:rPr>
                <w:sz w:val="20"/>
                <w:szCs w:val="20"/>
                <w:color w:val="auto"/>
              </w:rPr>
            </w:pPr>
            <w:r>
              <w:rPr>
                <w:rFonts w:ascii="Arial" w:cs="Arial" w:eastAsia="Arial" w:hAnsi="Arial"/>
                <w:sz w:val="14"/>
                <w:szCs w:val="14"/>
                <w:color w:val="auto"/>
              </w:rPr>
              <w:t>Total assets</w:t>
            </w:r>
          </w:p>
        </w:tc>
        <w:tc>
          <w:tcPr>
            <w:tcW w:w="3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715,737</w:t>
            </w:r>
          </w:p>
        </w:tc>
        <w:tc>
          <w:tcPr>
            <w:tcW w:w="2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282,795</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Liabilities and stockholders’ equity</w:t>
            </w: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60" w:type="dxa"/>
            <w:vAlign w:val="bottom"/>
          </w:tcPr>
          <w:p>
            <w:pPr>
              <w:spacing w:after="0" w:line="135" w:lineRule="exact"/>
              <w:rPr>
                <w:sz w:val="20"/>
                <w:szCs w:val="20"/>
                <w:color w:val="auto"/>
              </w:rPr>
            </w:pPr>
            <w:r>
              <w:rPr>
                <w:rFonts w:ascii="Arial" w:cs="Arial" w:eastAsia="Arial" w:hAnsi="Arial"/>
                <w:sz w:val="14"/>
                <w:szCs w:val="14"/>
                <w:color w:val="auto"/>
              </w:rPr>
              <w:t>Current liabilities:</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6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Accounts payable</w:t>
            </w: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3,744</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2,211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60" w:type="dxa"/>
            <w:vAlign w:val="bottom"/>
          </w:tcPr>
          <w:p>
            <w:pPr>
              <w:ind w:left="220"/>
              <w:spacing w:after="0" w:line="135" w:lineRule="exact"/>
              <w:rPr>
                <w:sz w:val="20"/>
                <w:szCs w:val="20"/>
                <w:color w:val="auto"/>
              </w:rPr>
            </w:pPr>
            <w:r>
              <w:rPr>
                <w:rFonts w:ascii="Arial" w:cs="Arial" w:eastAsia="Arial" w:hAnsi="Arial"/>
                <w:sz w:val="14"/>
                <w:szCs w:val="14"/>
                <w:color w:val="auto"/>
              </w:rPr>
              <w:t>Accrued expenses</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30,541</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11,746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6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Current portion of deferred revenue</w:t>
            </w: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5,373</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11,426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60" w:type="dxa"/>
            <w:vAlign w:val="bottom"/>
          </w:tcPr>
          <w:p>
            <w:pPr>
              <w:ind w:left="220"/>
              <w:spacing w:after="0" w:line="135" w:lineRule="exact"/>
              <w:rPr>
                <w:sz w:val="20"/>
                <w:szCs w:val="20"/>
                <w:color w:val="auto"/>
              </w:rPr>
            </w:pPr>
            <w:r>
              <w:rPr>
                <w:rFonts w:ascii="Arial" w:cs="Arial" w:eastAsia="Arial" w:hAnsi="Arial"/>
                <w:sz w:val="14"/>
                <w:szCs w:val="14"/>
                <w:color w:val="auto"/>
              </w:rPr>
              <w:t>Current portion of lease incentive obligation</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1,714</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578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6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Current portion of term loan payable</w:t>
            </w:r>
          </w:p>
        </w:tc>
        <w:tc>
          <w:tcPr>
            <w:tcW w:w="3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1,518</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2,551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660" w:type="dxa"/>
            <w:vAlign w:val="bottom"/>
          </w:tcPr>
          <w:p>
            <w:pPr>
              <w:spacing w:after="0" w:line="129" w:lineRule="exact"/>
              <w:rPr>
                <w:sz w:val="20"/>
                <w:szCs w:val="20"/>
                <w:color w:val="auto"/>
              </w:rPr>
            </w:pPr>
            <w:r>
              <w:rPr>
                <w:rFonts w:ascii="Arial" w:cs="Arial" w:eastAsia="Arial" w:hAnsi="Arial"/>
                <w:sz w:val="14"/>
                <w:szCs w:val="14"/>
                <w:color w:val="auto"/>
              </w:rPr>
              <w:t>Total current liabilities</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4"/>
                <w:szCs w:val="14"/>
                <w:color w:val="auto"/>
              </w:rPr>
              <w:t>42,890</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4"/>
                <w:szCs w:val="14"/>
                <w:color w:val="auto"/>
              </w:rPr>
              <w:t>28,512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Deferred rent, net of current portion</w:t>
            </w: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4,129</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932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60" w:type="dxa"/>
            <w:vAlign w:val="bottom"/>
          </w:tcPr>
          <w:p>
            <w:pPr>
              <w:spacing w:after="0" w:line="135" w:lineRule="exact"/>
              <w:rPr>
                <w:sz w:val="20"/>
                <w:szCs w:val="20"/>
                <w:color w:val="auto"/>
              </w:rPr>
            </w:pPr>
            <w:r>
              <w:rPr>
                <w:rFonts w:ascii="Arial" w:cs="Arial" w:eastAsia="Arial" w:hAnsi="Arial"/>
                <w:sz w:val="14"/>
                <w:szCs w:val="14"/>
                <w:color w:val="auto"/>
              </w:rPr>
              <w:t>Deferred revenue, net of current portion</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30,000</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35,809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Lease incentive obligation, net of current portion</w:t>
            </w: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14,617</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2,792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60" w:type="dxa"/>
            <w:vAlign w:val="bottom"/>
          </w:tcPr>
          <w:p>
            <w:pPr>
              <w:spacing w:after="0" w:line="135" w:lineRule="exact"/>
              <w:rPr>
                <w:sz w:val="20"/>
                <w:szCs w:val="20"/>
                <w:color w:val="auto"/>
              </w:rPr>
            </w:pPr>
            <w:r>
              <w:rPr>
                <w:rFonts w:ascii="Arial" w:cs="Arial" w:eastAsia="Arial" w:hAnsi="Arial"/>
                <w:sz w:val="14"/>
                <w:szCs w:val="14"/>
                <w:color w:val="auto"/>
              </w:rPr>
              <w:t>Term loan payable, net of current portion</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1,518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Other long term liabilities</w:t>
            </w: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131</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154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60" w:type="dxa"/>
            <w:vAlign w:val="bottom"/>
          </w:tcPr>
          <w:p>
            <w:pPr>
              <w:spacing w:after="0" w:line="135" w:lineRule="exact"/>
              <w:rPr>
                <w:sz w:val="20"/>
                <w:szCs w:val="20"/>
                <w:color w:val="auto"/>
              </w:rPr>
            </w:pPr>
            <w:r>
              <w:rPr>
                <w:rFonts w:ascii="Arial" w:cs="Arial" w:eastAsia="Arial" w:hAnsi="Arial"/>
                <w:sz w:val="14"/>
                <w:szCs w:val="14"/>
                <w:color w:val="auto"/>
              </w:rPr>
              <w:t>Commitments (Note 10)</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Stockholders’ equity:</w:t>
            </w: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60" w:type="dxa"/>
            <w:vAlign w:val="bottom"/>
          </w:tcPr>
          <w:p>
            <w:pPr>
              <w:spacing w:after="0" w:line="135" w:lineRule="exact"/>
              <w:rPr>
                <w:sz w:val="20"/>
                <w:szCs w:val="20"/>
                <w:color w:val="auto"/>
              </w:rPr>
            </w:pPr>
            <w:r>
              <w:rPr>
                <w:rFonts w:ascii="Arial" w:cs="Arial" w:eastAsia="Arial" w:hAnsi="Arial"/>
                <w:sz w:val="14"/>
                <w:szCs w:val="14"/>
                <w:color w:val="auto"/>
              </w:rPr>
              <w:t>Preferred stock, $0.001 par value; 5,000,000 shares authorized; no shares issued and outstanding</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666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Common stock, $0.001 par value; 120,000,000 shares authorized; 43,577,526 and 33,125,479 shares issued at</w:t>
            </w: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6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w w:val="98"/>
              </w:rPr>
              <w:t>December 31, 2017 and December 31, 2016, respectively; 43,577,526 and 33,123,354 shares outstanding at</w:t>
            </w: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660" w:type="dxa"/>
            <w:vAlign w:val="bottom"/>
            <w:shd w:val="clear" w:color="auto" w:fill="CCEEFF"/>
          </w:tcPr>
          <w:p>
            <w:pPr>
              <w:spacing w:after="0"/>
              <w:rPr>
                <w:sz w:val="20"/>
                <w:szCs w:val="20"/>
                <w:color w:val="auto"/>
              </w:rPr>
            </w:pPr>
            <w:r>
              <w:rPr>
                <w:rFonts w:ascii="Arial" w:cs="Arial" w:eastAsia="Arial" w:hAnsi="Arial"/>
                <w:sz w:val="14"/>
                <w:szCs w:val="14"/>
                <w:color w:val="auto"/>
              </w:rPr>
              <w:t>December 31, 2017 and December 31, 2016, respectively</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660" w:type="dxa"/>
            <w:vAlign w:val="bottom"/>
          </w:tcPr>
          <w:p>
            <w:pPr>
              <w:spacing w:after="0" w:line="135" w:lineRule="exact"/>
              <w:rPr>
                <w:sz w:val="20"/>
                <w:szCs w:val="20"/>
                <w:color w:val="auto"/>
              </w:rPr>
            </w:pPr>
            <w:r>
              <w:rPr>
                <w:rFonts w:ascii="Arial" w:cs="Arial" w:eastAsia="Arial" w:hAnsi="Arial"/>
                <w:sz w:val="14"/>
                <w:szCs w:val="14"/>
                <w:color w:val="auto"/>
              </w:rPr>
              <w:t>Additional paid-in capital</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979,785</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420,533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Accumulated other comprehensive loss</w:t>
            </w: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(269)</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60" w:type="dxa"/>
            <w:vAlign w:val="bottom"/>
          </w:tcPr>
          <w:p>
            <w:pPr>
              <w:spacing w:after="0" w:line="135" w:lineRule="exact"/>
              <w:rPr>
                <w:sz w:val="20"/>
                <w:szCs w:val="20"/>
                <w:color w:val="auto"/>
              </w:rPr>
            </w:pPr>
            <w:r>
              <w:rPr>
                <w:rFonts w:ascii="Arial" w:cs="Arial" w:eastAsia="Arial" w:hAnsi="Arial"/>
                <w:sz w:val="14"/>
                <w:szCs w:val="14"/>
                <w:color w:val="auto"/>
              </w:rPr>
              <w:t>Accumulated deficit</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(355,589)</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4"/>
                <w:szCs w:val="14"/>
                <w:color w:val="auto"/>
              </w:rPr>
              <w:t>(207,470)</w:t>
            </w:r>
          </w:p>
        </w:tc>
        <w:tc>
          <w:tcPr>
            <w:tcW w:w="0" w:type="dxa"/>
            <w:vAlign w:val="bottom"/>
          </w:tcPr>
          <w:p>
            <w:pPr>
              <w:spacing w:after="0"/>
              <w:rPr>
                <w:sz w:val="1"/>
                <w:szCs w:val="1"/>
                <w:color w:val="auto"/>
              </w:rPr>
            </w:pPr>
          </w:p>
        </w:tc>
      </w:tr>
      <w:tr>
        <w:trPr>
          <w:trHeight w:val="129"/>
        </w:trPr>
        <w:tc>
          <w:tcPr>
            <w:tcW w:w="66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Total stockholders’ equity</w:t>
            </w:r>
          </w:p>
        </w:tc>
        <w:tc>
          <w:tcPr>
            <w:tcW w:w="3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623,970</w:t>
            </w:r>
          </w:p>
        </w:tc>
        <w:tc>
          <w:tcPr>
            <w:tcW w:w="2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213,078</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660" w:type="dxa"/>
            <w:vAlign w:val="bottom"/>
          </w:tcPr>
          <w:p>
            <w:pPr>
              <w:spacing w:after="0" w:line="129" w:lineRule="exact"/>
              <w:rPr>
                <w:sz w:val="20"/>
                <w:szCs w:val="20"/>
                <w:color w:val="auto"/>
              </w:rPr>
            </w:pPr>
            <w:r>
              <w:rPr>
                <w:rFonts w:ascii="Arial" w:cs="Arial" w:eastAsia="Arial" w:hAnsi="Arial"/>
                <w:sz w:val="14"/>
                <w:szCs w:val="14"/>
                <w:color w:val="auto"/>
              </w:rPr>
              <w:t>Total liabilities and stockholders’ equity</w:t>
            </w:r>
          </w:p>
        </w:tc>
        <w:tc>
          <w:tcPr>
            <w:tcW w:w="320" w:type="dxa"/>
            <w:vAlign w:val="bottom"/>
          </w:tcPr>
          <w:p>
            <w:pPr>
              <w:spacing w:after="0"/>
              <w:rPr>
                <w:sz w:val="11"/>
                <w:szCs w:val="11"/>
                <w:color w:val="auto"/>
              </w:rPr>
            </w:pPr>
          </w:p>
        </w:tc>
        <w:tc>
          <w:tcPr>
            <w:tcW w:w="18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715,737</w:t>
            </w: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282,795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14" w:name="page115"/>
    <w:bookmarkEnd w:id="1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spacing w:after="0" w:line="213" w:lineRule="auto"/>
        <w:rPr>
          <w:sz w:val="20"/>
          <w:szCs w:val="20"/>
          <w:color w:val="auto"/>
        </w:rPr>
      </w:pPr>
      <w:r>
        <w:rPr>
          <w:rFonts w:ascii="Arial" w:cs="Arial" w:eastAsia="Arial" w:hAnsi="Arial"/>
          <w:sz w:val="18"/>
          <w:szCs w:val="18"/>
          <w:b w:val="1"/>
          <w:bCs w:val="1"/>
          <w:color w:val="auto"/>
        </w:rPr>
        <w:t>Blueprint Medicines Corporation Consolidated Statements of Operations and Comprehensive Loss (in thousands, except per share data)</w:t>
      </w:r>
    </w:p>
    <w:tbl>
      <w:tblPr>
        <w:tblLayout w:type="fixed"/>
        <w:tblInd w:w="0" w:type="dxa"/>
        <w:tblCellMar>
          <w:top w:w="0" w:type="dxa"/>
          <w:left w:w="0" w:type="dxa"/>
          <w:bottom w:w="0" w:type="dxa"/>
          <w:right w:w="0" w:type="dxa"/>
        </w:tblCellMar>
      </w:tblPr>
      <w:tr>
        <w:trPr>
          <w:trHeight w:val="129"/>
        </w:trPr>
        <w:tc>
          <w:tcPr>
            <w:tcW w:w="5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1040" w:type="dxa"/>
            <w:vAlign w:val="bottom"/>
            <w:gridSpan w:val="4"/>
          </w:tcPr>
          <w:p>
            <w:pPr>
              <w:jc w:val="center"/>
              <w:ind w:right="40"/>
              <w:spacing w:after="0" w:line="135"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62"/>
        </w:trPr>
        <w:tc>
          <w:tcPr>
            <w:tcW w:w="586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Collaboration revenue</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21,426</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27,772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11,400</w:t>
            </w:r>
          </w:p>
        </w:tc>
        <w:tc>
          <w:tcPr>
            <w:tcW w:w="0" w:type="dxa"/>
            <w:vAlign w:val="bottom"/>
          </w:tcPr>
          <w:p>
            <w:pPr>
              <w:spacing w:after="0"/>
              <w:rPr>
                <w:sz w:val="1"/>
                <w:szCs w:val="1"/>
                <w:color w:val="auto"/>
              </w:rPr>
            </w:pPr>
          </w:p>
        </w:tc>
      </w:tr>
      <w:tr>
        <w:trPr>
          <w:trHeight w:val="176"/>
        </w:trPr>
        <w:tc>
          <w:tcPr>
            <w:tcW w:w="586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144,687</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81,131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48,588</w:t>
            </w:r>
          </w:p>
        </w:tc>
        <w:tc>
          <w:tcPr>
            <w:tcW w:w="0" w:type="dxa"/>
            <w:vAlign w:val="bottom"/>
          </w:tcPr>
          <w:p>
            <w:pPr>
              <w:spacing w:after="0"/>
              <w:rPr>
                <w:sz w:val="1"/>
                <w:szCs w:val="1"/>
                <w:color w:val="auto"/>
              </w:rPr>
            </w:pPr>
          </w:p>
        </w:tc>
      </w:tr>
      <w:tr>
        <w:trPr>
          <w:trHeight w:val="176"/>
        </w:trPr>
        <w:tc>
          <w:tcPr>
            <w:tcW w:w="586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27,986</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19,218</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14,456</w:t>
            </w:r>
          </w:p>
        </w:tc>
        <w:tc>
          <w:tcPr>
            <w:tcW w:w="0" w:type="dxa"/>
            <w:vAlign w:val="bottom"/>
          </w:tcPr>
          <w:p>
            <w:pPr>
              <w:spacing w:after="0"/>
              <w:rPr>
                <w:sz w:val="1"/>
                <w:szCs w:val="1"/>
                <w:color w:val="auto"/>
              </w:rPr>
            </w:pPr>
          </w:p>
        </w:tc>
      </w:tr>
      <w:tr>
        <w:trPr>
          <w:trHeight w:val="169"/>
        </w:trPr>
        <w:tc>
          <w:tcPr>
            <w:tcW w:w="58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operating expenses</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172,673</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89"/>
              </w:rPr>
              <w:t>100,349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63,044</w:t>
            </w:r>
          </w:p>
        </w:tc>
        <w:tc>
          <w:tcPr>
            <w:tcW w:w="0" w:type="dxa"/>
            <w:vAlign w:val="bottom"/>
          </w:tcPr>
          <w:p>
            <w:pPr>
              <w:spacing w:after="0"/>
              <w:rPr>
                <w:sz w:val="1"/>
                <w:szCs w:val="1"/>
                <w:color w:val="auto"/>
              </w:rPr>
            </w:pPr>
          </w:p>
        </w:tc>
      </w:tr>
      <w:tr>
        <w:trPr>
          <w:trHeight w:val="176"/>
        </w:trPr>
        <w:tc>
          <w:tcPr>
            <w:tcW w:w="5860" w:type="dxa"/>
            <w:vAlign w:val="bottom"/>
          </w:tcPr>
          <w:p>
            <w:pPr>
              <w:spacing w:after="0" w:line="176" w:lineRule="exact"/>
              <w:rPr>
                <w:sz w:val="20"/>
                <w:szCs w:val="20"/>
                <w:color w:val="auto"/>
              </w:rPr>
            </w:pPr>
            <w:r>
              <w:rPr>
                <w:rFonts w:ascii="Arial" w:cs="Arial" w:eastAsia="Arial" w:hAnsi="Arial"/>
                <w:sz w:val="18"/>
                <w:szCs w:val="18"/>
                <w:color w:val="auto"/>
              </w:rPr>
              <w:t>Other income (expense):</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Other income (expense), net</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3,349</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551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176"/>
        </w:trPr>
        <w:tc>
          <w:tcPr>
            <w:tcW w:w="586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Interest expense</w:t>
            </w: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(221)</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(469)</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169"/>
        </w:trPr>
        <w:tc>
          <w:tcPr>
            <w:tcW w:w="58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other income (expense)</w:t>
            </w:r>
          </w:p>
        </w:tc>
        <w:tc>
          <w:tcPr>
            <w:tcW w:w="4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3,128</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169"/>
        </w:trPr>
        <w:tc>
          <w:tcPr>
            <w:tcW w:w="586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Net loss</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3"/>
              </w:rPr>
              <w:t>(148,119)</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5"/>
              </w:rPr>
              <w:t>(72,495)</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89"/>
              </w:rPr>
              <w:t>(52,769)</w:t>
            </w:r>
          </w:p>
        </w:tc>
        <w:tc>
          <w:tcPr>
            <w:tcW w:w="0" w:type="dxa"/>
            <w:vAlign w:val="bottom"/>
          </w:tcPr>
          <w:p>
            <w:pPr>
              <w:spacing w:after="0"/>
              <w:rPr>
                <w:sz w:val="1"/>
                <w:szCs w:val="1"/>
                <w:color w:val="auto"/>
              </w:rPr>
            </w:pPr>
          </w:p>
        </w:tc>
      </w:tr>
      <w:tr>
        <w:trPr>
          <w:trHeight w:val="169"/>
        </w:trPr>
        <w:tc>
          <w:tcPr>
            <w:tcW w:w="58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Other comprehensive loss:</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86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Unrealized loss on investments</w:t>
            </w: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(251)</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86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Comprehensive loss</w:t>
            </w:r>
          </w:p>
        </w:tc>
        <w:tc>
          <w:tcPr>
            <w:tcW w:w="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3"/>
              </w:rPr>
              <w:t>(148,370)</w:t>
            </w: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(72,513)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9"/>
              </w:rPr>
              <w:t>(52,769)</w:t>
            </w:r>
          </w:p>
        </w:tc>
        <w:tc>
          <w:tcPr>
            <w:tcW w:w="0" w:type="dxa"/>
            <w:vAlign w:val="bottom"/>
          </w:tcPr>
          <w:p>
            <w:pPr>
              <w:spacing w:after="0"/>
              <w:rPr>
                <w:sz w:val="1"/>
                <w:szCs w:val="1"/>
                <w:color w:val="auto"/>
              </w:rPr>
            </w:pPr>
          </w:p>
        </w:tc>
      </w:tr>
      <w:tr>
        <w:trPr>
          <w:trHeight w:val="163"/>
        </w:trPr>
        <w:tc>
          <w:tcPr>
            <w:tcW w:w="5860" w:type="dxa"/>
            <w:vAlign w:val="bottom"/>
          </w:tcPr>
          <w:p>
            <w:pPr>
              <w:spacing w:after="0" w:line="163" w:lineRule="exact"/>
              <w:rPr>
                <w:sz w:val="20"/>
                <w:szCs w:val="20"/>
                <w:color w:val="auto"/>
              </w:rPr>
            </w:pPr>
            <w:r>
              <w:rPr>
                <w:rFonts w:ascii="Arial" w:cs="Arial" w:eastAsia="Arial" w:hAnsi="Arial"/>
                <w:sz w:val="18"/>
                <w:szCs w:val="18"/>
                <w:color w:val="auto"/>
              </w:rPr>
              <w:t>Reconciliation of net loss applicable to common stockholders: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loss</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3"/>
              </w:rPr>
              <w:t>(148,119)</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w w:val="95"/>
              </w:rPr>
              <w:t>(72,495)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89"/>
              </w:rPr>
              <w:t>(52,769)</w:t>
            </w:r>
          </w:p>
        </w:tc>
        <w:tc>
          <w:tcPr>
            <w:tcW w:w="0" w:type="dxa"/>
            <w:vAlign w:val="bottom"/>
          </w:tcPr>
          <w:p>
            <w:pPr>
              <w:spacing w:after="0"/>
              <w:rPr>
                <w:sz w:val="1"/>
                <w:szCs w:val="1"/>
                <w:color w:val="auto"/>
              </w:rPr>
            </w:pPr>
          </w:p>
        </w:tc>
      </w:tr>
      <w:tr>
        <w:trPr>
          <w:trHeight w:val="176"/>
        </w:trPr>
        <w:tc>
          <w:tcPr>
            <w:tcW w:w="5860" w:type="dxa"/>
            <w:vAlign w:val="bottom"/>
          </w:tcPr>
          <w:p>
            <w:pPr>
              <w:spacing w:after="0" w:line="176" w:lineRule="exact"/>
              <w:rPr>
                <w:sz w:val="20"/>
                <w:szCs w:val="20"/>
                <w:color w:val="auto"/>
              </w:rPr>
            </w:pPr>
            <w:r>
              <w:rPr>
                <w:rFonts w:ascii="Arial" w:cs="Arial" w:eastAsia="Arial" w:hAnsi="Arial"/>
                <w:sz w:val="18"/>
                <w:szCs w:val="18"/>
                <w:color w:val="auto"/>
              </w:rPr>
              <w:t>Convertible preferred stock dividends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(3,153)</w:t>
            </w:r>
          </w:p>
        </w:tc>
        <w:tc>
          <w:tcPr>
            <w:tcW w:w="0" w:type="dxa"/>
            <w:vAlign w:val="bottom"/>
          </w:tcPr>
          <w:p>
            <w:pPr>
              <w:spacing w:after="0"/>
              <w:rPr>
                <w:sz w:val="1"/>
                <w:szCs w:val="1"/>
                <w:color w:val="auto"/>
              </w:rPr>
            </w:pPr>
          </w:p>
        </w:tc>
      </w:tr>
      <w:tr>
        <w:trPr>
          <w:trHeight w:val="189"/>
        </w:trPr>
        <w:tc>
          <w:tcPr>
            <w:tcW w:w="586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loss applicable to common stockholders</w:t>
            </w:r>
          </w:p>
        </w:tc>
        <w:tc>
          <w:tcPr>
            <w:tcW w:w="4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3"/>
              </w:rPr>
              <w:t>(148,119)</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(72,495)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9"/>
              </w:rPr>
              <w:t>(55,922)</w:t>
            </w:r>
          </w:p>
        </w:tc>
        <w:tc>
          <w:tcPr>
            <w:tcW w:w="0" w:type="dxa"/>
            <w:vAlign w:val="bottom"/>
          </w:tcPr>
          <w:p>
            <w:pPr>
              <w:spacing w:after="0"/>
              <w:rPr>
                <w:sz w:val="1"/>
                <w:szCs w:val="1"/>
                <w:color w:val="auto"/>
              </w:rPr>
            </w:pPr>
          </w:p>
        </w:tc>
      </w:tr>
      <w:tr>
        <w:trPr>
          <w:trHeight w:val="170"/>
        </w:trPr>
        <w:tc>
          <w:tcPr>
            <w:tcW w:w="5860" w:type="dxa"/>
            <w:vAlign w:val="bottom"/>
            <w:tcBorders>
              <w:bottom w:val="single" w:sz="8" w:color="CCEEFF"/>
            </w:tcBorders>
          </w:tcPr>
          <w:p>
            <w:pPr>
              <w:spacing w:after="0" w:line="163" w:lineRule="exact"/>
              <w:rPr>
                <w:sz w:val="20"/>
                <w:szCs w:val="20"/>
                <w:color w:val="auto"/>
              </w:rPr>
            </w:pPr>
            <w:r>
              <w:rPr>
                <w:rFonts w:ascii="Arial" w:cs="Arial" w:eastAsia="Arial" w:hAnsi="Arial"/>
                <w:sz w:val="18"/>
                <w:szCs w:val="18"/>
                <w:color w:val="auto"/>
                <w:w w:val="98"/>
              </w:rPr>
              <w:t>Net loss per share applicable to common stockholders — basic and diluted</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92)</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(2.64)</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Weighted-average number of common shares used in net loss per share</w:t>
            </w: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37,793</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27,492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18,236</w:t>
            </w:r>
          </w:p>
        </w:tc>
        <w:tc>
          <w:tcPr>
            <w:tcW w:w="0" w:type="dxa"/>
            <w:vAlign w:val="bottom"/>
          </w:tcPr>
          <w:p>
            <w:pPr>
              <w:spacing w:after="0"/>
              <w:rPr>
                <w:sz w:val="1"/>
                <w:szCs w:val="1"/>
                <w:color w:val="auto"/>
              </w:rPr>
            </w:pPr>
          </w:p>
        </w:tc>
      </w:tr>
      <w:tr>
        <w:trPr>
          <w:trHeight w:val="196"/>
        </w:trPr>
        <w:tc>
          <w:tcPr>
            <w:tcW w:w="586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applicable to common stockholders — basic and diluted</w:t>
            </w: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15" w:name="page116"/>
    <w:bookmarkEnd w:id="115"/>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Blueprint Medicines Corporation</w:t>
      </w:r>
    </w:p>
    <w:p>
      <w:pPr>
        <w:jc w:val="center"/>
        <w:ind w:right="180"/>
        <w:spacing w:after="0" w:line="203" w:lineRule="auto"/>
        <w:rPr>
          <w:sz w:val="20"/>
          <w:szCs w:val="20"/>
          <w:color w:val="auto"/>
        </w:rPr>
      </w:pPr>
      <w:r>
        <w:rPr>
          <w:rFonts w:ascii="Arial" w:cs="Arial" w:eastAsia="Arial" w:hAnsi="Arial"/>
          <w:sz w:val="18"/>
          <w:szCs w:val="18"/>
          <w:b w:val="1"/>
          <w:bCs w:val="1"/>
          <w:color w:val="auto"/>
        </w:rPr>
        <w:t>Consolidated Statements of Convertible Preferred Stock and Stockholders’ Equity (Deficit)</w:t>
      </w:r>
    </w:p>
    <w:p>
      <w:pPr>
        <w:jc w:val="center"/>
        <w:ind w:right="180"/>
        <w:spacing w:after="0" w:line="231" w:lineRule="auto"/>
        <w:rPr>
          <w:sz w:val="20"/>
          <w:szCs w:val="20"/>
          <w:color w:val="auto"/>
        </w:rPr>
      </w:pPr>
      <w:r>
        <w:rPr>
          <w:rFonts w:ascii="Arial" w:cs="Arial" w:eastAsia="Arial" w:hAnsi="Arial"/>
          <w:sz w:val="18"/>
          <w:szCs w:val="18"/>
          <w:b w:val="1"/>
          <w:bCs w:val="1"/>
          <w:color w:val="auto"/>
        </w:rPr>
        <w:t>(in thousands, except per share data)</w:t>
      </w:r>
    </w:p>
    <w:tbl>
      <w:tblPr>
        <w:tblLayout w:type="fixed"/>
        <w:tblInd w:w="0" w:type="dxa"/>
        <w:tblCellMar>
          <w:top w:w="0" w:type="dxa"/>
          <w:left w:w="0" w:type="dxa"/>
          <w:bottom w:w="0" w:type="dxa"/>
          <w:right w:w="0" w:type="dxa"/>
        </w:tblCellMar>
      </w:tblPr>
      <w:tr>
        <w:trPr>
          <w:trHeight w:val="97"/>
        </w:trPr>
        <w:tc>
          <w:tcPr>
            <w:tcW w:w="2820" w:type="dxa"/>
            <w:vAlign w:val="bottom"/>
          </w:tcPr>
          <w:p>
            <w:pPr>
              <w:spacing w:after="0"/>
              <w:rPr>
                <w:sz w:val="8"/>
                <w:szCs w:val="8"/>
                <w:color w:val="auto"/>
              </w:rPr>
            </w:pPr>
          </w:p>
        </w:tc>
        <w:tc>
          <w:tcPr>
            <w:tcW w:w="780" w:type="dxa"/>
            <w:vAlign w:val="bottom"/>
            <w:gridSpan w:val="3"/>
          </w:tcPr>
          <w:p>
            <w:pPr>
              <w:jc w:val="center"/>
              <w:ind w:left="306"/>
              <w:spacing w:after="0" w:line="97" w:lineRule="exact"/>
              <w:rPr>
                <w:sz w:val="20"/>
                <w:szCs w:val="20"/>
                <w:color w:val="auto"/>
              </w:rPr>
            </w:pPr>
            <w:r>
              <w:rPr>
                <w:rFonts w:ascii="Arial" w:cs="Arial" w:eastAsia="Arial" w:hAnsi="Arial"/>
                <w:sz w:val="11"/>
                <w:szCs w:val="11"/>
                <w:b w:val="1"/>
                <w:bCs w:val="1"/>
                <w:color w:val="auto"/>
                <w:w w:val="86"/>
              </w:rPr>
              <w:t>Series A</w:t>
            </w: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3"/>
          </w:tcPr>
          <w:p>
            <w:pPr>
              <w:jc w:val="center"/>
              <w:ind w:left="326"/>
              <w:spacing w:after="0" w:line="97" w:lineRule="exact"/>
              <w:rPr>
                <w:sz w:val="20"/>
                <w:szCs w:val="20"/>
                <w:color w:val="auto"/>
              </w:rPr>
            </w:pPr>
            <w:r>
              <w:rPr>
                <w:rFonts w:ascii="Arial" w:cs="Arial" w:eastAsia="Arial" w:hAnsi="Arial"/>
                <w:sz w:val="11"/>
                <w:szCs w:val="11"/>
                <w:b w:val="1"/>
                <w:bCs w:val="1"/>
                <w:color w:val="auto"/>
                <w:w w:val="86"/>
              </w:rPr>
              <w:t>Series B</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3"/>
          </w:tcPr>
          <w:p>
            <w:pPr>
              <w:jc w:val="center"/>
              <w:ind w:left="346"/>
              <w:spacing w:after="0" w:line="97" w:lineRule="exact"/>
              <w:rPr>
                <w:sz w:val="20"/>
                <w:szCs w:val="20"/>
                <w:color w:val="auto"/>
              </w:rPr>
            </w:pPr>
            <w:r>
              <w:rPr>
                <w:rFonts w:ascii="Arial" w:cs="Arial" w:eastAsia="Arial" w:hAnsi="Arial"/>
                <w:sz w:val="11"/>
                <w:szCs w:val="11"/>
                <w:b w:val="1"/>
                <w:bCs w:val="1"/>
                <w:color w:val="auto"/>
                <w:w w:val="86"/>
              </w:rPr>
              <w:t>Series C</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2"/>
              </w:rPr>
              <w:t>Additional</w:t>
            </w:r>
          </w:p>
        </w:tc>
        <w:tc>
          <w:tcPr>
            <w:tcW w:w="760" w:type="dxa"/>
            <w:vAlign w:val="bottom"/>
            <w:gridSpan w:val="2"/>
          </w:tcPr>
          <w:p>
            <w:pPr>
              <w:jc w:val="center"/>
              <w:ind w:right="6"/>
              <w:spacing w:after="0" w:line="97" w:lineRule="exact"/>
              <w:rPr>
                <w:sz w:val="20"/>
                <w:szCs w:val="20"/>
                <w:color w:val="auto"/>
              </w:rPr>
            </w:pPr>
            <w:r>
              <w:rPr>
                <w:rFonts w:ascii="Arial" w:cs="Arial" w:eastAsia="Arial" w:hAnsi="Arial"/>
                <w:sz w:val="11"/>
                <w:szCs w:val="11"/>
                <w:b w:val="1"/>
                <w:bCs w:val="1"/>
                <w:color w:val="auto"/>
                <w:w w:val="89"/>
              </w:rPr>
              <w:t>Accumulated</w:t>
            </w: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3"/>
            <w:vMerge w:val="restart"/>
          </w:tcPr>
          <w:p>
            <w:pPr>
              <w:spacing w:after="0"/>
              <w:rPr>
                <w:sz w:val="20"/>
                <w:szCs w:val="20"/>
                <w:color w:val="auto"/>
              </w:rPr>
            </w:pPr>
            <w:r>
              <w:rPr>
                <w:rFonts w:ascii="Arial" w:cs="Arial" w:eastAsia="Arial" w:hAnsi="Arial"/>
                <w:sz w:val="11"/>
                <w:szCs w:val="11"/>
                <w:b w:val="1"/>
                <w:bCs w:val="1"/>
                <w:color w:val="auto"/>
                <w:w w:val="93"/>
              </w:rPr>
              <w:t>Stockholders’</w:t>
            </w:r>
          </w:p>
        </w:tc>
        <w:tc>
          <w:tcPr>
            <w:tcW w:w="0" w:type="dxa"/>
            <w:vAlign w:val="bottom"/>
          </w:tcPr>
          <w:p>
            <w:pPr>
              <w:spacing w:after="0"/>
              <w:rPr>
                <w:sz w:val="1"/>
                <w:szCs w:val="1"/>
                <w:color w:val="auto"/>
              </w:rPr>
            </w:pPr>
          </w:p>
        </w:tc>
      </w:tr>
      <w:tr>
        <w:trPr>
          <w:trHeight w:val="108"/>
        </w:trPr>
        <w:tc>
          <w:tcPr>
            <w:tcW w:w="2820" w:type="dxa"/>
            <w:vAlign w:val="bottom"/>
          </w:tcPr>
          <w:p>
            <w:pPr>
              <w:spacing w:after="0"/>
              <w:rPr>
                <w:sz w:val="9"/>
                <w:szCs w:val="9"/>
                <w:color w:val="auto"/>
              </w:rPr>
            </w:pPr>
          </w:p>
        </w:tc>
        <w:tc>
          <w:tcPr>
            <w:tcW w:w="1260" w:type="dxa"/>
            <w:vAlign w:val="bottom"/>
            <w:gridSpan w:val="5"/>
          </w:tcPr>
          <w:p>
            <w:pPr>
              <w:jc w:val="center"/>
              <w:ind w:right="120"/>
              <w:spacing w:after="0" w:line="109" w:lineRule="exact"/>
              <w:rPr>
                <w:sz w:val="20"/>
                <w:szCs w:val="20"/>
                <w:color w:val="auto"/>
              </w:rPr>
            </w:pPr>
            <w:r>
              <w:rPr>
                <w:rFonts w:ascii="Arial" w:cs="Arial" w:eastAsia="Arial" w:hAnsi="Arial"/>
                <w:sz w:val="11"/>
                <w:szCs w:val="11"/>
                <w:b w:val="1"/>
                <w:bCs w:val="1"/>
                <w:color w:val="auto"/>
                <w:w w:val="89"/>
              </w:rPr>
              <w:t>Convertible</w:t>
            </w:r>
          </w:p>
        </w:tc>
        <w:tc>
          <w:tcPr>
            <w:tcW w:w="1240" w:type="dxa"/>
            <w:vAlign w:val="bottom"/>
            <w:gridSpan w:val="5"/>
          </w:tcPr>
          <w:p>
            <w:pPr>
              <w:jc w:val="center"/>
              <w:ind w:right="100"/>
              <w:spacing w:after="0" w:line="109" w:lineRule="exact"/>
              <w:rPr>
                <w:sz w:val="20"/>
                <w:szCs w:val="20"/>
                <w:color w:val="auto"/>
              </w:rPr>
            </w:pPr>
            <w:r>
              <w:rPr>
                <w:rFonts w:ascii="Arial" w:cs="Arial" w:eastAsia="Arial" w:hAnsi="Arial"/>
                <w:sz w:val="11"/>
                <w:szCs w:val="11"/>
                <w:b w:val="1"/>
                <w:bCs w:val="1"/>
                <w:color w:val="auto"/>
                <w:w w:val="89"/>
              </w:rPr>
              <w:t>Convertible</w:t>
            </w:r>
          </w:p>
        </w:tc>
        <w:tc>
          <w:tcPr>
            <w:tcW w:w="1260" w:type="dxa"/>
            <w:vAlign w:val="bottom"/>
            <w:gridSpan w:val="5"/>
          </w:tcPr>
          <w:p>
            <w:pPr>
              <w:jc w:val="center"/>
              <w:ind w:right="80"/>
              <w:spacing w:after="0" w:line="109" w:lineRule="exact"/>
              <w:rPr>
                <w:sz w:val="20"/>
                <w:szCs w:val="20"/>
                <w:color w:val="auto"/>
              </w:rPr>
            </w:pPr>
            <w:r>
              <w:rPr>
                <w:rFonts w:ascii="Arial" w:cs="Arial" w:eastAsia="Arial" w:hAnsi="Arial"/>
                <w:sz w:val="11"/>
                <w:szCs w:val="11"/>
                <w:b w:val="1"/>
                <w:bCs w:val="1"/>
                <w:color w:val="auto"/>
                <w:w w:val="89"/>
              </w:rPr>
              <w:t>Convertible</w:t>
            </w:r>
          </w:p>
        </w:tc>
        <w:tc>
          <w:tcPr>
            <w:tcW w:w="88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w w:val="86"/>
              </w:rPr>
              <w:t>Common Stock</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jc w:val="center"/>
              <w:ind w:right="146"/>
              <w:spacing w:after="0" w:line="109" w:lineRule="exact"/>
              <w:rPr>
                <w:sz w:val="20"/>
                <w:szCs w:val="20"/>
                <w:color w:val="auto"/>
              </w:rPr>
            </w:pPr>
            <w:r>
              <w:rPr>
                <w:rFonts w:ascii="Arial" w:cs="Arial" w:eastAsia="Arial" w:hAnsi="Arial"/>
                <w:sz w:val="11"/>
                <w:szCs w:val="11"/>
                <w:b w:val="1"/>
                <w:bCs w:val="1"/>
                <w:color w:val="auto"/>
                <w:w w:val="95"/>
              </w:rPr>
              <w:t>Other</w:t>
            </w:r>
          </w:p>
        </w:tc>
        <w:tc>
          <w:tcPr>
            <w:tcW w:w="7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w w:val="98"/>
              </w:rPr>
              <w:t>Accumulated</w:t>
            </w:r>
          </w:p>
        </w:tc>
        <w:tc>
          <w:tcPr>
            <w:tcW w:w="7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820" w:type="dxa"/>
            <w:vAlign w:val="bottom"/>
          </w:tcPr>
          <w:p>
            <w:pPr>
              <w:spacing w:after="0"/>
              <w:rPr>
                <w:sz w:val="11"/>
                <w:szCs w:val="11"/>
                <w:color w:val="auto"/>
              </w:rPr>
            </w:pPr>
          </w:p>
        </w:tc>
        <w:tc>
          <w:tcPr>
            <w:tcW w:w="1260" w:type="dxa"/>
            <w:vAlign w:val="bottom"/>
            <w:gridSpan w:val="5"/>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Preferred Stock</w:t>
            </w:r>
          </w:p>
        </w:tc>
        <w:tc>
          <w:tcPr>
            <w:tcW w:w="1240" w:type="dxa"/>
            <w:vAlign w:val="bottom"/>
            <w:gridSpan w:val="5"/>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Preferred Stock</w:t>
            </w:r>
          </w:p>
        </w:tc>
        <w:tc>
          <w:tcPr>
            <w:tcW w:w="1260" w:type="dxa"/>
            <w:vAlign w:val="bottom"/>
            <w:gridSpan w:val="5"/>
          </w:tcPr>
          <w:p>
            <w:pPr>
              <w:jc w:val="center"/>
              <w:ind w:right="80"/>
              <w:spacing w:after="0" w:line="122" w:lineRule="exact"/>
              <w:rPr>
                <w:sz w:val="20"/>
                <w:szCs w:val="20"/>
                <w:color w:val="auto"/>
              </w:rPr>
            </w:pPr>
            <w:r>
              <w:rPr>
                <w:rFonts w:ascii="Arial" w:cs="Arial" w:eastAsia="Arial" w:hAnsi="Arial"/>
                <w:sz w:val="11"/>
                <w:szCs w:val="11"/>
                <w:b w:val="1"/>
                <w:bCs w:val="1"/>
                <w:color w:val="auto"/>
                <w:w w:val="90"/>
              </w:rPr>
              <w:t>Preferred Stock</w:t>
            </w:r>
          </w:p>
        </w:tc>
        <w:tc>
          <w:tcPr>
            <w:tcW w:w="8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2"/>
              </w:rPr>
              <w:t>Paid-in</w:t>
            </w:r>
          </w:p>
        </w:tc>
        <w:tc>
          <w:tcPr>
            <w:tcW w:w="76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w w:val="89"/>
              </w:rPr>
              <w:t>Comprehensive</w:t>
            </w:r>
          </w:p>
        </w:tc>
        <w:tc>
          <w:tcPr>
            <w:tcW w:w="7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w w:val="97"/>
              </w:rPr>
              <w:t>(Deficit)</w:t>
            </w:r>
          </w:p>
        </w:tc>
        <w:tc>
          <w:tcPr>
            <w:tcW w:w="0" w:type="dxa"/>
            <w:vAlign w:val="bottom"/>
          </w:tcPr>
          <w:p>
            <w:pPr>
              <w:spacing w:after="0"/>
              <w:rPr>
                <w:sz w:val="1"/>
                <w:szCs w:val="1"/>
                <w:color w:val="auto"/>
              </w:rPr>
            </w:pPr>
          </w:p>
        </w:tc>
      </w:tr>
      <w:tr>
        <w:trPr>
          <w:trHeight w:val="108"/>
        </w:trPr>
        <w:tc>
          <w:tcPr>
            <w:tcW w:w="2820" w:type="dxa"/>
            <w:vAlign w:val="bottom"/>
          </w:tcPr>
          <w:p>
            <w:pPr>
              <w:spacing w:after="0"/>
              <w:rPr>
                <w:sz w:val="9"/>
                <w:szCs w:val="9"/>
                <w:color w:val="auto"/>
              </w:rPr>
            </w:pPr>
          </w:p>
        </w:tc>
        <w:tc>
          <w:tcPr>
            <w:tcW w:w="680" w:type="dxa"/>
            <w:vAlign w:val="bottom"/>
            <w:tcBorders>
              <w:top w:val="single" w:sz="8" w:color="auto"/>
            </w:tcBorders>
            <w:gridSpan w:val="2"/>
          </w:tcPr>
          <w:p>
            <w:pPr>
              <w:jc w:val="right"/>
              <w:ind w:right="240"/>
              <w:spacing w:after="0" w:line="109" w:lineRule="exact"/>
              <w:rPr>
                <w:sz w:val="20"/>
                <w:szCs w:val="20"/>
                <w:color w:val="auto"/>
              </w:rPr>
            </w:pPr>
            <w:r>
              <w:rPr>
                <w:rFonts w:ascii="Arial" w:cs="Arial" w:eastAsia="Arial" w:hAnsi="Arial"/>
                <w:sz w:val="11"/>
                <w:szCs w:val="11"/>
                <w:b w:val="1"/>
                <w:bCs w:val="1"/>
                <w:color w:val="auto"/>
              </w:rPr>
              <w:t>Shares</w:t>
            </w:r>
          </w:p>
        </w:tc>
        <w:tc>
          <w:tcPr>
            <w:tcW w:w="460" w:type="dxa"/>
            <w:vAlign w:val="bottom"/>
            <w:tcBorders>
              <w:top w:val="single" w:sz="8" w:color="auto"/>
            </w:tcBorders>
            <w:gridSpan w:val="2"/>
          </w:tcPr>
          <w:p>
            <w:pPr>
              <w:jc w:val="right"/>
              <w:spacing w:after="0" w:line="109" w:lineRule="exact"/>
              <w:rPr>
                <w:sz w:val="20"/>
                <w:szCs w:val="20"/>
                <w:color w:val="auto"/>
              </w:rPr>
            </w:pPr>
            <w:r>
              <w:rPr>
                <w:rFonts w:ascii="Arial" w:cs="Arial" w:eastAsia="Arial" w:hAnsi="Arial"/>
                <w:sz w:val="11"/>
                <w:szCs w:val="11"/>
                <w:b w:val="1"/>
                <w:bCs w:val="1"/>
                <w:color w:val="auto"/>
                <w:w w:val="96"/>
              </w:rPr>
              <w:t>Amount</w:t>
            </w:r>
          </w:p>
        </w:tc>
        <w:tc>
          <w:tcPr>
            <w:tcW w:w="120" w:type="dxa"/>
            <w:vAlign w:val="bottom"/>
          </w:tcPr>
          <w:p>
            <w:pPr>
              <w:spacing w:after="0"/>
              <w:rPr>
                <w:sz w:val="9"/>
                <w:szCs w:val="9"/>
                <w:color w:val="auto"/>
              </w:rPr>
            </w:pPr>
          </w:p>
        </w:tc>
        <w:tc>
          <w:tcPr>
            <w:tcW w:w="660" w:type="dxa"/>
            <w:vAlign w:val="bottom"/>
            <w:tcBorders>
              <w:top w:val="single" w:sz="8" w:color="auto"/>
            </w:tcBorders>
            <w:gridSpan w:val="2"/>
          </w:tcPr>
          <w:p>
            <w:pPr>
              <w:jc w:val="right"/>
              <w:ind w:right="220"/>
              <w:spacing w:after="0" w:line="109" w:lineRule="exact"/>
              <w:rPr>
                <w:sz w:val="20"/>
                <w:szCs w:val="20"/>
                <w:color w:val="auto"/>
              </w:rPr>
            </w:pPr>
            <w:r>
              <w:rPr>
                <w:rFonts w:ascii="Arial" w:cs="Arial" w:eastAsia="Arial" w:hAnsi="Arial"/>
                <w:sz w:val="11"/>
                <w:szCs w:val="11"/>
                <w:b w:val="1"/>
                <w:bCs w:val="1"/>
                <w:color w:val="auto"/>
              </w:rPr>
              <w:t>Shares</w:t>
            </w:r>
          </w:p>
        </w:tc>
        <w:tc>
          <w:tcPr>
            <w:tcW w:w="480" w:type="dxa"/>
            <w:vAlign w:val="bottom"/>
            <w:tcBorders>
              <w:top w:val="single" w:sz="8" w:color="auto"/>
            </w:tcBorders>
            <w:gridSpan w:val="2"/>
          </w:tcPr>
          <w:p>
            <w:pPr>
              <w:jc w:val="right"/>
              <w:spacing w:after="0" w:line="109" w:lineRule="exact"/>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9"/>
                <w:szCs w:val="9"/>
                <w:color w:val="auto"/>
              </w:rPr>
            </w:pPr>
          </w:p>
        </w:tc>
        <w:tc>
          <w:tcPr>
            <w:tcW w:w="680" w:type="dxa"/>
            <w:vAlign w:val="bottom"/>
            <w:tcBorders>
              <w:top w:val="single" w:sz="8" w:color="auto"/>
            </w:tcBorders>
            <w:gridSpan w:val="2"/>
          </w:tcPr>
          <w:p>
            <w:pPr>
              <w:ind w:left="140"/>
              <w:spacing w:after="0" w:line="109" w:lineRule="exact"/>
              <w:rPr>
                <w:sz w:val="20"/>
                <w:szCs w:val="20"/>
                <w:color w:val="auto"/>
              </w:rPr>
            </w:pPr>
            <w:r>
              <w:rPr>
                <w:rFonts w:ascii="Arial" w:cs="Arial" w:eastAsia="Arial" w:hAnsi="Arial"/>
                <w:sz w:val="11"/>
                <w:szCs w:val="11"/>
                <w:b w:val="1"/>
                <w:bCs w:val="1"/>
                <w:color w:val="auto"/>
              </w:rPr>
              <w:t>Shares</w:t>
            </w:r>
          </w:p>
        </w:tc>
        <w:tc>
          <w:tcPr>
            <w:tcW w:w="480" w:type="dxa"/>
            <w:vAlign w:val="bottom"/>
            <w:tcBorders>
              <w:top w:val="single" w:sz="8" w:color="auto"/>
            </w:tcBorders>
            <w:gridSpan w:val="2"/>
          </w:tcPr>
          <w:p>
            <w:pPr>
              <w:jc w:val="right"/>
              <w:spacing w:after="0" w:line="109" w:lineRule="exact"/>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9"/>
                <w:szCs w:val="9"/>
                <w:color w:val="auto"/>
              </w:rPr>
            </w:pPr>
          </w:p>
        </w:tc>
        <w:tc>
          <w:tcPr>
            <w:tcW w:w="640" w:type="dxa"/>
            <w:vAlign w:val="bottom"/>
            <w:tcBorders>
              <w:top w:val="single" w:sz="8" w:color="auto"/>
            </w:tcBorders>
            <w:gridSpan w:val="2"/>
          </w:tcPr>
          <w:p>
            <w:pPr>
              <w:ind w:left="120"/>
              <w:spacing w:after="0" w:line="109" w:lineRule="exact"/>
              <w:rPr>
                <w:sz w:val="20"/>
                <w:szCs w:val="20"/>
                <w:color w:val="auto"/>
              </w:rPr>
            </w:pPr>
            <w:r>
              <w:rPr>
                <w:rFonts w:ascii="Arial" w:cs="Arial" w:eastAsia="Arial" w:hAnsi="Arial"/>
                <w:sz w:val="11"/>
                <w:szCs w:val="11"/>
                <w:b w:val="1"/>
                <w:bCs w:val="1"/>
                <w:color w:val="auto"/>
              </w:rPr>
              <w:t>Shares</w:t>
            </w:r>
          </w:p>
        </w:tc>
        <w:tc>
          <w:tcPr>
            <w:tcW w:w="400" w:type="dxa"/>
            <w:vAlign w:val="bottom"/>
            <w:tcBorders>
              <w:top w:val="single" w:sz="8" w:color="auto"/>
            </w:tcBorders>
            <w:gridSpan w:val="2"/>
          </w:tcPr>
          <w:p>
            <w:pPr>
              <w:spacing w:after="0" w:line="109" w:lineRule="exact"/>
              <w:rPr>
                <w:sz w:val="20"/>
                <w:szCs w:val="20"/>
                <w:color w:val="auto"/>
              </w:rPr>
            </w:pPr>
            <w:r>
              <w:rPr>
                <w:rFonts w:ascii="Arial" w:cs="Arial" w:eastAsia="Arial" w:hAnsi="Arial"/>
                <w:sz w:val="11"/>
                <w:szCs w:val="11"/>
                <w:b w:val="1"/>
                <w:bCs w:val="1"/>
                <w:color w:val="auto"/>
                <w:w w:val="91"/>
              </w:rPr>
              <w:t>Amount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9" w:lineRule="exact"/>
              <w:rPr>
                <w:sz w:val="20"/>
                <w:szCs w:val="20"/>
                <w:color w:val="auto"/>
              </w:rPr>
            </w:pPr>
            <w:r>
              <w:rPr>
                <w:rFonts w:ascii="Arial" w:cs="Arial" w:eastAsia="Arial" w:hAnsi="Arial"/>
                <w:sz w:val="11"/>
                <w:szCs w:val="11"/>
                <w:b w:val="1"/>
                <w:bCs w:val="1"/>
                <w:color w:val="auto"/>
                <w:w w:val="92"/>
              </w:rPr>
              <w:t>Capital</w:t>
            </w:r>
          </w:p>
        </w:tc>
        <w:tc>
          <w:tcPr>
            <w:tcW w:w="120" w:type="dxa"/>
            <w:vAlign w:val="bottom"/>
          </w:tcPr>
          <w:p>
            <w:pPr>
              <w:spacing w:after="0"/>
              <w:rPr>
                <w:sz w:val="9"/>
                <w:szCs w:val="9"/>
                <w:color w:val="auto"/>
              </w:rPr>
            </w:pPr>
          </w:p>
        </w:tc>
        <w:tc>
          <w:tcPr>
            <w:tcW w:w="640" w:type="dxa"/>
            <w:vAlign w:val="bottom"/>
          </w:tcPr>
          <w:p>
            <w:pPr>
              <w:jc w:val="center"/>
              <w:ind w:right="106"/>
              <w:spacing w:after="0" w:line="109" w:lineRule="exact"/>
              <w:rPr>
                <w:sz w:val="20"/>
                <w:szCs w:val="20"/>
                <w:color w:val="auto"/>
              </w:rPr>
            </w:pPr>
            <w:r>
              <w:rPr>
                <w:rFonts w:ascii="Arial" w:cs="Arial" w:eastAsia="Arial" w:hAnsi="Arial"/>
                <w:sz w:val="11"/>
                <w:szCs w:val="11"/>
                <w:b w:val="1"/>
                <w:bCs w:val="1"/>
                <w:color w:val="auto"/>
                <w:w w:val="77"/>
              </w:rPr>
              <w:t>Loss</w:t>
            </w:r>
          </w:p>
        </w:tc>
        <w:tc>
          <w:tcPr>
            <w:tcW w:w="140" w:type="dxa"/>
            <w:vAlign w:val="bottom"/>
          </w:tcPr>
          <w:p>
            <w:pPr>
              <w:spacing w:after="0"/>
              <w:rPr>
                <w:sz w:val="9"/>
                <w:szCs w:val="9"/>
                <w:color w:val="auto"/>
              </w:rPr>
            </w:pPr>
          </w:p>
        </w:tc>
        <w:tc>
          <w:tcPr>
            <w:tcW w:w="600" w:type="dxa"/>
            <w:vAlign w:val="bottom"/>
            <w:gridSpan w:val="2"/>
          </w:tcPr>
          <w:p>
            <w:pPr>
              <w:ind w:left="60"/>
              <w:spacing w:after="0" w:line="109" w:lineRule="exact"/>
              <w:rPr>
                <w:sz w:val="20"/>
                <w:szCs w:val="20"/>
                <w:color w:val="auto"/>
              </w:rPr>
            </w:pPr>
            <w:r>
              <w:rPr>
                <w:rFonts w:ascii="Arial" w:cs="Arial" w:eastAsia="Arial" w:hAnsi="Arial"/>
                <w:sz w:val="11"/>
                <w:szCs w:val="11"/>
                <w:b w:val="1"/>
                <w:bCs w:val="1"/>
                <w:color w:val="auto"/>
              </w:rPr>
              <w:t>Deficit</w:t>
            </w:r>
          </w:p>
        </w:tc>
        <w:tc>
          <w:tcPr>
            <w:tcW w:w="80" w:type="dxa"/>
            <w:vAlign w:val="bottom"/>
          </w:tcPr>
          <w:p>
            <w:pPr>
              <w:spacing w:after="0"/>
              <w:rPr>
                <w:sz w:val="9"/>
                <w:szCs w:val="9"/>
                <w:color w:val="auto"/>
              </w:rPr>
            </w:pPr>
          </w:p>
        </w:tc>
        <w:tc>
          <w:tcPr>
            <w:tcW w:w="620" w:type="dxa"/>
            <w:vAlign w:val="bottom"/>
            <w:gridSpan w:val="2"/>
          </w:tcPr>
          <w:p>
            <w:pPr>
              <w:jc w:val="right"/>
              <w:ind w:right="220"/>
              <w:spacing w:after="0" w:line="109" w:lineRule="exact"/>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02"/>
        </w:trPr>
        <w:tc>
          <w:tcPr>
            <w:tcW w:w="2820" w:type="dxa"/>
            <w:vAlign w:val="bottom"/>
            <w:tcBorders>
              <w:top w:val="single" w:sz="8" w:color="CCEEFF"/>
            </w:tcBorders>
            <w:shd w:val="clear" w:color="auto" w:fill="CCEEFF"/>
          </w:tcPr>
          <w:p>
            <w:pPr>
              <w:ind w:left="20"/>
              <w:spacing w:after="0" w:line="102" w:lineRule="exact"/>
              <w:rPr>
                <w:sz w:val="20"/>
                <w:szCs w:val="20"/>
                <w:color w:val="auto"/>
              </w:rPr>
            </w:pPr>
            <w:r>
              <w:rPr>
                <w:rFonts w:ascii="Arial" w:cs="Arial" w:eastAsia="Arial" w:hAnsi="Arial"/>
                <w:sz w:val="11"/>
                <w:szCs w:val="11"/>
                <w:color w:val="auto"/>
              </w:rPr>
              <w:t>Balance at December 31, 2014</w:t>
            </w:r>
          </w:p>
        </w:tc>
        <w:tc>
          <w:tcPr>
            <w:tcW w:w="56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w w:val="90"/>
              </w:rPr>
              <w:t>40,000,000</w:t>
            </w: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5"/>
                <w:szCs w:val="5"/>
                <w:color w:val="auto"/>
                <w:w w:val="70"/>
              </w:rPr>
              <w:t>$</w:t>
            </w:r>
          </w:p>
        </w:tc>
        <w:tc>
          <w:tcPr>
            <w:tcW w:w="36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w w:val="89"/>
              </w:rPr>
              <w:t>39,958</w:t>
            </w:r>
          </w:p>
        </w:tc>
        <w:tc>
          <w:tcPr>
            <w:tcW w:w="12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w w:val="90"/>
              </w:rPr>
              <w:t>20,916,663</w:t>
            </w: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w w:val="94"/>
              </w:rPr>
              <w:t>24,985</w:t>
            </w:r>
          </w:p>
        </w:tc>
        <w:tc>
          <w:tcPr>
            <w:tcW w:w="1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w w:val="94"/>
              </w:rPr>
              <w:t>24,154,589</w:t>
            </w: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w w:val="94"/>
              </w:rPr>
              <w:t>49,868</w:t>
            </w:r>
          </w:p>
        </w:tc>
        <w:tc>
          <w:tcPr>
            <w:tcW w:w="1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w w:val="97"/>
              </w:rPr>
              <w:t>1,626,738</w:t>
            </w:r>
          </w:p>
        </w:tc>
        <w:tc>
          <w:tcPr>
            <w:tcW w:w="10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line="102" w:lineRule="exact"/>
              <w:rPr>
                <w:sz w:val="20"/>
                <w:szCs w:val="20"/>
                <w:color w:val="auto"/>
              </w:rPr>
            </w:pPr>
            <w:r>
              <w:rPr>
                <w:rFonts w:ascii="Arial" w:cs="Arial" w:eastAsia="Arial" w:hAnsi="Arial"/>
                <w:sz w:val="11"/>
                <w:szCs w:val="11"/>
                <w:color w:val="auto"/>
              </w:rPr>
              <w:t>$</w:t>
            </w:r>
          </w:p>
        </w:tc>
        <w:tc>
          <w:tcPr>
            <w:tcW w:w="16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2</w:t>
            </w: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2,822</w:t>
            </w: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line="102" w:lineRule="exact"/>
              <w:rPr>
                <w:sz w:val="20"/>
                <w:szCs w:val="20"/>
                <w:color w:val="auto"/>
              </w:rPr>
            </w:pPr>
            <w:r>
              <w:rPr>
                <w:rFonts w:ascii="Arial" w:cs="Arial" w:eastAsia="Arial" w:hAnsi="Arial"/>
                <w:sz w:val="11"/>
                <w:szCs w:val="11"/>
                <w:color w:val="auto"/>
              </w:rPr>
              <w:t>$</w:t>
            </w:r>
          </w:p>
        </w:tc>
        <w:tc>
          <w:tcPr>
            <w:tcW w:w="640" w:type="dxa"/>
            <w:vAlign w:val="bottom"/>
            <w:tcBorders>
              <w:top w:val="single" w:sz="8" w:color="auto"/>
            </w:tcBorders>
            <w:shd w:val="clear" w:color="auto" w:fill="CCEEFF"/>
          </w:tcPr>
          <w:p>
            <w:pPr>
              <w:jc w:val="right"/>
              <w:ind w:right="26"/>
              <w:spacing w:after="0" w:line="102" w:lineRule="exact"/>
              <w:rPr>
                <w:sz w:val="20"/>
                <w:szCs w:val="20"/>
                <w:color w:val="auto"/>
              </w:rPr>
            </w:pPr>
            <w:r>
              <w:rPr>
                <w:rFonts w:ascii="Arial" w:cs="Arial" w:eastAsia="Arial" w:hAnsi="Arial"/>
                <w:sz w:val="11"/>
                <w:szCs w:val="11"/>
                <w:color w:val="auto"/>
              </w:rPr>
              <w:t>—</w:t>
            </w:r>
          </w:p>
        </w:tc>
        <w:tc>
          <w:tcPr>
            <w:tcW w:w="140" w:type="dxa"/>
            <w:vAlign w:val="bottom"/>
            <w:tcBorders>
              <w:top w:val="single" w:sz="8" w:color="auto"/>
            </w:tcBorders>
            <w:shd w:val="clear" w:color="auto" w:fill="CCEEFF"/>
          </w:tcPr>
          <w:p>
            <w:pPr>
              <w:ind w:left="40"/>
              <w:spacing w:after="0" w:line="102" w:lineRule="exact"/>
              <w:rPr>
                <w:sz w:val="20"/>
                <w:szCs w:val="20"/>
                <w:color w:val="auto"/>
              </w:rPr>
            </w:pPr>
            <w:r>
              <w:rPr>
                <w:rFonts w:ascii="Arial" w:cs="Arial" w:eastAsia="Arial" w:hAnsi="Arial"/>
                <w:sz w:val="11"/>
                <w:szCs w:val="11"/>
                <w:color w:val="auto"/>
              </w:rPr>
              <w:t>$</w:t>
            </w:r>
          </w:p>
        </w:tc>
        <w:tc>
          <w:tcPr>
            <w:tcW w:w="52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(82,206)</w:t>
            </w: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line="102"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(79,382)</w:t>
            </w:r>
          </w:p>
        </w:tc>
        <w:tc>
          <w:tcPr>
            <w:tcW w:w="8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20" w:type="dxa"/>
            <w:vAlign w:val="bottom"/>
          </w:tcPr>
          <w:p>
            <w:pPr>
              <w:ind w:left="20"/>
              <w:spacing w:after="0" w:line="109" w:lineRule="exact"/>
              <w:rPr>
                <w:sz w:val="20"/>
                <w:szCs w:val="20"/>
                <w:color w:val="auto"/>
              </w:rPr>
            </w:pPr>
            <w:r>
              <w:rPr>
                <w:rFonts w:ascii="Arial" w:cs="Arial" w:eastAsia="Arial" w:hAnsi="Arial"/>
                <w:sz w:val="11"/>
                <w:szCs w:val="11"/>
                <w:color w:val="auto"/>
              </w:rPr>
              <w:t>Conversion of preferred stock into common stock</w:t>
            </w:r>
          </w:p>
        </w:tc>
        <w:tc>
          <w:tcPr>
            <w:tcW w:w="68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w w:val="86"/>
              </w:rPr>
              <w:t>(40,000,000)</w:t>
            </w:r>
          </w:p>
        </w:tc>
        <w:tc>
          <w:tcPr>
            <w:tcW w:w="100" w:type="dxa"/>
            <w:vAlign w:val="bottom"/>
          </w:tcPr>
          <w:p>
            <w:pPr>
              <w:spacing w:after="0"/>
              <w:rPr>
                <w:sz w:val="9"/>
                <w:szCs w:val="9"/>
                <w:color w:val="auto"/>
              </w:rPr>
            </w:pPr>
          </w:p>
        </w:tc>
        <w:tc>
          <w:tcPr>
            <w:tcW w:w="48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w w:val="82"/>
              </w:rPr>
              <w:t>(39,958)</w:t>
            </w:r>
          </w:p>
        </w:tc>
        <w:tc>
          <w:tcPr>
            <w:tcW w:w="660" w:type="dxa"/>
            <w:vAlign w:val="bottom"/>
            <w:gridSpan w:val="2"/>
          </w:tcPr>
          <w:p>
            <w:pPr>
              <w:jc w:val="right"/>
              <w:ind w:right="100"/>
              <w:spacing w:after="0" w:line="109" w:lineRule="exact"/>
              <w:rPr>
                <w:sz w:val="20"/>
                <w:szCs w:val="20"/>
                <w:color w:val="auto"/>
              </w:rPr>
            </w:pPr>
            <w:r>
              <w:rPr>
                <w:rFonts w:ascii="Arial" w:cs="Arial" w:eastAsia="Arial" w:hAnsi="Arial"/>
                <w:sz w:val="11"/>
                <w:szCs w:val="11"/>
                <w:color w:val="auto"/>
                <w:w w:val="86"/>
              </w:rPr>
              <w:t>(20,916,663)</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9" w:lineRule="exact"/>
              <w:rPr>
                <w:sz w:val="20"/>
                <w:szCs w:val="20"/>
                <w:color w:val="auto"/>
              </w:rPr>
            </w:pPr>
            <w:r>
              <w:rPr>
                <w:rFonts w:ascii="Arial" w:cs="Arial" w:eastAsia="Arial" w:hAnsi="Arial"/>
                <w:sz w:val="11"/>
                <w:szCs w:val="11"/>
                <w:color w:val="auto"/>
                <w:w w:val="87"/>
              </w:rPr>
              <w:t>(24,985)</w:t>
            </w:r>
          </w:p>
        </w:tc>
        <w:tc>
          <w:tcPr>
            <w:tcW w:w="680" w:type="dxa"/>
            <w:vAlign w:val="bottom"/>
            <w:gridSpan w:val="2"/>
          </w:tcPr>
          <w:p>
            <w:pPr>
              <w:jc w:val="right"/>
              <w:ind w:right="100"/>
              <w:spacing w:after="0" w:line="109" w:lineRule="exact"/>
              <w:rPr>
                <w:sz w:val="20"/>
                <w:szCs w:val="20"/>
                <w:color w:val="auto"/>
              </w:rPr>
            </w:pPr>
            <w:r>
              <w:rPr>
                <w:rFonts w:ascii="Arial" w:cs="Arial" w:eastAsia="Arial" w:hAnsi="Arial"/>
                <w:sz w:val="11"/>
                <w:szCs w:val="11"/>
                <w:color w:val="auto"/>
                <w:w w:val="89"/>
              </w:rPr>
              <w:t>(24,154,589)</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9" w:lineRule="exact"/>
              <w:rPr>
                <w:sz w:val="20"/>
                <w:szCs w:val="20"/>
                <w:color w:val="auto"/>
              </w:rPr>
            </w:pPr>
            <w:r>
              <w:rPr>
                <w:rFonts w:ascii="Arial" w:cs="Arial" w:eastAsia="Arial" w:hAnsi="Arial"/>
                <w:sz w:val="11"/>
                <w:szCs w:val="11"/>
                <w:color w:val="auto"/>
                <w:w w:val="87"/>
              </w:rPr>
              <w:t>(49,868)</w:t>
            </w:r>
          </w:p>
        </w:tc>
        <w:tc>
          <w:tcPr>
            <w:tcW w:w="540" w:type="dxa"/>
            <w:vAlign w:val="bottom"/>
          </w:tcPr>
          <w:p>
            <w:pPr>
              <w:jc w:val="right"/>
              <w:spacing w:after="0" w:line="109" w:lineRule="exact"/>
              <w:rPr>
                <w:sz w:val="20"/>
                <w:szCs w:val="20"/>
                <w:color w:val="auto"/>
              </w:rPr>
            </w:pPr>
            <w:r>
              <w:rPr>
                <w:rFonts w:ascii="Arial" w:cs="Arial" w:eastAsia="Arial" w:hAnsi="Arial"/>
                <w:sz w:val="11"/>
                <w:szCs w:val="11"/>
                <w:color w:val="auto"/>
                <w:w w:val="87"/>
              </w:rPr>
              <w:t>15,467,479</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jc w:val="right"/>
              <w:spacing w:after="0" w:line="109" w:lineRule="exact"/>
              <w:rPr>
                <w:sz w:val="20"/>
                <w:szCs w:val="20"/>
                <w:color w:val="auto"/>
              </w:rPr>
            </w:pPr>
            <w:r>
              <w:rPr>
                <w:rFonts w:ascii="Arial" w:cs="Arial" w:eastAsia="Arial" w:hAnsi="Arial"/>
                <w:sz w:val="11"/>
                <w:szCs w:val="11"/>
                <w:color w:val="auto"/>
                <w:w w:val="81"/>
              </w:rPr>
              <w:t>15</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09" w:lineRule="exact"/>
              <w:rPr>
                <w:sz w:val="20"/>
                <w:szCs w:val="20"/>
                <w:color w:val="auto"/>
              </w:rPr>
            </w:pPr>
            <w:r>
              <w:rPr>
                <w:rFonts w:ascii="Arial" w:cs="Arial" w:eastAsia="Arial" w:hAnsi="Arial"/>
                <w:sz w:val="11"/>
                <w:szCs w:val="11"/>
                <w:color w:val="auto"/>
              </w:rPr>
              <w:t>114,792</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jc w:val="right"/>
              <w:ind w:right="26"/>
              <w:spacing w:after="0" w:line="109"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60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40" w:type="dxa"/>
            <w:vAlign w:val="bottom"/>
          </w:tcPr>
          <w:p>
            <w:pPr>
              <w:jc w:val="right"/>
              <w:spacing w:after="0" w:line="109" w:lineRule="exact"/>
              <w:rPr>
                <w:sz w:val="20"/>
                <w:szCs w:val="20"/>
                <w:color w:val="auto"/>
              </w:rPr>
            </w:pPr>
            <w:r>
              <w:rPr>
                <w:rFonts w:ascii="Arial" w:cs="Arial" w:eastAsia="Arial" w:hAnsi="Arial"/>
                <w:sz w:val="11"/>
                <w:szCs w:val="11"/>
                <w:color w:val="auto"/>
              </w:rPr>
              <w:t>114,807</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2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Initial public offering, net of issuance costs</w:t>
            </w:r>
          </w:p>
        </w:tc>
        <w:tc>
          <w:tcPr>
            <w:tcW w:w="680" w:type="dxa"/>
            <w:vAlign w:val="bottom"/>
            <w:gridSpan w:val="2"/>
            <w:shd w:val="clear" w:color="auto" w:fill="CCEEFF"/>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w w:val="97"/>
              </w:rPr>
              <w:t>9,367,708</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9</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154,743</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26"/>
              <w:spacing w:after="0" w:line="109"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154,752</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20" w:type="dxa"/>
            <w:vAlign w:val="bottom"/>
          </w:tcPr>
          <w:p>
            <w:pPr>
              <w:ind w:left="20"/>
              <w:spacing w:after="0" w:line="109" w:lineRule="exact"/>
              <w:rPr>
                <w:sz w:val="20"/>
                <w:szCs w:val="20"/>
                <w:color w:val="auto"/>
              </w:rPr>
            </w:pPr>
            <w:r>
              <w:rPr>
                <w:rFonts w:ascii="Arial" w:cs="Arial" w:eastAsia="Arial" w:hAnsi="Arial"/>
                <w:sz w:val="11"/>
                <w:szCs w:val="11"/>
                <w:color w:val="auto"/>
              </w:rPr>
              <w:t>Reclassification of warrant</w:t>
            </w:r>
          </w:p>
        </w:tc>
        <w:tc>
          <w:tcPr>
            <w:tcW w:w="680" w:type="dxa"/>
            <w:vAlign w:val="bottom"/>
            <w:gridSpan w:val="2"/>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260" w:type="dxa"/>
            <w:vAlign w:val="bottom"/>
            <w:gridSpan w:val="2"/>
          </w:tcPr>
          <w:p>
            <w:pPr>
              <w:jc w:val="right"/>
              <w:ind w:right="140"/>
              <w:spacing w:after="0" w:line="109" w:lineRule="exact"/>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9"/>
                <w:szCs w:val="9"/>
                <w:color w:val="auto"/>
              </w:rPr>
            </w:pPr>
          </w:p>
        </w:tc>
        <w:tc>
          <w:tcPr>
            <w:tcW w:w="480" w:type="dxa"/>
            <w:vAlign w:val="bottom"/>
          </w:tcPr>
          <w:p>
            <w:pPr>
              <w:jc w:val="right"/>
              <w:spacing w:after="0" w:line="109" w:lineRule="exact"/>
              <w:rPr>
                <w:sz w:val="20"/>
                <w:szCs w:val="20"/>
                <w:color w:val="auto"/>
              </w:rPr>
            </w:pPr>
            <w:r>
              <w:rPr>
                <w:rFonts w:ascii="Arial" w:cs="Arial" w:eastAsia="Arial" w:hAnsi="Arial"/>
                <w:sz w:val="11"/>
                <w:szCs w:val="11"/>
                <w:color w:val="auto"/>
              </w:rPr>
              <w:t>810</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jc w:val="right"/>
              <w:ind w:right="26"/>
              <w:spacing w:after="0" w:line="109"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60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40" w:type="dxa"/>
            <w:vAlign w:val="bottom"/>
          </w:tcPr>
          <w:p>
            <w:pPr>
              <w:jc w:val="right"/>
              <w:spacing w:after="0" w:line="109" w:lineRule="exact"/>
              <w:rPr>
                <w:sz w:val="20"/>
                <w:szCs w:val="20"/>
                <w:color w:val="auto"/>
              </w:rPr>
            </w:pPr>
            <w:r>
              <w:rPr>
                <w:rFonts w:ascii="Arial" w:cs="Arial" w:eastAsia="Arial" w:hAnsi="Arial"/>
                <w:sz w:val="11"/>
                <w:szCs w:val="11"/>
                <w:color w:val="auto"/>
              </w:rPr>
              <w:t>810</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2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Issuance of common stock upon warrant exercise</w:t>
            </w:r>
          </w:p>
        </w:tc>
        <w:tc>
          <w:tcPr>
            <w:tcW w:w="680" w:type="dxa"/>
            <w:vAlign w:val="bottom"/>
            <w:gridSpan w:val="2"/>
            <w:shd w:val="clear" w:color="auto" w:fill="CCEEFF"/>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32,438</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1"/>
                <w:szCs w:val="11"/>
                <w:color w:val="auto"/>
                <w:w w:val="90"/>
              </w:rPr>
              <w:t>—</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26"/>
              <w:spacing w:after="0" w:line="109"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00"/>
              <w:spacing w:after="0" w:line="109"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2820" w:type="dxa"/>
            <w:vAlign w:val="bottom"/>
          </w:tcPr>
          <w:p>
            <w:pPr>
              <w:ind w:left="20"/>
              <w:spacing w:after="0" w:line="109" w:lineRule="exact"/>
              <w:rPr>
                <w:sz w:val="20"/>
                <w:szCs w:val="20"/>
                <w:color w:val="auto"/>
              </w:rPr>
            </w:pPr>
            <w:r>
              <w:rPr>
                <w:rFonts w:ascii="Arial" w:cs="Arial" w:eastAsia="Arial" w:hAnsi="Arial"/>
                <w:sz w:val="11"/>
                <w:szCs w:val="11"/>
                <w:color w:val="auto"/>
              </w:rPr>
              <w:t>Issuance of common stock under stock plan</w:t>
            </w:r>
          </w:p>
        </w:tc>
        <w:tc>
          <w:tcPr>
            <w:tcW w:w="680" w:type="dxa"/>
            <w:vAlign w:val="bottom"/>
            <w:gridSpan w:val="2"/>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540" w:type="dxa"/>
            <w:vAlign w:val="bottom"/>
          </w:tcPr>
          <w:p>
            <w:pPr>
              <w:jc w:val="right"/>
              <w:spacing w:after="0" w:line="109" w:lineRule="exact"/>
              <w:rPr>
                <w:sz w:val="20"/>
                <w:szCs w:val="20"/>
                <w:color w:val="auto"/>
              </w:rPr>
            </w:pPr>
            <w:r>
              <w:rPr>
                <w:rFonts w:ascii="Arial" w:cs="Arial" w:eastAsia="Arial" w:hAnsi="Arial"/>
                <w:sz w:val="11"/>
                <w:szCs w:val="11"/>
                <w:color w:val="auto"/>
              </w:rPr>
              <w:t>571,195</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jc w:val="right"/>
              <w:spacing w:after="0" w:line="109" w:lineRule="exact"/>
              <w:rPr>
                <w:sz w:val="20"/>
                <w:szCs w:val="20"/>
                <w:color w:val="auto"/>
              </w:rPr>
            </w:pPr>
            <w:r>
              <w:rPr>
                <w:rFonts w:ascii="Arial" w:cs="Arial" w:eastAsia="Arial" w:hAnsi="Arial"/>
                <w:sz w:val="11"/>
                <w:szCs w:val="11"/>
                <w:color w:val="auto"/>
              </w:rPr>
              <w:t>1</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09" w:lineRule="exact"/>
              <w:rPr>
                <w:sz w:val="20"/>
                <w:szCs w:val="20"/>
                <w:color w:val="auto"/>
              </w:rPr>
            </w:pPr>
            <w:r>
              <w:rPr>
                <w:rFonts w:ascii="Arial" w:cs="Arial" w:eastAsia="Arial" w:hAnsi="Arial"/>
                <w:sz w:val="11"/>
                <w:szCs w:val="11"/>
                <w:color w:val="auto"/>
              </w:rPr>
              <w:t>580</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jc w:val="right"/>
              <w:ind w:right="26"/>
              <w:spacing w:after="0" w:line="109"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60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40" w:type="dxa"/>
            <w:vAlign w:val="bottom"/>
          </w:tcPr>
          <w:p>
            <w:pPr>
              <w:jc w:val="right"/>
              <w:spacing w:after="0" w:line="109" w:lineRule="exact"/>
              <w:rPr>
                <w:sz w:val="20"/>
                <w:szCs w:val="20"/>
                <w:color w:val="auto"/>
              </w:rPr>
            </w:pPr>
            <w:r>
              <w:rPr>
                <w:rFonts w:ascii="Arial" w:cs="Arial" w:eastAsia="Arial" w:hAnsi="Arial"/>
                <w:sz w:val="11"/>
                <w:szCs w:val="11"/>
                <w:color w:val="auto"/>
              </w:rPr>
              <w:t>581</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2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Stock based compensation expense</w:t>
            </w:r>
          </w:p>
        </w:tc>
        <w:tc>
          <w:tcPr>
            <w:tcW w:w="680" w:type="dxa"/>
            <w:vAlign w:val="bottom"/>
            <w:gridSpan w:val="2"/>
            <w:shd w:val="clear" w:color="auto" w:fill="CCEEFF"/>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26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1"/>
                <w:szCs w:val="11"/>
                <w:color w:val="auto"/>
                <w:w w:val="90"/>
              </w:rPr>
              <w:t>—</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5,180</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26"/>
              <w:spacing w:after="0" w:line="109"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5,180</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20" w:type="dxa"/>
            <w:vAlign w:val="bottom"/>
          </w:tcPr>
          <w:p>
            <w:pPr>
              <w:ind w:left="20"/>
              <w:spacing w:after="0" w:line="109" w:lineRule="exact"/>
              <w:rPr>
                <w:sz w:val="20"/>
                <w:szCs w:val="20"/>
                <w:color w:val="auto"/>
              </w:rPr>
            </w:pPr>
            <w:r>
              <w:rPr>
                <w:rFonts w:ascii="Arial" w:cs="Arial" w:eastAsia="Arial" w:hAnsi="Arial"/>
                <w:sz w:val="11"/>
                <w:szCs w:val="11"/>
                <w:color w:val="auto"/>
              </w:rPr>
              <w:t>Net loss</w:t>
            </w:r>
          </w:p>
        </w:tc>
        <w:tc>
          <w:tcPr>
            <w:tcW w:w="680" w:type="dxa"/>
            <w:vAlign w:val="bottom"/>
            <w:gridSpan w:val="2"/>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260" w:type="dxa"/>
            <w:vAlign w:val="bottom"/>
            <w:gridSpan w:val="2"/>
          </w:tcPr>
          <w:p>
            <w:pPr>
              <w:jc w:val="right"/>
              <w:ind w:right="140"/>
              <w:spacing w:after="0" w:line="109" w:lineRule="exact"/>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9"/>
                <w:szCs w:val="9"/>
                <w:color w:val="auto"/>
              </w:rPr>
            </w:pPr>
          </w:p>
        </w:tc>
        <w:tc>
          <w:tcPr>
            <w:tcW w:w="600" w:type="dxa"/>
            <w:vAlign w:val="bottom"/>
            <w:gridSpan w:val="2"/>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40" w:type="dxa"/>
            <w:vAlign w:val="bottom"/>
          </w:tcPr>
          <w:p>
            <w:pPr>
              <w:jc w:val="right"/>
              <w:ind w:right="26"/>
              <w:spacing w:after="0" w:line="109"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600" w:type="dxa"/>
            <w:vAlign w:val="bottom"/>
            <w:gridSpan w:val="2"/>
          </w:tcPr>
          <w:p>
            <w:pPr>
              <w:jc w:val="right"/>
              <w:ind w:right="80"/>
              <w:spacing w:after="0" w:line="109" w:lineRule="exact"/>
              <w:rPr>
                <w:sz w:val="20"/>
                <w:szCs w:val="20"/>
                <w:color w:val="auto"/>
              </w:rPr>
            </w:pPr>
            <w:r>
              <w:rPr>
                <w:rFonts w:ascii="Arial" w:cs="Arial" w:eastAsia="Arial" w:hAnsi="Arial"/>
                <w:sz w:val="11"/>
                <w:szCs w:val="11"/>
                <w:color w:val="auto"/>
              </w:rPr>
              <w:t>(52,769)</w:t>
            </w:r>
          </w:p>
        </w:tc>
        <w:tc>
          <w:tcPr>
            <w:tcW w:w="80" w:type="dxa"/>
            <w:vAlign w:val="bottom"/>
          </w:tcPr>
          <w:p>
            <w:pPr>
              <w:spacing w:after="0"/>
              <w:rPr>
                <w:sz w:val="9"/>
                <w:szCs w:val="9"/>
                <w:color w:val="auto"/>
              </w:rPr>
            </w:pPr>
          </w:p>
        </w:tc>
        <w:tc>
          <w:tcPr>
            <w:tcW w:w="620" w:type="dxa"/>
            <w:vAlign w:val="bottom"/>
            <w:gridSpan w:val="2"/>
          </w:tcPr>
          <w:p>
            <w:pPr>
              <w:jc w:val="right"/>
              <w:ind w:right="60"/>
              <w:spacing w:after="0" w:line="109" w:lineRule="exact"/>
              <w:rPr>
                <w:sz w:val="20"/>
                <w:szCs w:val="20"/>
                <w:color w:val="auto"/>
              </w:rPr>
            </w:pPr>
            <w:r>
              <w:rPr>
                <w:rFonts w:ascii="Arial" w:cs="Arial" w:eastAsia="Arial" w:hAnsi="Arial"/>
                <w:sz w:val="11"/>
                <w:szCs w:val="11"/>
                <w:color w:val="auto"/>
              </w:rPr>
              <w:t>(52,769)</w:t>
            </w:r>
          </w:p>
        </w:tc>
        <w:tc>
          <w:tcPr>
            <w:tcW w:w="0" w:type="dxa"/>
            <w:vAlign w:val="bottom"/>
          </w:tcPr>
          <w:p>
            <w:pPr>
              <w:spacing w:after="0"/>
              <w:rPr>
                <w:sz w:val="1"/>
                <w:szCs w:val="1"/>
                <w:color w:val="auto"/>
              </w:rPr>
            </w:pPr>
          </w:p>
        </w:tc>
      </w:tr>
      <w:tr>
        <w:trPr>
          <w:trHeight w:val="102"/>
        </w:trPr>
        <w:tc>
          <w:tcPr>
            <w:tcW w:w="2820" w:type="dxa"/>
            <w:vAlign w:val="bottom"/>
            <w:tcBorders>
              <w:top w:val="single" w:sz="8" w:color="CCEEFF"/>
            </w:tcBorders>
            <w:shd w:val="clear" w:color="auto" w:fill="CCEEFF"/>
          </w:tcPr>
          <w:p>
            <w:pPr>
              <w:ind w:left="20"/>
              <w:spacing w:after="0" w:line="102" w:lineRule="exact"/>
              <w:rPr>
                <w:sz w:val="20"/>
                <w:szCs w:val="20"/>
                <w:color w:val="auto"/>
              </w:rPr>
            </w:pPr>
            <w:r>
              <w:rPr>
                <w:rFonts w:ascii="Arial" w:cs="Arial" w:eastAsia="Arial" w:hAnsi="Arial"/>
                <w:sz w:val="11"/>
                <w:szCs w:val="11"/>
                <w:color w:val="auto"/>
              </w:rPr>
              <w:t>Balance at December 31, 2015</w:t>
            </w:r>
          </w:p>
        </w:tc>
        <w:tc>
          <w:tcPr>
            <w:tcW w:w="56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5"/>
                <w:szCs w:val="5"/>
                <w:color w:val="auto"/>
                <w:w w:val="70"/>
              </w:rPr>
              <w:t>$</w:t>
            </w:r>
          </w:p>
        </w:tc>
        <w:tc>
          <w:tcPr>
            <w:tcW w:w="36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w w:val="87"/>
              </w:rPr>
              <w:t>27,065,558</w:t>
            </w:r>
          </w:p>
        </w:tc>
        <w:tc>
          <w:tcPr>
            <w:tcW w:w="10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line="102" w:lineRule="exact"/>
              <w:rPr>
                <w:sz w:val="20"/>
                <w:szCs w:val="20"/>
                <w:color w:val="auto"/>
              </w:rPr>
            </w:pPr>
            <w:r>
              <w:rPr>
                <w:rFonts w:ascii="Arial" w:cs="Arial" w:eastAsia="Arial" w:hAnsi="Arial"/>
                <w:sz w:val="11"/>
                <w:szCs w:val="11"/>
                <w:color w:val="auto"/>
              </w:rPr>
              <w:t>$</w:t>
            </w:r>
          </w:p>
        </w:tc>
        <w:tc>
          <w:tcPr>
            <w:tcW w:w="16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w w:val="81"/>
              </w:rPr>
              <w:t>27</w:t>
            </w: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278,927</w:t>
            </w: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line="102" w:lineRule="exact"/>
              <w:rPr>
                <w:sz w:val="20"/>
                <w:szCs w:val="20"/>
                <w:color w:val="auto"/>
              </w:rPr>
            </w:pPr>
            <w:r>
              <w:rPr>
                <w:rFonts w:ascii="Arial" w:cs="Arial" w:eastAsia="Arial" w:hAnsi="Arial"/>
                <w:sz w:val="11"/>
                <w:szCs w:val="11"/>
                <w:color w:val="auto"/>
              </w:rPr>
              <w:t>$</w:t>
            </w:r>
          </w:p>
        </w:tc>
        <w:tc>
          <w:tcPr>
            <w:tcW w:w="640" w:type="dxa"/>
            <w:vAlign w:val="bottom"/>
            <w:tcBorders>
              <w:top w:val="single" w:sz="8" w:color="auto"/>
            </w:tcBorders>
            <w:shd w:val="clear" w:color="auto" w:fill="CCEEFF"/>
          </w:tcPr>
          <w:p>
            <w:pPr>
              <w:jc w:val="right"/>
              <w:ind w:right="26"/>
              <w:spacing w:after="0" w:line="102" w:lineRule="exact"/>
              <w:rPr>
                <w:sz w:val="20"/>
                <w:szCs w:val="20"/>
                <w:color w:val="auto"/>
              </w:rPr>
            </w:pPr>
            <w:r>
              <w:rPr>
                <w:rFonts w:ascii="Arial" w:cs="Arial" w:eastAsia="Arial" w:hAnsi="Arial"/>
                <w:sz w:val="11"/>
                <w:szCs w:val="11"/>
                <w:color w:val="auto"/>
              </w:rPr>
              <w:t>—</w:t>
            </w:r>
          </w:p>
        </w:tc>
        <w:tc>
          <w:tcPr>
            <w:tcW w:w="140" w:type="dxa"/>
            <w:vAlign w:val="bottom"/>
            <w:tcBorders>
              <w:top w:val="single" w:sz="8" w:color="auto"/>
            </w:tcBorders>
            <w:shd w:val="clear" w:color="auto" w:fill="CCEEFF"/>
          </w:tcPr>
          <w:p>
            <w:pPr>
              <w:ind w:left="40"/>
              <w:spacing w:after="0" w:line="102" w:lineRule="exact"/>
              <w:rPr>
                <w:sz w:val="20"/>
                <w:szCs w:val="20"/>
                <w:color w:val="auto"/>
              </w:rPr>
            </w:pPr>
            <w:r>
              <w:rPr>
                <w:rFonts w:ascii="Arial" w:cs="Arial" w:eastAsia="Arial" w:hAnsi="Arial"/>
                <w:sz w:val="11"/>
                <w:szCs w:val="11"/>
                <w:color w:val="auto"/>
              </w:rPr>
              <w:t>$</w:t>
            </w:r>
          </w:p>
        </w:tc>
        <w:tc>
          <w:tcPr>
            <w:tcW w:w="52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(134,975)</w:t>
            </w: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line="102"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143,979</w:t>
            </w:r>
          </w:p>
        </w:tc>
        <w:tc>
          <w:tcPr>
            <w:tcW w:w="8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20" w:type="dxa"/>
            <w:vAlign w:val="bottom"/>
          </w:tcPr>
          <w:p>
            <w:pPr>
              <w:ind w:left="20"/>
              <w:spacing w:after="0" w:line="109" w:lineRule="exact"/>
              <w:rPr>
                <w:sz w:val="20"/>
                <w:szCs w:val="20"/>
                <w:color w:val="auto"/>
              </w:rPr>
            </w:pPr>
            <w:r>
              <w:rPr>
                <w:rFonts w:ascii="Arial" w:cs="Arial" w:eastAsia="Arial" w:hAnsi="Arial"/>
                <w:sz w:val="11"/>
                <w:szCs w:val="11"/>
                <w:color w:val="auto"/>
              </w:rPr>
              <w:t>Follow on offering, net of issuance costs</w:t>
            </w:r>
          </w:p>
        </w:tc>
        <w:tc>
          <w:tcPr>
            <w:tcW w:w="680" w:type="dxa"/>
            <w:vAlign w:val="bottom"/>
            <w:gridSpan w:val="2"/>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540" w:type="dxa"/>
            <w:vAlign w:val="bottom"/>
          </w:tcPr>
          <w:p>
            <w:pPr>
              <w:jc w:val="right"/>
              <w:spacing w:after="0" w:line="109" w:lineRule="exact"/>
              <w:rPr>
                <w:sz w:val="20"/>
                <w:szCs w:val="20"/>
                <w:color w:val="auto"/>
              </w:rPr>
            </w:pPr>
            <w:r>
              <w:rPr>
                <w:rFonts w:ascii="Arial" w:cs="Arial" w:eastAsia="Arial" w:hAnsi="Arial"/>
                <w:sz w:val="11"/>
                <w:szCs w:val="11"/>
                <w:color w:val="auto"/>
                <w:w w:val="97"/>
              </w:rPr>
              <w:t>5,750,000</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jc w:val="right"/>
              <w:spacing w:after="0" w:line="109" w:lineRule="exact"/>
              <w:rPr>
                <w:sz w:val="20"/>
                <w:szCs w:val="20"/>
                <w:color w:val="auto"/>
              </w:rPr>
            </w:pPr>
            <w:r>
              <w:rPr>
                <w:rFonts w:ascii="Arial" w:cs="Arial" w:eastAsia="Arial" w:hAnsi="Arial"/>
                <w:sz w:val="11"/>
                <w:szCs w:val="11"/>
                <w:color w:val="auto"/>
              </w:rPr>
              <w:t>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09" w:lineRule="exact"/>
              <w:rPr>
                <w:sz w:val="20"/>
                <w:szCs w:val="20"/>
                <w:color w:val="auto"/>
              </w:rPr>
            </w:pPr>
            <w:r>
              <w:rPr>
                <w:rFonts w:ascii="Arial" w:cs="Arial" w:eastAsia="Arial" w:hAnsi="Arial"/>
                <w:sz w:val="11"/>
                <w:szCs w:val="11"/>
                <w:color w:val="auto"/>
              </w:rPr>
              <w:t>134,543</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jc w:val="right"/>
              <w:ind w:right="26"/>
              <w:spacing w:after="0" w:line="109"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60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40" w:type="dxa"/>
            <w:vAlign w:val="bottom"/>
          </w:tcPr>
          <w:p>
            <w:pPr>
              <w:jc w:val="right"/>
              <w:spacing w:after="0" w:line="109" w:lineRule="exact"/>
              <w:rPr>
                <w:sz w:val="20"/>
                <w:szCs w:val="20"/>
                <w:color w:val="auto"/>
              </w:rPr>
            </w:pPr>
            <w:r>
              <w:rPr>
                <w:rFonts w:ascii="Arial" w:cs="Arial" w:eastAsia="Arial" w:hAnsi="Arial"/>
                <w:sz w:val="11"/>
                <w:szCs w:val="11"/>
                <w:color w:val="auto"/>
              </w:rPr>
              <w:t>134,549</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2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Issuance of common stock under stock plan</w:t>
            </w:r>
          </w:p>
        </w:tc>
        <w:tc>
          <w:tcPr>
            <w:tcW w:w="680" w:type="dxa"/>
            <w:vAlign w:val="bottom"/>
            <w:gridSpan w:val="2"/>
            <w:shd w:val="clear" w:color="auto" w:fill="CCEEFF"/>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284,471</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1"/>
                <w:szCs w:val="11"/>
                <w:color w:val="auto"/>
                <w:w w:val="90"/>
              </w:rPr>
              <w:t>—</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546</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26"/>
              <w:spacing w:after="0" w:line="109"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546</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20" w:type="dxa"/>
            <w:vAlign w:val="bottom"/>
          </w:tcPr>
          <w:p>
            <w:pPr>
              <w:ind w:left="20"/>
              <w:spacing w:after="0" w:line="109" w:lineRule="exact"/>
              <w:rPr>
                <w:sz w:val="20"/>
                <w:szCs w:val="20"/>
                <w:color w:val="auto"/>
              </w:rPr>
            </w:pPr>
            <w:r>
              <w:rPr>
                <w:rFonts w:ascii="Arial" w:cs="Arial" w:eastAsia="Arial" w:hAnsi="Arial"/>
                <w:sz w:val="11"/>
                <w:szCs w:val="11"/>
                <w:color w:val="auto"/>
              </w:rPr>
              <w:t>Purchase of common stock under ESPP</w:t>
            </w:r>
          </w:p>
        </w:tc>
        <w:tc>
          <w:tcPr>
            <w:tcW w:w="680" w:type="dxa"/>
            <w:vAlign w:val="bottom"/>
            <w:gridSpan w:val="2"/>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540" w:type="dxa"/>
            <w:vAlign w:val="bottom"/>
          </w:tcPr>
          <w:p>
            <w:pPr>
              <w:jc w:val="right"/>
              <w:spacing w:after="0" w:line="109" w:lineRule="exact"/>
              <w:rPr>
                <w:sz w:val="20"/>
                <w:szCs w:val="20"/>
                <w:color w:val="auto"/>
              </w:rPr>
            </w:pPr>
            <w:r>
              <w:rPr>
                <w:rFonts w:ascii="Arial" w:cs="Arial" w:eastAsia="Arial" w:hAnsi="Arial"/>
                <w:sz w:val="11"/>
                <w:szCs w:val="11"/>
                <w:color w:val="auto"/>
              </w:rPr>
              <w:t>23,325</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gridSpan w:val="2"/>
          </w:tcPr>
          <w:p>
            <w:pPr>
              <w:jc w:val="right"/>
              <w:ind w:right="140"/>
              <w:spacing w:after="0" w:line="109" w:lineRule="exact"/>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9"/>
                <w:szCs w:val="9"/>
                <w:color w:val="auto"/>
              </w:rPr>
            </w:pPr>
          </w:p>
        </w:tc>
        <w:tc>
          <w:tcPr>
            <w:tcW w:w="480" w:type="dxa"/>
            <w:vAlign w:val="bottom"/>
          </w:tcPr>
          <w:p>
            <w:pPr>
              <w:jc w:val="right"/>
              <w:spacing w:after="0" w:line="109" w:lineRule="exact"/>
              <w:rPr>
                <w:sz w:val="20"/>
                <w:szCs w:val="20"/>
                <w:color w:val="auto"/>
              </w:rPr>
            </w:pPr>
            <w:r>
              <w:rPr>
                <w:rFonts w:ascii="Arial" w:cs="Arial" w:eastAsia="Arial" w:hAnsi="Arial"/>
                <w:sz w:val="11"/>
                <w:szCs w:val="11"/>
                <w:color w:val="auto"/>
              </w:rPr>
              <w:t>377</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jc w:val="right"/>
              <w:ind w:right="26"/>
              <w:spacing w:after="0" w:line="109"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60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40" w:type="dxa"/>
            <w:vAlign w:val="bottom"/>
          </w:tcPr>
          <w:p>
            <w:pPr>
              <w:jc w:val="right"/>
              <w:spacing w:after="0" w:line="109" w:lineRule="exact"/>
              <w:rPr>
                <w:sz w:val="20"/>
                <w:szCs w:val="20"/>
                <w:color w:val="auto"/>
              </w:rPr>
            </w:pPr>
            <w:r>
              <w:rPr>
                <w:rFonts w:ascii="Arial" w:cs="Arial" w:eastAsia="Arial" w:hAnsi="Arial"/>
                <w:sz w:val="11"/>
                <w:szCs w:val="11"/>
                <w:color w:val="auto"/>
              </w:rPr>
              <w:t>377</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2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Stock-based compensation expense</w:t>
            </w:r>
          </w:p>
        </w:tc>
        <w:tc>
          <w:tcPr>
            <w:tcW w:w="680" w:type="dxa"/>
            <w:vAlign w:val="bottom"/>
            <w:gridSpan w:val="2"/>
            <w:shd w:val="clear" w:color="auto" w:fill="CCEEFF"/>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26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1"/>
                <w:szCs w:val="11"/>
                <w:color w:val="auto"/>
                <w:w w:val="90"/>
              </w:rPr>
              <w:t>—</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6,140</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26"/>
              <w:spacing w:after="0" w:line="109"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6,140</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20" w:type="dxa"/>
            <w:vAlign w:val="bottom"/>
          </w:tcPr>
          <w:p>
            <w:pPr>
              <w:ind w:left="20"/>
              <w:spacing w:after="0" w:line="109" w:lineRule="exact"/>
              <w:rPr>
                <w:sz w:val="20"/>
                <w:szCs w:val="20"/>
                <w:color w:val="auto"/>
              </w:rPr>
            </w:pPr>
            <w:r>
              <w:rPr>
                <w:rFonts w:ascii="Arial" w:cs="Arial" w:eastAsia="Arial" w:hAnsi="Arial"/>
                <w:sz w:val="11"/>
                <w:szCs w:val="11"/>
                <w:color w:val="auto"/>
                <w:w w:val="99"/>
              </w:rPr>
              <w:t>Unrealized loss on available-for-sale securities, net of tax</w:t>
            </w:r>
          </w:p>
        </w:tc>
        <w:tc>
          <w:tcPr>
            <w:tcW w:w="680" w:type="dxa"/>
            <w:vAlign w:val="bottom"/>
            <w:gridSpan w:val="2"/>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260" w:type="dxa"/>
            <w:vAlign w:val="bottom"/>
            <w:gridSpan w:val="2"/>
          </w:tcPr>
          <w:p>
            <w:pPr>
              <w:jc w:val="right"/>
              <w:ind w:right="140"/>
              <w:spacing w:after="0" w:line="109" w:lineRule="exact"/>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9"/>
                <w:szCs w:val="9"/>
                <w:color w:val="auto"/>
              </w:rPr>
            </w:pPr>
          </w:p>
        </w:tc>
        <w:tc>
          <w:tcPr>
            <w:tcW w:w="600" w:type="dxa"/>
            <w:vAlign w:val="bottom"/>
            <w:gridSpan w:val="2"/>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40" w:type="dxa"/>
            <w:vAlign w:val="bottom"/>
          </w:tcPr>
          <w:p>
            <w:pPr>
              <w:jc w:val="right"/>
              <w:spacing w:after="0" w:line="109" w:lineRule="exact"/>
              <w:rPr>
                <w:sz w:val="20"/>
                <w:szCs w:val="20"/>
                <w:color w:val="auto"/>
              </w:rPr>
            </w:pPr>
            <w:r>
              <w:rPr>
                <w:rFonts w:ascii="Arial" w:cs="Arial" w:eastAsia="Arial" w:hAnsi="Arial"/>
                <w:sz w:val="11"/>
                <w:szCs w:val="11"/>
                <w:color w:val="auto"/>
              </w:rPr>
              <w:t>(18)</w:t>
            </w:r>
          </w:p>
        </w:tc>
        <w:tc>
          <w:tcPr>
            <w:tcW w:w="140" w:type="dxa"/>
            <w:vAlign w:val="bottom"/>
          </w:tcPr>
          <w:p>
            <w:pPr>
              <w:spacing w:after="0"/>
              <w:rPr>
                <w:sz w:val="9"/>
                <w:szCs w:val="9"/>
                <w:color w:val="auto"/>
              </w:rPr>
            </w:pPr>
          </w:p>
        </w:tc>
        <w:tc>
          <w:tcPr>
            <w:tcW w:w="600" w:type="dxa"/>
            <w:vAlign w:val="bottom"/>
            <w:gridSpan w:val="2"/>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60"/>
              <w:spacing w:after="0" w:line="109" w:lineRule="exact"/>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08"/>
        </w:trPr>
        <w:tc>
          <w:tcPr>
            <w:tcW w:w="282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Net loss</w:t>
            </w:r>
          </w:p>
        </w:tc>
        <w:tc>
          <w:tcPr>
            <w:tcW w:w="680" w:type="dxa"/>
            <w:vAlign w:val="bottom"/>
            <w:gridSpan w:val="2"/>
            <w:shd w:val="clear" w:color="auto" w:fill="CCEEFF"/>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26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1"/>
                <w:szCs w:val="11"/>
                <w:color w:val="auto"/>
                <w:w w:val="90"/>
              </w:rPr>
              <w:t>—</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26"/>
              <w:spacing w:after="0" w:line="109"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80"/>
              <w:spacing w:after="0" w:line="109" w:lineRule="exact"/>
              <w:rPr>
                <w:sz w:val="20"/>
                <w:szCs w:val="20"/>
                <w:color w:val="auto"/>
              </w:rPr>
            </w:pPr>
            <w:r>
              <w:rPr>
                <w:rFonts w:ascii="Arial" w:cs="Arial" w:eastAsia="Arial" w:hAnsi="Arial"/>
                <w:sz w:val="11"/>
                <w:szCs w:val="11"/>
                <w:color w:val="auto"/>
              </w:rPr>
              <w:t>(72,495)</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60"/>
              <w:spacing w:after="0" w:line="109" w:lineRule="exact"/>
              <w:rPr>
                <w:sz w:val="20"/>
                <w:szCs w:val="20"/>
                <w:color w:val="auto"/>
              </w:rPr>
            </w:pPr>
            <w:r>
              <w:rPr>
                <w:rFonts w:ascii="Arial" w:cs="Arial" w:eastAsia="Arial" w:hAnsi="Arial"/>
                <w:sz w:val="11"/>
                <w:szCs w:val="11"/>
                <w:color w:val="auto"/>
              </w:rPr>
              <w:t>(72,495)</w:t>
            </w:r>
          </w:p>
        </w:tc>
        <w:tc>
          <w:tcPr>
            <w:tcW w:w="0" w:type="dxa"/>
            <w:vAlign w:val="bottom"/>
          </w:tcPr>
          <w:p>
            <w:pPr>
              <w:spacing w:after="0"/>
              <w:rPr>
                <w:sz w:val="1"/>
                <w:szCs w:val="1"/>
                <w:color w:val="auto"/>
              </w:rPr>
            </w:pPr>
          </w:p>
        </w:tc>
      </w:tr>
      <w:tr>
        <w:trPr>
          <w:trHeight w:val="102"/>
        </w:trPr>
        <w:tc>
          <w:tcPr>
            <w:tcW w:w="2820" w:type="dxa"/>
            <w:vAlign w:val="bottom"/>
          </w:tcPr>
          <w:p>
            <w:pPr>
              <w:ind w:left="20"/>
              <w:spacing w:after="0" w:line="102" w:lineRule="exact"/>
              <w:rPr>
                <w:sz w:val="20"/>
                <w:szCs w:val="20"/>
                <w:color w:val="auto"/>
              </w:rPr>
            </w:pPr>
            <w:r>
              <w:rPr>
                <w:rFonts w:ascii="Arial" w:cs="Arial" w:eastAsia="Arial" w:hAnsi="Arial"/>
                <w:sz w:val="11"/>
                <w:szCs w:val="11"/>
                <w:color w:val="auto"/>
              </w:rPr>
              <w:t>Balance at December 31, 2016</w:t>
            </w:r>
          </w:p>
        </w:tc>
        <w:tc>
          <w:tcPr>
            <w:tcW w:w="680" w:type="dxa"/>
            <w:vAlign w:val="bottom"/>
            <w:tcBorders>
              <w:top w:val="single" w:sz="8" w:color="auto"/>
            </w:tcBorders>
            <w:gridSpan w:val="2"/>
          </w:tcPr>
          <w:p>
            <w:pPr>
              <w:jc w:val="right"/>
              <w:ind w:right="160"/>
              <w:spacing w:after="0" w:line="102"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auto"/>
            </w:tcBorders>
          </w:tcPr>
          <w:p>
            <w:pPr>
              <w:jc w:val="right"/>
              <w:ind w:right="28"/>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tcBorders>
            <w:gridSpan w:val="2"/>
          </w:tcPr>
          <w:p>
            <w:pPr>
              <w:jc w:val="right"/>
              <w:ind w:right="160"/>
              <w:spacing w:after="0" w:line="102" w:lineRule="exact"/>
              <w:rPr>
                <w:sz w:val="20"/>
                <w:szCs w:val="20"/>
                <w:color w:val="auto"/>
              </w:rPr>
            </w:pPr>
            <w:r>
              <w:rPr>
                <w:rFonts w:ascii="Arial" w:cs="Arial" w:eastAsia="Arial" w:hAnsi="Arial"/>
                <w:sz w:val="11"/>
                <w:szCs w:val="11"/>
                <w:color w:val="auto"/>
              </w:rPr>
              <w:t>—</w:t>
            </w:r>
          </w:p>
        </w:tc>
        <w:tc>
          <w:tcPr>
            <w:tcW w:w="660" w:type="dxa"/>
            <w:vAlign w:val="bottom"/>
            <w:tcBorders>
              <w:top w:val="single" w:sz="8" w:color="auto"/>
            </w:tcBorders>
            <w:gridSpan w:val="2"/>
          </w:tcPr>
          <w:p>
            <w:pPr>
              <w:jc w:val="right"/>
              <w:ind w:right="140"/>
              <w:spacing w:after="0" w:line="102"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gridSpan w:val="2"/>
          </w:tcPr>
          <w:p>
            <w:pPr>
              <w:jc w:val="right"/>
              <w:ind w:right="140"/>
              <w:spacing w:after="0" w:line="102" w:lineRule="exact"/>
              <w:rPr>
                <w:sz w:val="20"/>
                <w:szCs w:val="20"/>
                <w:color w:val="auto"/>
              </w:rPr>
            </w:pPr>
            <w:r>
              <w:rPr>
                <w:rFonts w:ascii="Arial" w:cs="Arial" w:eastAsia="Arial" w:hAnsi="Arial"/>
                <w:sz w:val="11"/>
                <w:szCs w:val="11"/>
                <w:color w:val="auto"/>
              </w:rPr>
              <w:t>—</w:t>
            </w:r>
          </w:p>
        </w:tc>
        <w:tc>
          <w:tcPr>
            <w:tcW w:w="680" w:type="dxa"/>
            <w:vAlign w:val="bottom"/>
            <w:tcBorders>
              <w:top w:val="single" w:sz="8" w:color="auto"/>
            </w:tcBorders>
            <w:gridSpan w:val="2"/>
          </w:tcPr>
          <w:p>
            <w:pPr>
              <w:jc w:val="right"/>
              <w:ind w:right="140"/>
              <w:spacing w:after="0" w:line="102"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gridSpan w:val="2"/>
          </w:tcPr>
          <w:p>
            <w:pPr>
              <w:jc w:val="right"/>
              <w:ind w:right="140"/>
              <w:spacing w:after="0" w:line="102" w:lineRule="exact"/>
              <w:rPr>
                <w:sz w:val="20"/>
                <w:szCs w:val="20"/>
                <w:color w:val="auto"/>
              </w:rPr>
            </w:pPr>
            <w:r>
              <w:rPr>
                <w:rFonts w:ascii="Arial" w:cs="Arial" w:eastAsia="Arial" w:hAnsi="Arial"/>
                <w:sz w:val="11"/>
                <w:szCs w:val="11"/>
                <w:color w:val="auto"/>
              </w:rPr>
              <w:t>—</w:t>
            </w:r>
          </w:p>
        </w:tc>
        <w:tc>
          <w:tcPr>
            <w:tcW w:w="54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w w:val="87"/>
              </w:rPr>
              <w:t>33,123,354</w:t>
            </w:r>
          </w:p>
        </w:tc>
        <w:tc>
          <w:tcPr>
            <w:tcW w:w="1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line="102" w:lineRule="exact"/>
              <w:rPr>
                <w:sz w:val="20"/>
                <w:szCs w:val="20"/>
                <w:color w:val="auto"/>
              </w:rPr>
            </w:pPr>
            <w:r>
              <w:rPr>
                <w:rFonts w:ascii="Arial" w:cs="Arial" w:eastAsia="Arial" w:hAnsi="Arial"/>
                <w:sz w:val="11"/>
                <w:szCs w:val="11"/>
                <w:color w:val="auto"/>
              </w:rPr>
              <w:t>$</w:t>
            </w:r>
          </w:p>
        </w:tc>
        <w:tc>
          <w:tcPr>
            <w:tcW w:w="16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w w:val="81"/>
              </w:rPr>
              <w:t>33</w:t>
            </w: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420,533</w:t>
            </w:r>
          </w:p>
        </w:tc>
        <w:tc>
          <w:tcPr>
            <w:tcW w:w="1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line="102" w:lineRule="exact"/>
              <w:rPr>
                <w:sz w:val="20"/>
                <w:szCs w:val="20"/>
                <w:color w:val="auto"/>
              </w:rPr>
            </w:pPr>
            <w:r>
              <w:rPr>
                <w:rFonts w:ascii="Arial" w:cs="Arial" w:eastAsia="Arial" w:hAnsi="Arial"/>
                <w:sz w:val="11"/>
                <w:szCs w:val="11"/>
                <w:color w:val="auto"/>
              </w:rPr>
              <w:t>$</w:t>
            </w:r>
          </w:p>
        </w:tc>
        <w:tc>
          <w:tcPr>
            <w:tcW w:w="64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(18)</w:t>
            </w:r>
          </w:p>
        </w:tc>
        <w:tc>
          <w:tcPr>
            <w:tcW w:w="140" w:type="dxa"/>
            <w:vAlign w:val="bottom"/>
            <w:tcBorders>
              <w:top w:val="single" w:sz="8" w:color="auto"/>
            </w:tcBorders>
          </w:tcPr>
          <w:p>
            <w:pPr>
              <w:ind w:left="40"/>
              <w:spacing w:after="0" w:line="102" w:lineRule="exact"/>
              <w:rPr>
                <w:sz w:val="20"/>
                <w:szCs w:val="20"/>
                <w:color w:val="auto"/>
              </w:rPr>
            </w:pPr>
            <w:r>
              <w:rPr>
                <w:rFonts w:ascii="Arial" w:cs="Arial" w:eastAsia="Arial" w:hAnsi="Arial"/>
                <w:sz w:val="11"/>
                <w:szCs w:val="11"/>
                <w:color w:val="auto"/>
              </w:rPr>
              <w:t>$</w:t>
            </w:r>
          </w:p>
        </w:tc>
        <w:tc>
          <w:tcPr>
            <w:tcW w:w="600" w:type="dxa"/>
            <w:vAlign w:val="bottom"/>
            <w:tcBorders>
              <w:top w:val="single" w:sz="8" w:color="auto"/>
            </w:tcBorders>
            <w:gridSpan w:val="2"/>
          </w:tcPr>
          <w:p>
            <w:pPr>
              <w:jc w:val="right"/>
              <w:ind w:right="80"/>
              <w:spacing w:after="0" w:line="102" w:lineRule="exact"/>
              <w:rPr>
                <w:sz w:val="20"/>
                <w:szCs w:val="20"/>
                <w:color w:val="auto"/>
              </w:rPr>
            </w:pPr>
            <w:r>
              <w:rPr>
                <w:rFonts w:ascii="Arial" w:cs="Arial" w:eastAsia="Arial" w:hAnsi="Arial"/>
                <w:sz w:val="11"/>
                <w:szCs w:val="11"/>
                <w:color w:val="auto"/>
              </w:rPr>
              <w:t>(207,470)</w:t>
            </w:r>
          </w:p>
        </w:tc>
        <w:tc>
          <w:tcPr>
            <w:tcW w:w="80" w:type="dxa"/>
            <w:vAlign w:val="bottom"/>
            <w:tcBorders>
              <w:top w:val="single" w:sz="8" w:color="auto"/>
            </w:tcBorders>
          </w:tcPr>
          <w:p>
            <w:pPr>
              <w:spacing w:after="0" w:line="102"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213,078</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2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Follow on offering, net of issuance costs</w:t>
            </w:r>
          </w:p>
        </w:tc>
        <w:tc>
          <w:tcPr>
            <w:tcW w:w="680" w:type="dxa"/>
            <w:vAlign w:val="bottom"/>
            <w:gridSpan w:val="2"/>
            <w:shd w:val="clear" w:color="auto" w:fill="CCEEFF"/>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w w:val="87"/>
              </w:rPr>
              <w:t>10,009,259</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w w:val="81"/>
              </w:rPr>
              <w:t>10</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541,366</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26"/>
              <w:spacing w:after="0" w:line="109"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541,376</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rPr>
                <w:sz w:val="20"/>
                <w:szCs w:val="20"/>
                <w:color w:val="auto"/>
              </w:rPr>
            </w:pPr>
            <w:r>
              <w:rPr>
                <w:rFonts w:ascii="Arial" w:cs="Arial" w:eastAsia="Arial" w:hAnsi="Arial"/>
                <w:sz w:val="11"/>
                <w:szCs w:val="11"/>
                <w:color w:val="auto"/>
              </w:rPr>
              <w:t>Issuance of common stock under stock plan</w:t>
            </w: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428,210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4,887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4,887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Purchase of common stock under ESPP</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16,703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6"/>
                <w:szCs w:val="16"/>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12,523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12,523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w w:val="99"/>
              </w:rPr>
              <w:t>Unrealized loss on available-for-sale securities, net of tax</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(251)</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(251)</w:t>
            </w: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rPr>
                <w:sz w:val="20"/>
                <w:szCs w:val="20"/>
                <w:color w:val="auto"/>
              </w:rPr>
            </w:pPr>
            <w:r>
              <w:rPr>
                <w:rFonts w:ascii="Arial" w:cs="Arial" w:eastAsia="Arial" w:hAnsi="Arial"/>
                <w:sz w:val="11"/>
                <w:szCs w:val="11"/>
                <w:color w:val="auto"/>
              </w:rPr>
              <w:t>Net loss</w:t>
            </w: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(148,119)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(148,119)</w:t>
            </w:r>
          </w:p>
        </w:tc>
        <w:tc>
          <w:tcPr>
            <w:tcW w:w="0" w:type="dxa"/>
            <w:vAlign w:val="bottom"/>
          </w:tcPr>
          <w:p>
            <w:pPr>
              <w:spacing w:after="0"/>
              <w:rPr>
                <w:sz w:val="1"/>
                <w:szCs w:val="1"/>
                <w:color w:val="auto"/>
              </w:rPr>
            </w:pPr>
          </w:p>
        </w:tc>
      </w:tr>
      <w:tr>
        <w:trPr>
          <w:trHeight w:val="163"/>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December 31, 2017</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5"/>
                <w:szCs w:val="5"/>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87"/>
              </w:rPr>
              <w:t>43,577,526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1"/>
                <w:szCs w:val="11"/>
                <w:color w:val="auto"/>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81"/>
              </w:rPr>
              <w:t>43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979,785</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1"/>
                <w:szCs w:val="1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(269)</w:t>
            </w:r>
          </w:p>
        </w:tc>
        <w:tc>
          <w:tcPr>
            <w:tcW w:w="1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1"/>
                <w:szCs w:val="11"/>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(355,589)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623,970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661225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600"/>
          </w:cols>
          <w:pgMar w:left="740" w:top="112" w:right="559" w:bottom="1440" w:gutter="0" w:footer="0" w:header="0"/>
        </w:sectPr>
      </w:pPr>
    </w:p>
    <w:bookmarkStart w:id="116" w:name="page117"/>
    <w:bookmarkEnd w:id="1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4"/>
                <w:szCs w:val="14"/>
                <w:b w:val="1"/>
                <w:bCs w:val="1"/>
                <w:color w:val="auto"/>
                <w:w w:val="94"/>
              </w:rPr>
              <w:t>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74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31"/>
              <w:spacing w:after="0" w:line="129"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31"/>
              <w:spacing w:after="0" w:line="129"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71"/>
              <w:spacing w:after="0" w:line="129"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69"/>
        </w:trPr>
        <w:tc>
          <w:tcPr>
            <w:tcW w:w="574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Operating activities</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740" w:type="dxa"/>
            <w:vAlign w:val="bottom"/>
          </w:tcPr>
          <w:p>
            <w:pPr>
              <w:spacing w:after="0" w:line="176" w:lineRule="exact"/>
              <w:rPr>
                <w:sz w:val="20"/>
                <w:szCs w:val="20"/>
                <w:color w:val="auto"/>
              </w:rPr>
            </w:pPr>
            <w:r>
              <w:rPr>
                <w:rFonts w:ascii="Arial" w:cs="Arial" w:eastAsia="Arial" w:hAnsi="Arial"/>
                <w:sz w:val="18"/>
                <w:szCs w:val="18"/>
                <w:color w:val="auto"/>
              </w:rPr>
              <w:t>Net loss</w:t>
            </w:r>
          </w:p>
        </w:tc>
        <w:tc>
          <w:tcPr>
            <w:tcW w:w="5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(148,119)</w:t>
            </w:r>
          </w:p>
        </w:tc>
        <w:tc>
          <w:tcPr>
            <w:tcW w:w="40" w:type="dxa"/>
            <w:vAlign w:val="bottom"/>
          </w:tcPr>
          <w:p>
            <w:pPr>
              <w:spacing w:after="0"/>
              <w:rPr>
                <w:sz w:val="15"/>
                <w:szCs w:val="15"/>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(72,495)</w:t>
            </w:r>
          </w:p>
        </w:tc>
        <w:tc>
          <w:tcPr>
            <w:tcW w:w="1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(52,769)</w:t>
            </w:r>
          </w:p>
        </w:tc>
        <w:tc>
          <w:tcPr>
            <w:tcW w:w="0" w:type="dxa"/>
            <w:vAlign w:val="bottom"/>
          </w:tcPr>
          <w:p>
            <w:pPr>
              <w:spacing w:after="0"/>
              <w:rPr>
                <w:sz w:val="1"/>
                <w:szCs w:val="1"/>
                <w:color w:val="auto"/>
              </w:rPr>
            </w:pPr>
          </w:p>
        </w:tc>
      </w:tr>
      <w:tr>
        <w:trPr>
          <w:trHeight w:val="176"/>
        </w:trPr>
        <w:tc>
          <w:tcPr>
            <w:tcW w:w="57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8"/>
              </w:rPr>
              <w:t>Adjustments to reconcile net loss to net cash used in operating activities:</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40" w:type="dxa"/>
            <w:vAlign w:val="bottom"/>
          </w:tcPr>
          <w:p>
            <w:pPr>
              <w:ind w:left="220"/>
              <w:spacing w:after="0" w:line="176" w:lineRule="exact"/>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1,578</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1,582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176"/>
        </w:trPr>
        <w:tc>
          <w:tcPr>
            <w:tcW w:w="57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Noncash interest expense</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73</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76"/>
        </w:trPr>
        <w:tc>
          <w:tcPr>
            <w:tcW w:w="5740" w:type="dxa"/>
            <w:vAlign w:val="bottom"/>
          </w:tcPr>
          <w:p>
            <w:pPr>
              <w:ind w:left="220"/>
              <w:spacing w:after="0" w:line="176" w:lineRule="exact"/>
              <w:rPr>
                <w:sz w:val="20"/>
                <w:szCs w:val="20"/>
                <w:color w:val="auto"/>
              </w:rPr>
            </w:pPr>
            <w:r>
              <w:rPr>
                <w:rFonts w:ascii="Arial" w:cs="Arial" w:eastAsia="Arial" w:hAnsi="Arial"/>
                <w:sz w:val="18"/>
                <w:szCs w:val="18"/>
                <w:color w:val="auto"/>
              </w:rPr>
              <w:t>Change in fair value of warrant liability</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176"/>
        </w:trPr>
        <w:tc>
          <w:tcPr>
            <w:tcW w:w="57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Stock-based compensation</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12,523</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6,140</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5,180</w:t>
            </w:r>
          </w:p>
        </w:tc>
        <w:tc>
          <w:tcPr>
            <w:tcW w:w="0" w:type="dxa"/>
            <w:vAlign w:val="bottom"/>
          </w:tcPr>
          <w:p>
            <w:pPr>
              <w:spacing w:after="0"/>
              <w:rPr>
                <w:sz w:val="1"/>
                <w:szCs w:val="1"/>
                <w:color w:val="auto"/>
              </w:rPr>
            </w:pPr>
          </w:p>
        </w:tc>
      </w:tr>
      <w:tr>
        <w:trPr>
          <w:trHeight w:val="176"/>
        </w:trPr>
        <w:tc>
          <w:tcPr>
            <w:tcW w:w="5740" w:type="dxa"/>
            <w:vAlign w:val="bottom"/>
          </w:tcPr>
          <w:p>
            <w:pPr>
              <w:ind w:left="220"/>
              <w:spacing w:after="0" w:line="176" w:lineRule="exact"/>
              <w:rPr>
                <w:sz w:val="20"/>
                <w:szCs w:val="20"/>
                <w:color w:val="auto"/>
              </w:rPr>
            </w:pPr>
            <w:r>
              <w:rPr>
                <w:rFonts w:ascii="Arial" w:cs="Arial" w:eastAsia="Arial" w:hAnsi="Arial"/>
                <w:sz w:val="18"/>
                <w:szCs w:val="18"/>
                <w:color w:val="auto"/>
              </w:rPr>
              <w:t>Accretion of premiums and discounts on investments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(320)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301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7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Changes in assets and liabilities:</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40" w:type="dxa"/>
            <w:vAlign w:val="bottom"/>
          </w:tcPr>
          <w:p>
            <w:pPr>
              <w:ind w:left="320"/>
              <w:spacing w:after="0" w:line="176" w:lineRule="exact"/>
              <w:rPr>
                <w:sz w:val="20"/>
                <w:szCs w:val="20"/>
                <w:color w:val="auto"/>
              </w:rPr>
            </w:pPr>
            <w:r>
              <w:rPr>
                <w:rFonts w:ascii="Arial" w:cs="Arial" w:eastAsia="Arial" w:hAnsi="Arial"/>
                <w:sz w:val="18"/>
                <w:szCs w:val="18"/>
                <w:color w:val="auto"/>
              </w:rPr>
              <w:t>Unbilled accounts receivable</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3,577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(163)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176"/>
        </w:trPr>
        <w:tc>
          <w:tcPr>
            <w:tcW w:w="574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Prepaid expenses and other current assets</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(7,266)</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1,470</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176"/>
        </w:trPr>
        <w:tc>
          <w:tcPr>
            <w:tcW w:w="5740" w:type="dxa"/>
            <w:vAlign w:val="bottom"/>
          </w:tcPr>
          <w:p>
            <w:pPr>
              <w:ind w:left="320"/>
              <w:spacing w:after="0" w:line="176" w:lineRule="exact"/>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(458)</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(304)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176"/>
        </w:trPr>
        <w:tc>
          <w:tcPr>
            <w:tcW w:w="574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Accounts payable</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1,532</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176"/>
        </w:trPr>
        <w:tc>
          <w:tcPr>
            <w:tcW w:w="5740" w:type="dxa"/>
            <w:vAlign w:val="bottom"/>
          </w:tcPr>
          <w:p>
            <w:pPr>
              <w:ind w:left="320"/>
              <w:spacing w:after="0" w:line="176" w:lineRule="exact"/>
              <w:rPr>
                <w:sz w:val="20"/>
                <w:szCs w:val="20"/>
                <w:color w:val="auto"/>
              </w:rPr>
            </w:pPr>
            <w:r>
              <w:rPr>
                <w:rFonts w:ascii="Arial" w:cs="Arial" w:eastAsia="Arial" w:hAnsi="Arial"/>
                <w:sz w:val="18"/>
                <w:szCs w:val="18"/>
                <w:color w:val="auto"/>
              </w:rPr>
              <w:t>Accrued expenses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14,597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5,773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176"/>
        </w:trPr>
        <w:tc>
          <w:tcPr>
            <w:tcW w:w="574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Deferred revenue</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(11,861)</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33,594</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13,641</w:t>
            </w:r>
          </w:p>
        </w:tc>
        <w:tc>
          <w:tcPr>
            <w:tcW w:w="0" w:type="dxa"/>
            <w:vAlign w:val="bottom"/>
          </w:tcPr>
          <w:p>
            <w:pPr>
              <w:spacing w:after="0"/>
              <w:rPr>
                <w:sz w:val="1"/>
                <w:szCs w:val="1"/>
                <w:color w:val="auto"/>
              </w:rPr>
            </w:pPr>
          </w:p>
        </w:tc>
      </w:tr>
      <w:tr>
        <w:trPr>
          <w:trHeight w:val="176"/>
        </w:trPr>
        <w:tc>
          <w:tcPr>
            <w:tcW w:w="5740" w:type="dxa"/>
            <w:vAlign w:val="bottom"/>
            <w:tcBorders>
              <w:bottom w:val="single" w:sz="8" w:color="CCEEFF"/>
            </w:tcBorders>
          </w:tcPr>
          <w:p>
            <w:pPr>
              <w:ind w:left="320"/>
              <w:spacing w:after="0" w:line="176" w:lineRule="exact"/>
              <w:rPr>
                <w:sz w:val="20"/>
                <w:szCs w:val="20"/>
                <w:color w:val="auto"/>
              </w:rPr>
            </w:pPr>
            <w:r>
              <w:rPr>
                <w:rFonts w:ascii="Arial" w:cs="Arial" w:eastAsia="Arial" w:hAnsi="Arial"/>
                <w:sz w:val="18"/>
                <w:szCs w:val="18"/>
                <w:color w:val="auto"/>
              </w:rPr>
              <w:t>Deferred rent</w:t>
            </w:r>
          </w:p>
        </w:tc>
        <w:tc>
          <w:tcPr>
            <w:tcW w:w="4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14,320</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(488)</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169"/>
        </w:trPr>
        <w:tc>
          <w:tcPr>
            <w:tcW w:w="57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Net cash used in operating activities</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(119,865)</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(24,513)</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(31,676)</w:t>
            </w:r>
          </w:p>
        </w:tc>
        <w:tc>
          <w:tcPr>
            <w:tcW w:w="0" w:type="dxa"/>
            <w:vAlign w:val="bottom"/>
          </w:tcPr>
          <w:p>
            <w:pPr>
              <w:spacing w:after="0"/>
              <w:rPr>
                <w:sz w:val="1"/>
                <w:szCs w:val="1"/>
                <w:color w:val="auto"/>
              </w:rPr>
            </w:pPr>
          </w:p>
        </w:tc>
      </w:tr>
      <w:tr>
        <w:trPr>
          <w:trHeight w:val="176"/>
        </w:trPr>
        <w:tc>
          <w:tcPr>
            <w:tcW w:w="5740" w:type="dxa"/>
            <w:vAlign w:val="bottom"/>
          </w:tcPr>
          <w:p>
            <w:pPr>
              <w:spacing w:after="0" w:line="176" w:lineRule="exact"/>
              <w:rPr>
                <w:sz w:val="20"/>
                <w:szCs w:val="20"/>
                <w:color w:val="auto"/>
              </w:rPr>
            </w:pPr>
            <w:r>
              <w:rPr>
                <w:rFonts w:ascii="Arial" w:cs="Arial" w:eastAsia="Arial" w:hAnsi="Arial"/>
                <w:sz w:val="18"/>
                <w:szCs w:val="18"/>
                <w:b w:val="1"/>
                <w:bCs w:val="1"/>
                <w:color w:val="auto"/>
              </w:rPr>
              <w:t>Investing activities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Purchases of property and equipment</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(15,512)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(2,354)</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(4,883)</w:t>
            </w:r>
          </w:p>
        </w:tc>
        <w:tc>
          <w:tcPr>
            <w:tcW w:w="0" w:type="dxa"/>
            <w:vAlign w:val="bottom"/>
          </w:tcPr>
          <w:p>
            <w:pPr>
              <w:spacing w:after="0"/>
              <w:rPr>
                <w:sz w:val="1"/>
                <w:szCs w:val="1"/>
                <w:color w:val="auto"/>
              </w:rPr>
            </w:pPr>
          </w:p>
        </w:tc>
      </w:tr>
      <w:tr>
        <w:trPr>
          <w:trHeight w:val="176"/>
        </w:trPr>
        <w:tc>
          <w:tcPr>
            <w:tcW w:w="5740" w:type="dxa"/>
            <w:vAlign w:val="bottom"/>
          </w:tcPr>
          <w:p>
            <w:pPr>
              <w:spacing w:after="0" w:line="176" w:lineRule="exact"/>
              <w:rPr>
                <w:sz w:val="20"/>
                <w:szCs w:val="20"/>
                <w:color w:val="auto"/>
              </w:rPr>
            </w:pPr>
            <w:r>
              <w:rPr>
                <w:rFonts w:ascii="Arial" w:cs="Arial" w:eastAsia="Arial" w:hAnsi="Arial"/>
                <w:sz w:val="18"/>
                <w:szCs w:val="18"/>
                <w:color w:val="auto"/>
              </w:rPr>
              <w:t>Restricted cash</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(3,501)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119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176"/>
        </w:trPr>
        <w:tc>
          <w:tcPr>
            <w:tcW w:w="57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Purchases of investments</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(360,835)</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(264,467)</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7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Maturities of investments</w:t>
            </w:r>
          </w:p>
        </w:tc>
        <w:tc>
          <w:tcPr>
            <w:tcW w:w="4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304,000</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48,000</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57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Net cash used in investing activities</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(75,848)</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(218,702)</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(6,079)</w:t>
            </w:r>
          </w:p>
        </w:tc>
        <w:tc>
          <w:tcPr>
            <w:tcW w:w="0" w:type="dxa"/>
            <w:vAlign w:val="bottom"/>
          </w:tcPr>
          <w:p>
            <w:pPr>
              <w:spacing w:after="0"/>
              <w:rPr>
                <w:sz w:val="1"/>
                <w:szCs w:val="1"/>
                <w:color w:val="auto"/>
              </w:rPr>
            </w:pPr>
          </w:p>
        </w:tc>
      </w:tr>
      <w:tr>
        <w:trPr>
          <w:trHeight w:val="176"/>
        </w:trPr>
        <w:tc>
          <w:tcPr>
            <w:tcW w:w="5740" w:type="dxa"/>
            <w:vAlign w:val="bottom"/>
          </w:tcPr>
          <w:p>
            <w:pPr>
              <w:spacing w:after="0" w:line="176" w:lineRule="exact"/>
              <w:rPr>
                <w:sz w:val="20"/>
                <w:szCs w:val="20"/>
                <w:color w:val="auto"/>
              </w:rPr>
            </w:pPr>
            <w:r>
              <w:rPr>
                <w:rFonts w:ascii="Arial" w:cs="Arial" w:eastAsia="Arial" w:hAnsi="Arial"/>
                <w:sz w:val="18"/>
                <w:szCs w:val="18"/>
                <w:b w:val="1"/>
                <w:bCs w:val="1"/>
                <w:color w:val="auto"/>
              </w:rPr>
              <w:t>Financing activities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Principal payments on loan payable</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(2,583)</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(3,333)</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176"/>
        </w:trPr>
        <w:tc>
          <w:tcPr>
            <w:tcW w:w="5740" w:type="dxa"/>
            <w:vAlign w:val="bottom"/>
          </w:tcPr>
          <w:p>
            <w:pPr>
              <w:spacing w:after="0" w:line="176" w:lineRule="exact"/>
              <w:rPr>
                <w:sz w:val="20"/>
                <w:szCs w:val="20"/>
                <w:color w:val="auto"/>
              </w:rPr>
            </w:pPr>
            <w:r>
              <w:rPr>
                <w:rFonts w:ascii="Arial" w:cs="Arial" w:eastAsia="Arial" w:hAnsi="Arial"/>
                <w:sz w:val="18"/>
                <w:szCs w:val="18"/>
                <w:color w:val="auto"/>
              </w:rPr>
              <w:t>Payment of offering costs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(965)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(143)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149"/>
        </w:trPr>
        <w:tc>
          <w:tcPr>
            <w:tcW w:w="574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Proceeds from public offerings of common stock, net of commissions and</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542,225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135,125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156,815</w:t>
            </w: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underwriting discounts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7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Proceeds from issuance of common stock, net of repurchases</w:t>
            </w:r>
          </w:p>
        </w:tc>
        <w:tc>
          <w:tcPr>
            <w:tcW w:w="4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5,271</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928</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183"/>
        </w:trPr>
        <w:tc>
          <w:tcPr>
            <w:tcW w:w="57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cash provided by financing activities</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543,948</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132,577</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153,222</w:t>
            </w:r>
          </w:p>
        </w:tc>
        <w:tc>
          <w:tcPr>
            <w:tcW w:w="0" w:type="dxa"/>
            <w:vAlign w:val="bottom"/>
          </w:tcPr>
          <w:p>
            <w:pPr>
              <w:spacing w:after="0"/>
              <w:rPr>
                <w:sz w:val="1"/>
                <w:szCs w:val="1"/>
                <w:color w:val="auto"/>
              </w:rPr>
            </w:pPr>
          </w:p>
        </w:tc>
      </w:tr>
      <w:tr>
        <w:trPr>
          <w:trHeight w:val="176"/>
        </w:trPr>
        <w:tc>
          <w:tcPr>
            <w:tcW w:w="5740" w:type="dxa"/>
            <w:vAlign w:val="bottom"/>
          </w:tcPr>
          <w:p>
            <w:pPr>
              <w:spacing w:after="0" w:line="176" w:lineRule="exact"/>
              <w:rPr>
                <w:sz w:val="20"/>
                <w:szCs w:val="20"/>
                <w:color w:val="auto"/>
              </w:rPr>
            </w:pPr>
            <w:r>
              <w:rPr>
                <w:rFonts w:ascii="Arial" w:cs="Arial" w:eastAsia="Arial" w:hAnsi="Arial"/>
                <w:sz w:val="18"/>
                <w:szCs w:val="18"/>
                <w:color w:val="auto"/>
              </w:rPr>
              <w:t>Net increase (decrease) in cash and cash equivalents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348,235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(110,638)</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115,467</w:t>
            </w:r>
          </w:p>
        </w:tc>
        <w:tc>
          <w:tcPr>
            <w:tcW w:w="0" w:type="dxa"/>
            <w:vAlign w:val="bottom"/>
          </w:tcPr>
          <w:p>
            <w:pPr>
              <w:spacing w:after="0"/>
              <w:rPr>
                <w:sz w:val="1"/>
                <w:szCs w:val="1"/>
                <w:color w:val="auto"/>
              </w:rPr>
            </w:pPr>
          </w:p>
        </w:tc>
      </w:tr>
      <w:tr>
        <w:trPr>
          <w:trHeight w:val="176"/>
        </w:trPr>
        <w:tc>
          <w:tcPr>
            <w:tcW w:w="57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Cash and cash equivalents at beginning of period</w:t>
            </w:r>
          </w:p>
        </w:tc>
        <w:tc>
          <w:tcPr>
            <w:tcW w:w="4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52,069</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162,707</w:t>
            </w:r>
          </w:p>
        </w:tc>
        <w:tc>
          <w:tcPr>
            <w:tcW w:w="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47,240</w:t>
            </w:r>
          </w:p>
        </w:tc>
        <w:tc>
          <w:tcPr>
            <w:tcW w:w="0" w:type="dxa"/>
            <w:vAlign w:val="bottom"/>
          </w:tcPr>
          <w:p>
            <w:pPr>
              <w:spacing w:after="0"/>
              <w:rPr>
                <w:sz w:val="1"/>
                <w:szCs w:val="1"/>
                <w:color w:val="auto"/>
              </w:rPr>
            </w:pPr>
          </w:p>
        </w:tc>
      </w:tr>
      <w:tr>
        <w:trPr>
          <w:trHeight w:val="176"/>
        </w:trPr>
        <w:tc>
          <w:tcPr>
            <w:tcW w:w="574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Cash and cash equivalents at end of period</w:t>
            </w:r>
          </w:p>
        </w:tc>
        <w:tc>
          <w:tcPr>
            <w:tcW w:w="4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400,304</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52,069</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162,707</w:t>
            </w:r>
          </w:p>
        </w:tc>
        <w:tc>
          <w:tcPr>
            <w:tcW w:w="0" w:type="dxa"/>
            <w:vAlign w:val="bottom"/>
          </w:tcPr>
          <w:p>
            <w:pPr>
              <w:spacing w:after="0"/>
              <w:rPr>
                <w:sz w:val="1"/>
                <w:szCs w:val="1"/>
                <w:color w:val="auto"/>
              </w:rPr>
            </w:pPr>
          </w:p>
        </w:tc>
      </w:tr>
      <w:tr>
        <w:trPr>
          <w:trHeight w:val="176"/>
        </w:trPr>
        <w:tc>
          <w:tcPr>
            <w:tcW w:w="574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Supplemental cash flow information</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40" w:type="dxa"/>
            <w:vAlign w:val="bottom"/>
          </w:tcPr>
          <w:p>
            <w:pPr>
              <w:spacing w:after="0" w:line="176" w:lineRule="exact"/>
              <w:rPr>
                <w:sz w:val="20"/>
                <w:szCs w:val="20"/>
                <w:color w:val="auto"/>
              </w:rPr>
            </w:pPr>
            <w:r>
              <w:rPr>
                <w:rFonts w:ascii="Arial" w:cs="Arial" w:eastAsia="Arial" w:hAnsi="Arial"/>
                <w:sz w:val="18"/>
                <w:szCs w:val="18"/>
                <w:color w:val="auto"/>
              </w:rPr>
              <w:t>Public offering costs incurred but unpaid at period end</w:t>
            </w:r>
          </w:p>
        </w:tc>
        <w:tc>
          <w:tcPr>
            <w:tcW w:w="5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317</w:t>
            </w:r>
          </w:p>
        </w:tc>
        <w:tc>
          <w:tcPr>
            <w:tcW w:w="40" w:type="dxa"/>
            <w:vAlign w:val="bottom"/>
          </w:tcPr>
          <w:p>
            <w:pPr>
              <w:spacing w:after="0"/>
              <w:rPr>
                <w:sz w:val="15"/>
                <w:szCs w:val="15"/>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433</w:t>
            </w:r>
          </w:p>
        </w:tc>
        <w:tc>
          <w:tcPr>
            <w:tcW w:w="1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740" w:type="dxa"/>
            <w:vAlign w:val="bottom"/>
            <w:tcBorders>
              <w:top w:val="single" w:sz="8" w:color="CCEEFF"/>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Property and equipment purchases unpaid at period end</w:t>
            </w: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3,947</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170"/>
        </w:trPr>
        <w:tc>
          <w:tcPr>
            <w:tcW w:w="5740" w:type="dxa"/>
            <w:vAlign w:val="bottom"/>
            <w:tcBorders>
              <w:bottom w:val="single" w:sz="8" w:color="CCEEFF"/>
            </w:tcBorders>
          </w:tcPr>
          <w:p>
            <w:pPr>
              <w:spacing w:after="0" w:line="163" w:lineRule="exact"/>
              <w:rPr>
                <w:sz w:val="20"/>
                <w:szCs w:val="20"/>
                <w:color w:val="auto"/>
              </w:rPr>
            </w:pPr>
            <w:r>
              <w:rPr>
                <w:rFonts w:ascii="Arial" w:cs="Arial" w:eastAsia="Arial" w:hAnsi="Arial"/>
                <w:sz w:val="18"/>
                <w:szCs w:val="18"/>
                <w:color w:val="auto"/>
              </w:rPr>
              <w:t>Conversion of convertible preferred stock into common stock</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114,808</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Reclassification of warrant liability to additional paid-in-capital</w:t>
            </w:r>
          </w:p>
        </w:tc>
        <w:tc>
          <w:tcPr>
            <w:tcW w:w="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170"/>
        </w:trPr>
        <w:tc>
          <w:tcPr>
            <w:tcW w:w="5740" w:type="dxa"/>
            <w:vAlign w:val="bottom"/>
          </w:tcPr>
          <w:p>
            <w:pPr>
              <w:spacing w:after="0" w:line="163" w:lineRule="exact"/>
              <w:rPr>
                <w:sz w:val="20"/>
                <w:szCs w:val="20"/>
                <w:color w:val="auto"/>
              </w:rPr>
            </w:pPr>
            <w:r>
              <w:rPr>
                <w:rFonts w:ascii="Arial" w:cs="Arial" w:eastAsia="Arial" w:hAnsi="Arial"/>
                <w:sz w:val="18"/>
                <w:szCs w:val="18"/>
                <w:color w:val="auto"/>
              </w:rPr>
              <w:t>Cash paid for interest</w:t>
            </w:r>
          </w:p>
        </w:tc>
        <w:tc>
          <w:tcPr>
            <w:tcW w:w="44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151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line="163"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316</w:t>
            </w:r>
          </w:p>
        </w:tc>
        <w:tc>
          <w:tcPr>
            <w:tcW w:w="4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432"/>
        </w:trPr>
        <w:tc>
          <w:tcPr>
            <w:tcW w:w="5740" w:type="dxa"/>
            <w:vAlign w:val="bottom"/>
          </w:tcPr>
          <w:p>
            <w:pPr>
              <w:ind w:left="4400"/>
              <w:spacing w:after="0"/>
              <w:rPr>
                <w:sz w:val="20"/>
                <w:szCs w:val="20"/>
                <w:color w:val="auto"/>
              </w:rPr>
            </w:pPr>
            <w:r>
              <w:rPr>
                <w:rFonts w:ascii="Arial" w:cs="Arial" w:eastAsia="Arial" w:hAnsi="Arial"/>
                <w:sz w:val="18"/>
                <w:szCs w:val="18"/>
                <w:color w:val="auto"/>
              </w:rPr>
              <w:t>F-6</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7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1" w:right="1419" w:bottom="1440" w:gutter="0" w:footer="0" w:header="0"/>
        </w:sectPr>
      </w:pPr>
    </w:p>
    <w:bookmarkStart w:id="117" w:name="page118"/>
    <w:bookmarkEnd w:id="1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89"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Blueprint Medicines Corporation (the Company), a Delaware corporation incorporated on October 14, 2008, is a biopharmaceutical company focused on developing potentially transformational medicines to improve the lives of patients with genomically defined cancers and rare diseases. The Company’s approach is to leverage its novel target discovery engine to systematically and reproducibly identify kinases that are drivers of diseases in genomically defined patient populations and to craft highly selective and potent drug candidates that may provide significant and durable clinical responses for patients without adequate treatment options.</w:t>
      </w:r>
    </w:p>
    <w:p>
      <w:pPr>
        <w:spacing w:after="0" w:line="162"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The Company is devoting substantially all of its efforts to research and development, initial market development and raising capital. The Company is subject to a number of risks similar to those of other early stage companies, including dependence on key individuals; establishing safety and efficacy in clinical trials for its drug candidates; the need to develop commercially viable drug candidates; competition from other companies, many of which are larger and better capitalized; and the need to obtain adequate additional financing to fund the development of its drug candidates. If the Company is unable to raise capital when needed or on attractive terms, it would be forced to delay, reduce, eliminate or out</w:t>
      </w:r>
      <w:r>
        <w:rPr>
          <w:rFonts w:ascii="MS PGothic" w:cs="MS PGothic" w:eastAsia="MS PGothic" w:hAnsi="MS PGothic"/>
          <w:sz w:val="17"/>
          <w:szCs w:val="17"/>
          <w:color w:val="auto"/>
        </w:rPr>
        <w:t>‑</w:t>
      </w:r>
      <w:r>
        <w:rPr>
          <w:rFonts w:ascii="Arial" w:cs="Arial" w:eastAsia="Arial" w:hAnsi="Arial"/>
          <w:sz w:val="17"/>
          <w:szCs w:val="17"/>
          <w:color w:val="auto"/>
        </w:rPr>
        <w:t>license certain of its research and development programs or future commercialization efforts.</w:t>
      </w:r>
    </w:p>
    <w:p>
      <w:pPr>
        <w:spacing w:after="0" w:line="162" w:lineRule="exact"/>
        <w:rPr>
          <w:sz w:val="20"/>
          <w:szCs w:val="20"/>
          <w:color w:val="auto"/>
        </w:rPr>
      </w:pPr>
    </w:p>
    <w:p>
      <w:pPr>
        <w:ind w:right="20" w:firstLine="648"/>
        <w:spacing w:after="0" w:line="229" w:lineRule="auto"/>
        <w:rPr>
          <w:sz w:val="20"/>
          <w:szCs w:val="20"/>
          <w:color w:val="auto"/>
        </w:rPr>
      </w:pPr>
      <w:r>
        <w:rPr>
          <w:rFonts w:ascii="Arial" w:cs="Arial" w:eastAsia="Arial" w:hAnsi="Arial"/>
          <w:sz w:val="17"/>
          <w:szCs w:val="17"/>
          <w:color w:val="auto"/>
        </w:rPr>
        <w:t>On May 5, 2015, the Company completed an initial public offering (IPO) of its common stock, which resulted in the sale of 9,367,708 shares of its common stock at a price to the public of $18.00 per share, including 1,221,874 shares of common stock sold by the Company pursuant to the exercise in full by the underwriters of their option to purchase additional shares in connection with the offering. The Company received net proceeds of $154.8 million, after deducting underwriting discounts and commissions and offering expenses paid by the Company.</w:t>
      </w:r>
    </w:p>
    <w:p>
      <w:pPr>
        <w:spacing w:after="0" w:line="161" w:lineRule="exact"/>
        <w:rPr>
          <w:sz w:val="20"/>
          <w:szCs w:val="20"/>
          <w:color w:val="auto"/>
        </w:rPr>
      </w:pPr>
    </w:p>
    <w:p>
      <w:pPr>
        <w:ind w:right="160" w:firstLine="648"/>
        <w:spacing w:after="0" w:line="216" w:lineRule="auto"/>
        <w:rPr>
          <w:sz w:val="20"/>
          <w:szCs w:val="20"/>
          <w:color w:val="auto"/>
        </w:rPr>
      </w:pPr>
      <w:r>
        <w:rPr>
          <w:rFonts w:ascii="Arial" w:cs="Arial" w:eastAsia="Arial" w:hAnsi="Arial"/>
          <w:sz w:val="18"/>
          <w:szCs w:val="18"/>
          <w:color w:val="auto"/>
        </w:rPr>
        <w:t>On December 13, 2016, the Company closed its underwritten public offering of 5,750,000 shares of its common stock at a price to the public of $25.00 per share, including 750,000 shares of common stock sold by the Company pursuant to the exercise in full by the underwriters of their option to purchase additional shares in connection with the offering. The Company received net proceeds of $134.5 million, after deducting underwriting discounts and commissions and offering expenses paid by the Company.</w:t>
      </w:r>
    </w:p>
    <w:p>
      <w:pPr>
        <w:spacing w:after="0" w:line="162"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On April 4, 2017, the Company closed its underwritten public offering of 5,750,000 shares of its common stock at a price to the public of $40.00 per share, including 750,000 shares of common stock sold by the Company pursuant to the exercise in full by the underwriters of their option to purchase additional shares in connection with the offering. The Company received net proceeds of approximately $215.6 million, after deducting underwriting discounts and commissions and offering expenses payable by the Company.</w:t>
      </w:r>
    </w:p>
    <w:p>
      <w:pPr>
        <w:spacing w:after="0" w:line="162" w:lineRule="exact"/>
        <w:rPr>
          <w:sz w:val="20"/>
          <w:szCs w:val="20"/>
          <w:color w:val="auto"/>
        </w:rPr>
      </w:pPr>
    </w:p>
    <w:p>
      <w:pPr>
        <w:ind w:right="160" w:firstLine="648"/>
        <w:spacing w:after="0" w:line="216" w:lineRule="auto"/>
        <w:rPr>
          <w:sz w:val="20"/>
          <w:szCs w:val="20"/>
          <w:color w:val="auto"/>
        </w:rPr>
      </w:pPr>
      <w:r>
        <w:rPr>
          <w:rFonts w:ascii="Arial" w:cs="Arial" w:eastAsia="Arial" w:hAnsi="Arial"/>
          <w:sz w:val="18"/>
          <w:szCs w:val="18"/>
          <w:color w:val="auto"/>
        </w:rPr>
        <w:t>On December 15, 2017, the Company closed its underwritten public offering of 4,259,259 shares of its common stock at a price to the public of $81.00 per share, including 555,555 shares of common stock sold by the Company pursuant to the exercise in full by the underwriters of their option to purchase additional shares in connection with the offering. The Company received net proceeds of approximately $325.7 million, after deducting underwriting discounts and commissions and offering expenses payable by the Company.</w:t>
      </w:r>
    </w:p>
    <w:p>
      <w:pPr>
        <w:spacing w:after="0" w:line="162"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As of December 31, 2017, the Company had cash, cash equivalents and investments of $673.4 million. Based on the Company’s current plans, the Company expects that its existing cash, cash equivalents and investments, excluding any potential option fees and milestone payments under its existing collaboration with F. Hoffmann-La Roche Ltd and Hoffmann-La Roche Inc. (collectively, Roche), will be sufficient to enable it to fund its operating expenses and capital expenditure requirements into the middle of 2020.</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18" w:name="page119"/>
    <w:bookmarkEnd w:id="1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ind w:right="2320"/>
        <w:spacing w:after="0" w:line="456" w:lineRule="auto"/>
        <w:rPr>
          <w:sz w:val="20"/>
          <w:szCs w:val="20"/>
          <w:color w:val="auto"/>
        </w:rPr>
      </w:pPr>
      <w:r>
        <w:rPr>
          <w:rFonts w:ascii="Arial" w:cs="Arial" w:eastAsia="Arial" w:hAnsi="Arial"/>
          <w:sz w:val="18"/>
          <w:szCs w:val="18"/>
          <w:b w:val="1"/>
          <w:bCs w:val="1"/>
          <w:color w:val="auto"/>
        </w:rPr>
        <w:t xml:space="preserve">2. Summary of Significant Accounting Policies and Recent Accounting Pronouncements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The audited consolidated financial statements of the Company included herein have been prepared in accordance with accounting principles generally accepted in the United States (GAAP) as found in the Accounting Standards Codification (ASC) and Accounting Standards Update (ASU) of the Financial Accounting Standards Board (FASB) and the rules and regulations of the SEC.</w:t>
      </w:r>
    </w:p>
    <w:p>
      <w:pPr>
        <w:spacing w:after="0" w:line="163" w:lineRule="exact"/>
        <w:rPr>
          <w:sz w:val="20"/>
          <w:szCs w:val="20"/>
          <w:color w:val="auto"/>
        </w:rPr>
      </w:pPr>
    </w:p>
    <w:p>
      <w:pPr>
        <w:ind w:right="280" w:firstLine="648"/>
        <w:spacing w:after="0" w:line="224"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subsidiary, Blueprint Medicines Security Corporation, which is a Massachusetts subsidiary created to buy, sell and hold securities. All intercompany transactions and balances have been eliminated.</w:t>
      </w:r>
    </w:p>
    <w:p>
      <w:pPr>
        <w:spacing w:after="0" w:line="163" w:lineRule="exact"/>
        <w:rPr>
          <w:sz w:val="20"/>
          <w:szCs w:val="20"/>
          <w:color w:val="auto"/>
        </w:rPr>
      </w:pPr>
    </w:p>
    <w:p>
      <w:pPr>
        <w:ind w:right="20" w:firstLine="675"/>
        <w:spacing w:after="0" w:line="184" w:lineRule="exact"/>
        <w:rPr>
          <w:sz w:val="20"/>
          <w:szCs w:val="20"/>
          <w:color w:val="auto"/>
        </w:rPr>
      </w:pPr>
      <w:r>
        <w:rPr>
          <w:rFonts w:ascii="Arial" w:cs="Arial" w:eastAsia="Arial" w:hAnsi="Arial"/>
          <w:sz w:val="16"/>
          <w:szCs w:val="16"/>
          <w:color w:val="auto"/>
        </w:rPr>
        <w:t>Effective April 10, 2015, the Company effected a 1</w:t>
      </w:r>
      <w:r>
        <w:rPr>
          <w:rFonts w:ascii="MS PGothic" w:cs="MS PGothic" w:eastAsia="MS PGothic" w:hAnsi="MS PGothic"/>
          <w:sz w:val="16"/>
          <w:szCs w:val="16"/>
          <w:color w:val="auto"/>
        </w:rPr>
        <w:t>‑</w:t>
      </w:r>
      <w:r>
        <w:rPr>
          <w:rFonts w:ascii="Arial" w:cs="Arial" w:eastAsia="Arial" w:hAnsi="Arial"/>
          <w:sz w:val="16"/>
          <w:szCs w:val="16"/>
          <w:color w:val="auto"/>
        </w:rPr>
        <w:t>for</w:t>
      </w:r>
      <w:r>
        <w:rPr>
          <w:rFonts w:ascii="MS PGothic" w:cs="MS PGothic" w:eastAsia="MS PGothic" w:hAnsi="MS PGothic"/>
          <w:sz w:val="16"/>
          <w:szCs w:val="16"/>
          <w:color w:val="auto"/>
        </w:rPr>
        <w:t>‑</w:t>
      </w:r>
      <w:r>
        <w:rPr>
          <w:rFonts w:ascii="Arial" w:cs="Arial" w:eastAsia="Arial" w:hAnsi="Arial"/>
          <w:sz w:val="16"/>
          <w:szCs w:val="16"/>
          <w:color w:val="auto"/>
        </w:rPr>
        <w:t>5.5 reverse stock split of the Company’s common stock. All share and per share amounts in the financial statements and notes thereto have been retroactively adjusted for all periods presented to give effect to this reverse stock split, including reclassifying an amount equal to the reduction in par value of common stock to additional paid</w:t>
      </w:r>
      <w:r>
        <w:rPr>
          <w:rFonts w:ascii="MS PGothic" w:cs="MS PGothic" w:eastAsia="MS PGothic" w:hAnsi="MS PGothic"/>
          <w:sz w:val="16"/>
          <w:szCs w:val="16"/>
          <w:color w:val="auto"/>
        </w:rPr>
        <w:t>‑</w:t>
      </w:r>
      <w:r>
        <w:rPr>
          <w:rFonts w:ascii="Arial" w:cs="Arial" w:eastAsia="Arial" w:hAnsi="Arial"/>
          <w:sz w:val="16"/>
          <w:szCs w:val="16"/>
          <w:color w:val="auto"/>
        </w:rPr>
        <w:t>in capital. Due to the underwritten public offerings completed on December 13, 2016, April 4, 2017, and December 15, 2017, there were significant increases in shares outstanding in the years ended December 31, 2017 and 2016, which impacts the year-over-year comparability of the Company’s net loss per share calculations.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120" w:firstLine="627"/>
        <w:spacing w:after="0" w:line="182" w:lineRule="exact"/>
        <w:rPr>
          <w:sz w:val="20"/>
          <w:szCs w:val="20"/>
          <w:color w:val="auto"/>
        </w:rPr>
      </w:pPr>
      <w:r>
        <w:rPr>
          <w:rFonts w:ascii="Arial" w:cs="Arial" w:eastAsia="Arial" w:hAnsi="Arial"/>
          <w:sz w:val="17"/>
          <w:szCs w:val="17"/>
          <w:color w:val="auto"/>
        </w:rPr>
        <w:t>The preparation of financial statements in conformity with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including estimating the fair value of the Company’s common stock prior to the IPO; revenue recognition; the valuation of liability</w:t>
      </w:r>
      <w:r>
        <w:rPr>
          <w:rFonts w:ascii="MS PGothic" w:cs="MS PGothic" w:eastAsia="MS PGothic" w:hAnsi="MS PGothic"/>
          <w:sz w:val="17"/>
          <w:szCs w:val="17"/>
          <w:color w:val="auto"/>
        </w:rPr>
        <w:t>‑</w:t>
      </w:r>
      <w:r>
        <w:rPr>
          <w:rFonts w:ascii="Arial" w:cs="Arial" w:eastAsia="Arial" w:hAnsi="Arial"/>
          <w:sz w:val="17"/>
          <w:szCs w:val="17"/>
          <w:color w:val="auto"/>
        </w:rPr>
        <w:t>classified warrants prior to the IPO; accrued expenses; and income taxes.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85" w:lineRule="exact"/>
        <w:rPr>
          <w:sz w:val="20"/>
          <w:szCs w:val="20"/>
          <w:color w:val="auto"/>
        </w:rPr>
      </w:pPr>
    </w:p>
    <w:p>
      <w:pPr>
        <w:ind w:right="80" w:firstLine="627"/>
        <w:spacing w:after="0" w:line="219" w:lineRule="auto"/>
        <w:rPr>
          <w:sz w:val="20"/>
          <w:szCs w:val="20"/>
          <w:color w:val="auto"/>
        </w:rPr>
      </w:pPr>
      <w:r>
        <w:rPr>
          <w:rFonts w:ascii="Arial" w:cs="Arial" w:eastAsia="Arial" w:hAnsi="Arial"/>
          <w:sz w:val="18"/>
          <w:szCs w:val="18"/>
          <w:color w:val="auto"/>
        </w:rPr>
        <w:t>The Company’s critical accounting policies are those policies that require the most significant judgments and estimates in the preparation of our financial statements. Management has determined that the Company’s most critical accounting policies are those relating to revenue recognition, accrued research and development expenses, available-for-sale investments and stock-based compensation.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 Investments</w:t>
      </w:r>
    </w:p>
    <w:p>
      <w:pPr>
        <w:spacing w:after="0" w:line="185"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The Company classifies marketable securities with a remaining maturity when purchased of greater than three months as available-for-sale. Marketable securities with a remaining maturity date greater than one year are classified as non-current. Available-for-sale securities are maintained by an investment manager and may consist of U.S. Treasury securities and U.S. government agency securities. Available-for-sale securities are carried at fair value with the unrealized gains and losses included in other comprehensive income (loss) as a component of stockholders’ equity until realized. Any premium or discount arising at purchase is amortized and/or accreted to interest income and/or expense over the life of the instrument. Realized gains and losses are determined using the specific identification method and are included in other income (expense). If any adjustment to fair value reflects a decline in value of the investment, the Company considers all available evidence to evaluate the extent to which the decline is “other-than-temporary” and, if so, will mark the investment to market through a charge to the Company’s statement of operations and comprehensive loss.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19" w:name="page120"/>
    <w:bookmarkEnd w:id="1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 xml:space="preserve">The Company recognizes revenue from license and collaboration agreements in accordance with FASB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(ASC 605). Accordingly, revenue is recognized when all of the following criteria are met:</w:t>
      </w:r>
    </w:p>
    <w:p>
      <w:pPr>
        <w:spacing w:after="0" w:line="124" w:lineRule="exact"/>
        <w:rPr>
          <w:sz w:val="20"/>
          <w:szCs w:val="20"/>
          <w:color w:val="auto"/>
        </w:rPr>
      </w:pPr>
    </w:p>
    <w:p>
      <w:pPr>
        <w:ind w:left="1300" w:hanging="325"/>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185" w:lineRule="exact"/>
        <w:rPr>
          <w:sz w:val="20"/>
          <w:szCs w:val="20"/>
          <w:color w:val="auto"/>
        </w:rPr>
      </w:pPr>
    </w:p>
    <w:p>
      <w:pPr>
        <w:ind w:right="80" w:firstLine="648"/>
        <w:spacing w:after="0" w:line="232" w:lineRule="auto"/>
        <w:rPr>
          <w:sz w:val="20"/>
          <w:szCs w:val="20"/>
          <w:color w:val="auto"/>
        </w:rPr>
      </w:pPr>
      <w:r>
        <w:rPr>
          <w:rFonts w:ascii="Arial" w:cs="Arial" w:eastAsia="Arial" w:hAnsi="Arial"/>
          <w:sz w:val="17"/>
          <w:szCs w:val="17"/>
          <w:color w:val="auto"/>
        </w:rPr>
        <w:t>Amounts received prior to satisfying the revenue recognition criteria are recognized as deferred revenue in the Company’s balance sheets. Amounts expected to be recognized as revenue within the 12 months following the balance sheet date are classified as deferred revenue, current portion. Amounts not expected to be recognized as revenue within the 12 months following the balance sheet date are classified as deferred revenue, net of current portion.</w:t>
      </w:r>
    </w:p>
    <w:p>
      <w:pPr>
        <w:spacing w:after="0" w:line="163"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When evaluating multiple element arrangements, the Company considers whether the deliverables under the arrangement represent separate units of accounting. This evaluation requires subjective determinations and requires management to make judgments about the individual deliverables and whether such deliverables are separable from the other aspects of the contractual relationship. In determining the units of accounting, management evaluates certain criteria, including whether the deliverables have standalone value, based on the consideration of the relevant facts and circumstances for each arrangement. The consideration received is allocated among the separate units of accounting using the relative selling price method, and the applicable revenue recognition criteria are applied to each of the separate units. Deliverables are considered separate units of accounting provided that: (i) the delivered item(s) has value to the customer on a stand-alone basis and (ii) if the arrangement includes a general right of return relative to the delivered item(s), delivery or performance of the undelivered item(s) is considered probable and substantially in the control of the Company. In assessing whether an item has stand-alone value, the Company considers factors such as the research, manufacturing and commercialization capabilities of the collaboration partner and the availability of the associated expertise in the general marketplace. In addition, the Company considers whether the collaboration partner can use the deliverable(s) for their intended purpose without the receipt of the remaining element(s), whether the value of the deliverable is dependent on the undelivered item(s) and whether there are other vendors that can provide the undelivered element(s). The Company’s collaboration agreements with Alexion and Roche do not contain a general right of return relative to the delivered item(s).</w:t>
      </w:r>
    </w:p>
    <w:p>
      <w:pPr>
        <w:spacing w:after="0" w:line="127" w:lineRule="exact"/>
        <w:rPr>
          <w:sz w:val="20"/>
          <w:szCs w:val="20"/>
          <w:color w:val="auto"/>
        </w:rPr>
      </w:pPr>
    </w:p>
    <w:p>
      <w:pPr>
        <w:ind w:right="40" w:firstLine="648"/>
        <w:spacing w:after="0" w:line="234" w:lineRule="auto"/>
        <w:rPr>
          <w:sz w:val="20"/>
          <w:szCs w:val="20"/>
          <w:color w:val="auto"/>
        </w:rPr>
      </w:pPr>
      <w:r>
        <w:rPr>
          <w:rFonts w:ascii="Arial" w:cs="Arial" w:eastAsia="Arial" w:hAnsi="Arial"/>
          <w:sz w:val="16"/>
          <w:szCs w:val="16"/>
          <w:color w:val="auto"/>
        </w:rPr>
        <w:t>Arrangement consideration that is fixed or determinable is allocated among the separate units of accounting using the relative selling price method. Then, the applicable revenue recognition criteria in ASC 605-25 are applied to each of the separate units of accounting in determining the appropriate period and pattern of recognition. The Company determines the selling price of a unit of accounting following the hierarchy of evidence prescribed by ASC 605-25. Accordingly, the Company determines the estimated selling price for units of accounting within each arrangement using vendor-specific objective evidence (VSOE) of selling price, if available, third-party evidence (TPE) of selling price if VSOE is not available, or best estimate of selling price (BESP) if neither VSOE nor TPE is available. The Company typically uses BESP to estimate the selling price, since it generally does not have VSOE or TPE of selling price for its units of accounting. Determining the BESP for a unit of accounting requires significant judgment. In developing the BESP for a unit of accounting, the Company considers applicable market conditions and relevant entity-specific factors, including factors that were contemplated in negotiating the agreement with the customer and estimated costs. The Company validates the BESP for units of accounting by evaluating whether changes in the key assumptions used to determine the BESP will have a significant effect on the allocation of arrangement consideration between multiple units of accounting.</w:t>
      </w:r>
    </w:p>
    <w:p>
      <w:pPr>
        <w:spacing w:after="0" w:line="166" w:lineRule="exact"/>
        <w:rPr>
          <w:sz w:val="20"/>
          <w:szCs w:val="20"/>
          <w:color w:val="auto"/>
        </w:rPr>
      </w:pPr>
    </w:p>
    <w:p>
      <w:pPr>
        <w:ind w:right="120" w:firstLine="648"/>
        <w:spacing w:after="0" w:line="244" w:lineRule="auto"/>
        <w:rPr>
          <w:sz w:val="20"/>
          <w:szCs w:val="20"/>
          <w:color w:val="auto"/>
        </w:rPr>
      </w:pPr>
      <w:r>
        <w:rPr>
          <w:rFonts w:ascii="Arial" w:cs="Arial" w:eastAsia="Arial" w:hAnsi="Arial"/>
          <w:sz w:val="16"/>
          <w:szCs w:val="16"/>
          <w:color w:val="auto"/>
        </w:rPr>
        <w:t>In the event that an element of a multiple element arrangement does not represent a separate unit of accounting, the Company recognizes revenue from the combined element over the period over which it expects to fulfill its performance obligations or as undelivered items are delivered, as appropriate, if all of the other revenue recognition criteria in ASC 605-25 are met. If the pattern of performance in which the service is provided to the customer can be determined and objectively measurable performance measures exist, then the Company recognizes revenue under the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0" w:name="page121"/>
    <w:bookmarkEnd w:id="1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arrangement using the proportional performance method. If there is no discernible pattern of performance and/or objectively measurable performance measures do not exist, then the Company recognizes revenue under the arrangement on a straight-line basis over the period the Company is expected to complete its performance obligations. Revenue recognized is limited to the lesser of the cumulative amount of payments received or the cumulative amount of revenue earned, as determined using the straight-line method or proportional performance method, as applicable, as of the period ending date.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multiple-element revenue arrangements may include the following:</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Exclusive Licenses</w:t>
      </w:r>
    </w:p>
    <w:p>
      <w:pPr>
        <w:spacing w:after="0" w:line="185"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The deliverables under the Company’s collaboration agreements may include exclusive licenses to research, develop, manufacture and commercialize licensed products. To account for this element of an arrangement, management evaluates whether an exclusive license has stand-alone value from the undelivered elements based on the consideration of the relevant facts and circumstances of the arrangement, including the research and development capabilities of the collaboration partner. The Company may recognize the arrangement consideration allocated to licenses upon delivery of the license if facts and circumstances indicate that the license has stand-alone value from the undelivered elements, which generally include research and development services. The Company defers arrangement consideration allocated to licenses if facts and circumstances indicate that the delivered license does not have stand-alone value from the undelivered elements.</w:t>
      </w:r>
    </w:p>
    <w:p>
      <w:pPr>
        <w:spacing w:after="0" w:line="167" w:lineRule="exact"/>
        <w:rPr>
          <w:sz w:val="20"/>
          <w:szCs w:val="20"/>
          <w:color w:val="auto"/>
        </w:rPr>
      </w:pPr>
    </w:p>
    <w:p>
      <w:pPr>
        <w:ind w:right="100" w:firstLine="648"/>
        <w:spacing w:after="0" w:line="223" w:lineRule="auto"/>
        <w:rPr>
          <w:sz w:val="20"/>
          <w:szCs w:val="20"/>
          <w:color w:val="auto"/>
        </w:rPr>
      </w:pPr>
      <w:r>
        <w:rPr>
          <w:rFonts w:ascii="Arial" w:cs="Arial" w:eastAsia="Arial" w:hAnsi="Arial"/>
          <w:sz w:val="17"/>
          <w:szCs w:val="17"/>
          <w:color w:val="auto"/>
        </w:rPr>
        <w:t>When management believes a license does not have stand-alone value from the other deliverables to be provided in the arrangement, the Company recognizes revenue attributed to the license on a proportional basis over the Company’s contractual or estimated performance period, which is typically the term of the Company’s research and development obligations. If management cannot reasonably estimate when the Company’s performance obligation ends, then revenue is deferred until management can reasonably estimate when the performance obligation ends. The periods over which revenue should be recognized are subject to estimates by management and may change over the course of the research and development and licensing agreement. Such a change could have a material impact on the amount of revenue the Company records in future periods.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Services</w:t>
      </w:r>
    </w:p>
    <w:p>
      <w:pPr>
        <w:spacing w:after="0" w:line="185" w:lineRule="exact"/>
        <w:rPr>
          <w:sz w:val="20"/>
          <w:szCs w:val="20"/>
          <w:color w:val="auto"/>
        </w:rPr>
      </w:pPr>
    </w:p>
    <w:p>
      <w:pPr>
        <w:jc w:val="both"/>
        <w:ind w:right="60" w:firstLine="648"/>
        <w:spacing w:after="0" w:line="216" w:lineRule="auto"/>
        <w:rPr>
          <w:sz w:val="20"/>
          <w:szCs w:val="20"/>
          <w:color w:val="auto"/>
        </w:rPr>
      </w:pPr>
      <w:r>
        <w:rPr>
          <w:rFonts w:ascii="Arial" w:cs="Arial" w:eastAsia="Arial" w:hAnsi="Arial"/>
          <w:sz w:val="18"/>
          <w:szCs w:val="18"/>
          <w:color w:val="auto"/>
        </w:rPr>
        <w:t>The deliverables under the Company’s collaboration agreements may include research and development services to be performed by the Company on behalf of the partner. Payments or reimbursements resulting from the Company’s research and development efforts are recognized as the services are performed and presented on a gross basis because the Company is the principal for such efforts, so long as there is persuasive evidence of an arrangement, the fee is fixed or determinable, and collection of the related amount is reasonably assured.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Milestone Revenue</w:t>
      </w:r>
    </w:p>
    <w:p>
      <w:pPr>
        <w:spacing w:after="0" w:line="185" w:lineRule="exact"/>
        <w:rPr>
          <w:sz w:val="20"/>
          <w:szCs w:val="20"/>
          <w:color w:val="auto"/>
        </w:rPr>
      </w:pPr>
    </w:p>
    <w:p>
      <w:pPr>
        <w:ind w:right="440" w:firstLine="648"/>
        <w:spacing w:after="0" w:line="235" w:lineRule="auto"/>
        <w:rPr>
          <w:sz w:val="20"/>
          <w:szCs w:val="20"/>
          <w:color w:val="auto"/>
        </w:rPr>
      </w:pPr>
      <w:r>
        <w:rPr>
          <w:rFonts w:ascii="Arial" w:cs="Arial" w:eastAsia="Arial" w:hAnsi="Arial"/>
          <w:sz w:val="18"/>
          <w:szCs w:val="18"/>
          <w:color w:val="auto"/>
        </w:rPr>
        <w:t>The Company’s collaboration agreements may include contingent milestone payments related to specified pre-clinical milestones, development milestones and sales-based commercial milestones.</w:t>
      </w:r>
    </w:p>
    <w:p>
      <w:pPr>
        <w:spacing w:after="0" w:line="162" w:lineRule="exact"/>
        <w:rPr>
          <w:sz w:val="20"/>
          <w:szCs w:val="20"/>
          <w:color w:val="auto"/>
        </w:rPr>
      </w:pPr>
    </w:p>
    <w:p>
      <w:pPr>
        <w:ind w:right="400" w:firstLine="648"/>
        <w:spacing w:after="0" w:line="224" w:lineRule="auto"/>
        <w:rPr>
          <w:sz w:val="20"/>
          <w:szCs w:val="20"/>
          <w:color w:val="auto"/>
        </w:rPr>
      </w:pPr>
      <w:r>
        <w:rPr>
          <w:rFonts w:ascii="Arial" w:cs="Arial" w:eastAsia="Arial" w:hAnsi="Arial"/>
          <w:sz w:val="18"/>
          <w:szCs w:val="18"/>
          <w:color w:val="auto"/>
        </w:rPr>
        <w:t>At the inception of an arrangement that includes milestone payments, the Company evaluates whether each milestone is substantive and at risk to both parties on the basis of the contingent nature of the milestone. This evaluation includes an assessment of whether:</w:t>
      </w:r>
    </w:p>
    <w:p>
      <w:pPr>
        <w:spacing w:after="0" w:line="163" w:lineRule="exact"/>
        <w:rPr>
          <w:sz w:val="20"/>
          <w:szCs w:val="20"/>
          <w:color w:val="auto"/>
        </w:rPr>
      </w:pPr>
    </w:p>
    <w:p>
      <w:pPr>
        <w:ind w:left="1300" w:right="120" w:hanging="325"/>
        <w:spacing w:after="0" w:line="224"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consideration is commensurate with either the Company’s performance to achieve the milestone or the enhancement of the value of the delivered item(s) as a result of a specific outcome resulting from the Company’s performance to achieve the milestone;</w:t>
      </w:r>
    </w:p>
    <w:p>
      <w:pPr>
        <w:spacing w:after="0" w:line="163" w:lineRule="exact"/>
        <w:rPr>
          <w:rFonts w:ascii="Arial" w:cs="Arial" w:eastAsia="Arial" w:hAnsi="Arial"/>
          <w:sz w:val="18"/>
          <w:szCs w:val="18"/>
          <w:color w:val="auto"/>
        </w:rPr>
      </w:pPr>
    </w:p>
    <w:p>
      <w:pPr>
        <w:ind w:left="1300" w:hanging="325"/>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consideration relates solely to past performance;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consideration is reasonable relative to all of the deliverables and payment terms within the arrangement.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1" w:name="page122"/>
    <w:bookmarkEnd w:id="1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The Company evaluates factors such as the scientific, clinical, regulatory, commercial and other risks that must be overcome to achieve the respective milestone and the level of effort and investment required to achieve the respective milestone in making this assessment. There is considerable judgment involved in determining whether a milestone satisfies all of the criteria required to conclude that a milestone is substantive. Milestones that are not considered substantive are accounted for as license payments and recognized over the remaining period of performance from the date of achievement of the milestone. Milestones that are considered substantive will be recognized in their entirety upon successful accomplishment of the milestone with a cumulative catch up adjustments, assuming all other revenue recognition criteria are met.</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Royalty Revenue.</w:t>
      </w:r>
    </w:p>
    <w:p>
      <w:pPr>
        <w:spacing w:after="0" w:line="185" w:lineRule="exact"/>
        <w:rPr>
          <w:sz w:val="20"/>
          <w:szCs w:val="20"/>
          <w:color w:val="auto"/>
        </w:rPr>
      </w:pPr>
    </w:p>
    <w:p>
      <w:pPr>
        <w:ind w:right="140" w:firstLine="582"/>
        <w:spacing w:after="0" w:line="224" w:lineRule="auto"/>
        <w:rPr>
          <w:sz w:val="20"/>
          <w:szCs w:val="20"/>
          <w:color w:val="auto"/>
        </w:rPr>
      </w:pPr>
      <w:r>
        <w:rPr>
          <w:rFonts w:ascii="Arial" w:cs="Arial" w:eastAsia="Arial" w:hAnsi="Arial"/>
          <w:sz w:val="18"/>
          <w:szCs w:val="18"/>
          <w:color w:val="auto"/>
        </w:rPr>
        <w:t>The Company will recognize royalty revenue in the period of sale of the related product(s), based on the underlying contract terms, provided that the reported sales are reliably measurable and the Company has no remaining performance obligations, assuming all other revenue recognition criteria are met.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85" w:lineRule="exact"/>
        <w:rPr>
          <w:sz w:val="20"/>
          <w:szCs w:val="20"/>
          <w:color w:val="auto"/>
        </w:rPr>
      </w:pPr>
    </w:p>
    <w:p>
      <w:pPr>
        <w:ind w:right="240" w:firstLine="648"/>
        <w:spacing w:after="0" w:line="189" w:lineRule="exact"/>
        <w:rPr>
          <w:sz w:val="20"/>
          <w:szCs w:val="20"/>
          <w:color w:val="auto"/>
        </w:rPr>
      </w:pPr>
      <w:r>
        <w:rPr>
          <w:rFonts w:ascii="Arial" w:cs="Arial" w:eastAsia="Arial" w:hAnsi="Arial"/>
          <w:sz w:val="18"/>
          <w:szCs w:val="18"/>
          <w:color w:val="auto"/>
        </w:rPr>
        <w:t>Comprehensive income (loss) is defined as the change in equity of a business enterprise during a period from transactions and other events and circumstances from non</w:t>
      </w:r>
      <w:r>
        <w:rPr>
          <w:rFonts w:ascii="MS PGothic" w:cs="MS PGothic" w:eastAsia="MS PGothic" w:hAnsi="MS PGothic"/>
          <w:sz w:val="18"/>
          <w:szCs w:val="18"/>
          <w:color w:val="auto"/>
        </w:rPr>
        <w:t>‑</w:t>
      </w:r>
      <w:r>
        <w:rPr>
          <w:rFonts w:ascii="Arial" w:cs="Arial" w:eastAsia="Arial" w:hAnsi="Arial"/>
          <w:sz w:val="18"/>
          <w:szCs w:val="18"/>
          <w:color w:val="auto"/>
        </w:rPr>
        <w:t>owner sources. Other comprehensive income (loss) consisted of unrealized gains and losses on investments for the year ended December 31, 2017 and 2016. For the year ended December 31, 2015, comprehensive loss was equal to net loss.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85" w:lineRule="exact"/>
        <w:rPr>
          <w:sz w:val="20"/>
          <w:szCs w:val="20"/>
          <w:color w:val="auto"/>
        </w:rPr>
      </w:pPr>
    </w:p>
    <w:p>
      <w:pPr>
        <w:ind w:right="140" w:firstLine="648"/>
        <w:spacing w:after="0" w:line="224" w:lineRule="auto"/>
        <w:rPr>
          <w:sz w:val="20"/>
          <w:szCs w:val="20"/>
          <w:color w:val="auto"/>
        </w:rPr>
      </w:pPr>
      <w:r>
        <w:rPr>
          <w:rFonts w:ascii="Arial" w:cs="Arial" w:eastAsia="Arial" w:hAnsi="Arial"/>
          <w:sz w:val="18"/>
          <w:szCs w:val="18"/>
          <w:color w:val="auto"/>
        </w:rPr>
        <w:t>Expenditures relating to research and development are expensed in the period incurred. Research and development expenses consist of both internal and external costs associated with the development of the Company’s selective cancer therapies and building of its discovery platform.</w:t>
      </w:r>
    </w:p>
    <w:p>
      <w:pPr>
        <w:spacing w:after="0" w:line="163" w:lineRule="exact"/>
        <w:rPr>
          <w:sz w:val="20"/>
          <w:szCs w:val="20"/>
          <w:color w:val="auto"/>
        </w:rPr>
      </w:pPr>
    </w:p>
    <w:p>
      <w:pPr>
        <w:ind w:right="60" w:firstLine="585"/>
        <w:spacing w:after="0" w:line="229" w:lineRule="auto"/>
        <w:rPr>
          <w:sz w:val="20"/>
          <w:szCs w:val="20"/>
          <w:color w:val="auto"/>
        </w:rPr>
      </w:pPr>
      <w:r>
        <w:rPr>
          <w:rFonts w:ascii="Arial" w:cs="Arial" w:eastAsia="Arial" w:hAnsi="Arial"/>
          <w:sz w:val="17"/>
          <w:szCs w:val="17"/>
          <w:color w:val="auto"/>
        </w:rPr>
        <w:t>In certain circumstances, the Company is required to make nonrefundable advance payments to vendors for goods or services that will be received in the future for use in research and development activities. In such circumstances, the nonrefundable advance payments are deferred and capitalized, even when there is no alternative future use for the research and development, until related goods or services are provided. In circumstances where amounts have been paid in excess of costs incurred, the Company records a prepaid expense.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85" w:lineRule="exact"/>
        <w:rPr>
          <w:sz w:val="20"/>
          <w:szCs w:val="20"/>
          <w:color w:val="auto"/>
        </w:rPr>
      </w:pPr>
    </w:p>
    <w:p>
      <w:pPr>
        <w:ind w:right="100" w:firstLine="585"/>
        <w:spacing w:after="0" w:line="189" w:lineRule="exact"/>
        <w:rPr>
          <w:sz w:val="20"/>
          <w:szCs w:val="20"/>
          <w:color w:val="auto"/>
        </w:rPr>
      </w:pPr>
      <w:r>
        <w:rPr>
          <w:rFonts w:ascii="Arial" w:cs="Arial" w:eastAsia="Arial" w:hAnsi="Arial"/>
          <w:sz w:val="17"/>
          <w:szCs w:val="17"/>
          <w:color w:val="auto"/>
        </w:rPr>
        <w:t>Property and equipment consists of lab equipment, furniture and fixtures, computer equipment, software, and leasehold improvements, all of which is stated at cost. Expenditures for maintenance and repairs are recorded to expense as incurred, whereas major betterments are capitalized as additions to property and equipment. Depreciation is recognized over the estimated useful lives of the assets using the straight</w:t>
      </w:r>
      <w:r>
        <w:rPr>
          <w:rFonts w:ascii="MS PGothic" w:cs="MS PGothic" w:eastAsia="MS PGothic" w:hAnsi="MS PGothic"/>
          <w:sz w:val="17"/>
          <w:szCs w:val="17"/>
          <w:color w:val="auto"/>
        </w:rPr>
        <w:t>‑</w:t>
      </w:r>
      <w:r>
        <w:rPr>
          <w:rFonts w:ascii="Arial" w:cs="Arial" w:eastAsia="Arial" w:hAnsi="Arial"/>
          <w:sz w:val="17"/>
          <w:szCs w:val="17"/>
          <w:color w:val="auto"/>
        </w:rPr>
        <w:t>line method.</w:t>
      </w:r>
    </w:p>
    <w:p>
      <w:pPr>
        <w:spacing w:after="0" w:line="16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Impairment of Long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Lived Assets</w:t>
      </w:r>
    </w:p>
    <w:p>
      <w:pPr>
        <w:spacing w:after="0" w:line="185" w:lineRule="exact"/>
        <w:rPr>
          <w:sz w:val="20"/>
          <w:szCs w:val="20"/>
          <w:color w:val="auto"/>
        </w:rPr>
      </w:pPr>
    </w:p>
    <w:p>
      <w:pPr>
        <w:ind w:right="100" w:firstLine="582"/>
        <w:spacing w:after="0" w:line="194" w:lineRule="exact"/>
        <w:rPr>
          <w:sz w:val="20"/>
          <w:szCs w:val="20"/>
          <w:color w:val="auto"/>
        </w:rPr>
      </w:pPr>
      <w:r>
        <w:rPr>
          <w:rFonts w:ascii="Arial" w:cs="Arial" w:eastAsia="Arial" w:hAnsi="Arial"/>
          <w:sz w:val="17"/>
          <w:szCs w:val="17"/>
          <w:color w:val="auto"/>
        </w:rPr>
        <w:t>The Company continually evaluates whether events or circumstances have occurred that indicate that the estimated remaining useful life of its long</w:t>
      </w:r>
      <w:r>
        <w:rPr>
          <w:rFonts w:ascii="MS PGothic" w:cs="MS PGothic" w:eastAsia="MS PGothic" w:hAnsi="MS PGothic"/>
          <w:sz w:val="17"/>
          <w:szCs w:val="17"/>
          <w:color w:val="auto"/>
        </w:rPr>
        <w:t>‑</w:t>
      </w:r>
      <w:r>
        <w:rPr>
          <w:rFonts w:ascii="Arial" w:cs="Arial" w:eastAsia="Arial" w:hAnsi="Arial"/>
          <w:sz w:val="17"/>
          <w:szCs w:val="17"/>
          <w:color w:val="auto"/>
        </w:rPr>
        <w:t>lived assets may warrant revision or that the carrying value of these assets may be impaired. The Company has not recognized any impairment charges through December 31, 2017.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85" w:lineRule="exact"/>
        <w:rPr>
          <w:sz w:val="20"/>
          <w:szCs w:val="20"/>
          <w:color w:val="auto"/>
        </w:rPr>
      </w:pPr>
    </w:p>
    <w:p>
      <w:pPr>
        <w:ind w:right="40" w:firstLine="582"/>
        <w:spacing w:after="0" w:line="241" w:lineRule="auto"/>
        <w:rPr>
          <w:sz w:val="20"/>
          <w:szCs w:val="20"/>
          <w:color w:val="auto"/>
        </w:rPr>
      </w:pPr>
      <w:r>
        <w:rPr>
          <w:rFonts w:ascii="Arial" w:cs="Arial" w:eastAsia="Arial" w:hAnsi="Arial"/>
          <w:sz w:val="16"/>
          <w:szCs w:val="16"/>
          <w:color w:val="auto"/>
        </w:rPr>
        <w:t>The Company accounts for warrant instruments that either conditionally or unconditionally obligate the issuer to transfer assets and liabilities regardless of the timing of the redemption feature or price, even though the underlying shares may be classified as permanent or temporary equity. These warrants are subject to revaluation at each balance sheet date, and any changes in fair value are recorded as a component of other income (expense), until the earlier of their exercise or expiration or the time the warrants no longer conditionally or unconditionally obligate the Company to transfer assets or liabilities, which occurred upon the IPO, at which time the warrant liability was reclassified to stockholders’ equity.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22" w:name="page123"/>
    <w:bookmarkEnd w:id="1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 Expense</w:t>
      </w:r>
    </w:p>
    <w:p>
      <w:pPr>
        <w:spacing w:after="0" w:line="185"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The Company expenses the fair value of employee stock awards on a straight</w:t>
      </w:r>
      <w:r>
        <w:rPr>
          <w:rFonts w:ascii="MS PGothic" w:cs="MS PGothic" w:eastAsia="MS PGothic" w:hAnsi="MS PGothic"/>
          <w:sz w:val="17"/>
          <w:szCs w:val="17"/>
          <w:color w:val="auto"/>
        </w:rPr>
        <w:t>‑</w:t>
      </w:r>
      <w:r>
        <w:rPr>
          <w:rFonts w:ascii="Arial" w:cs="Arial" w:eastAsia="Arial" w:hAnsi="Arial"/>
          <w:sz w:val="17"/>
          <w:szCs w:val="17"/>
          <w:color w:val="auto"/>
        </w:rPr>
        <w:t xml:space="preserve">line basis over the requisite service period, which generally is the vesting period. Prior to 2017, expense was recognized net of estimated forfeitures and adjusted to reflect actual forfeitures. Effective January 1, 2017, upon adoption of ASU No. 2016-09, </w:t>
      </w:r>
      <w:r>
        <w:rPr>
          <w:rFonts w:ascii="Arial" w:cs="Arial" w:eastAsia="Arial" w:hAnsi="Arial"/>
          <w:sz w:val="17"/>
          <w:szCs w:val="17"/>
          <w:i w:val="1"/>
          <w:iCs w:val="1"/>
          <w:color w:val="auto"/>
        </w:rPr>
        <w:t>Compensation – Stock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w:t>
      </w:r>
      <w:r>
        <w:rPr>
          <w:rFonts w:ascii="Arial" w:cs="Arial" w:eastAsia="Arial" w:hAnsi="Arial"/>
          <w:sz w:val="17"/>
          <w:szCs w:val="17"/>
          <w:color w:val="auto"/>
        </w:rPr>
        <w:t>under the modified retrospective approach, the Company recognizes gross stock compensation expense with</w:t>
      </w:r>
      <w:r>
        <w:rPr>
          <w:rFonts w:ascii="Arial" w:cs="Arial" w:eastAsia="Arial" w:hAnsi="Arial"/>
          <w:sz w:val="17"/>
          <w:szCs w:val="17"/>
          <w:i w:val="1"/>
          <w:iCs w:val="1"/>
          <w:color w:val="auto"/>
        </w:rPr>
        <w:t xml:space="preserve"> </w:t>
      </w:r>
      <w:r>
        <w:rPr>
          <w:rFonts w:ascii="Arial" w:cs="Arial" w:eastAsia="Arial" w:hAnsi="Arial"/>
          <w:sz w:val="17"/>
          <w:szCs w:val="17"/>
          <w:color w:val="auto"/>
        </w:rPr>
        <w:t>actual forfeitures recognized as they occur. Compensation cost for restricted stock awards issued to employees is measured using the grant date intrinsic value of the award adjusted to reflect actual forfeitures. The Company estimates the fair value of the options granted to employees at the date of grant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w:t>
      </w:r>
      <w:r>
        <w:rPr>
          <w:rFonts w:ascii="MS PGothic" w:cs="MS PGothic" w:eastAsia="MS PGothic" w:hAnsi="MS PGothic"/>
          <w:sz w:val="17"/>
          <w:szCs w:val="17"/>
          <w:color w:val="auto"/>
        </w:rPr>
        <w:t>‑</w:t>
      </w:r>
      <w:r>
        <w:rPr>
          <w:rFonts w:ascii="Arial" w:cs="Arial" w:eastAsia="Arial" w:hAnsi="Arial"/>
          <w:sz w:val="17"/>
          <w:szCs w:val="17"/>
          <w:color w:val="auto"/>
        </w:rPr>
        <w:t>pricing model that requires management to apply judgment and make estimates, including:</w:t>
      </w:r>
    </w:p>
    <w:p>
      <w:pPr>
        <w:spacing w:after="0" w:line="168" w:lineRule="exact"/>
        <w:rPr>
          <w:sz w:val="20"/>
          <w:szCs w:val="20"/>
          <w:color w:val="auto"/>
        </w:rPr>
      </w:pPr>
    </w:p>
    <w:p>
      <w:pPr>
        <w:ind w:left="1300" w:right="60" w:hanging="325"/>
        <w:spacing w:after="0" w:line="223" w:lineRule="auto"/>
        <w:tabs>
          <w:tab w:leader="none" w:pos="13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expected volatility, which is calculated based on reported volatility data for a representative group of publicly traded companies for which historical information is available. Prior to April 30, 2015, the Company was a privately-held company and lacked company-specific historical and implied volatility information. As such, the Company has used an average of expected volatility based on the volatilities of a representative group of publicly traded biopharmaceutical companies for a period equal to the expected term of the option grant. Beginning in the fourth quarter of 2015, the Company began to include its own volatility into the average calculation. The Company intends to consistently apply this process using representative companies until a sufficient amount of historical information regarding the volatility of its own share price becomes available;</w:t>
      </w:r>
    </w:p>
    <w:p>
      <w:pPr>
        <w:spacing w:after="0" w:line="161" w:lineRule="exact"/>
        <w:rPr>
          <w:rFonts w:ascii="Arial" w:cs="Arial" w:eastAsia="Arial" w:hAnsi="Arial"/>
          <w:sz w:val="17"/>
          <w:szCs w:val="17"/>
          <w:color w:val="auto"/>
        </w:rPr>
      </w:pPr>
    </w:p>
    <w:p>
      <w:pPr>
        <w:ind w:left="1300" w:right="680" w:hanging="325"/>
        <w:spacing w:after="0" w:line="203" w:lineRule="exact"/>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interest rate, which is based on the U.S. Treasury yield curve in effect at the time of grant commensurate with the expected term assumption;</w:t>
      </w:r>
    </w:p>
    <w:p>
      <w:pPr>
        <w:spacing w:after="0" w:line="161" w:lineRule="exact"/>
        <w:rPr>
          <w:rFonts w:ascii="Arial" w:cs="Arial" w:eastAsia="Arial" w:hAnsi="Arial"/>
          <w:sz w:val="18"/>
          <w:szCs w:val="18"/>
          <w:color w:val="auto"/>
        </w:rPr>
      </w:pPr>
    </w:p>
    <w:p>
      <w:pPr>
        <w:jc w:val="both"/>
        <w:ind w:left="1300" w:right="60" w:hanging="325"/>
        <w:spacing w:after="0" w:line="194" w:lineRule="exact"/>
        <w:tabs>
          <w:tab w:leader="none" w:pos="13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expected term, which the Company calculates using the simplified method, as prescribed by the Securities and Exchange Commission Staff Accounting Bulletin No. 107, </w:t>
      </w:r>
      <w:r>
        <w:rPr>
          <w:rFonts w:ascii="Arial" w:cs="Arial" w:eastAsia="Arial" w:hAnsi="Arial"/>
          <w:sz w:val="16"/>
          <w:szCs w:val="16"/>
          <w:i w:val="1"/>
          <w:iCs w:val="1"/>
          <w:color w:val="auto"/>
        </w:rPr>
        <w:t>Share</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Based Payment,</w:t>
      </w:r>
      <w:r>
        <w:rPr>
          <w:rFonts w:ascii="Arial" w:cs="Arial" w:eastAsia="Arial" w:hAnsi="Arial"/>
          <w:sz w:val="16"/>
          <w:szCs w:val="16"/>
          <w:color w:val="auto"/>
        </w:rPr>
        <w:t xml:space="preserve"> as the Company has insufficient historical information regarding stock options to provide a basis for an estimate;</w:t>
      </w:r>
    </w:p>
    <w:p>
      <w:pPr>
        <w:spacing w:after="0" w:line="163" w:lineRule="exact"/>
        <w:rPr>
          <w:rFonts w:ascii="Arial" w:cs="Arial" w:eastAsia="Arial" w:hAnsi="Arial"/>
          <w:sz w:val="16"/>
          <w:szCs w:val="16"/>
          <w:color w:val="auto"/>
        </w:rPr>
      </w:pPr>
    </w:p>
    <w:p>
      <w:pPr>
        <w:ind w:left="1300" w:right="20" w:hanging="325"/>
        <w:spacing w:after="0" w:line="187" w:lineRule="exact"/>
        <w:tabs>
          <w:tab w:leader="none" w:pos="13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prior to becoming a public company, fair value estimates of the underlying common shares, which were determined using the option</w:t>
      </w:r>
      <w:r>
        <w:rPr>
          <w:rFonts w:ascii="MS PGothic" w:cs="MS PGothic" w:eastAsia="MS PGothic" w:hAnsi="MS PGothic"/>
          <w:sz w:val="17"/>
          <w:szCs w:val="17"/>
          <w:color w:val="auto"/>
        </w:rPr>
        <w:t>‑</w:t>
      </w:r>
      <w:r>
        <w:rPr>
          <w:rFonts w:ascii="Arial" w:cs="Arial" w:eastAsia="Arial" w:hAnsi="Arial"/>
          <w:sz w:val="17"/>
          <w:szCs w:val="17"/>
          <w:color w:val="auto"/>
        </w:rPr>
        <w:t>pricing method (OPM) or a hybrid of the probability</w:t>
      </w:r>
      <w:r>
        <w:rPr>
          <w:rFonts w:ascii="MS PGothic" w:cs="MS PGothic" w:eastAsia="MS PGothic" w:hAnsi="MS PGothic"/>
          <w:sz w:val="17"/>
          <w:szCs w:val="17"/>
          <w:color w:val="auto"/>
        </w:rPr>
        <w:t>‑</w:t>
      </w:r>
      <w:r>
        <w:rPr>
          <w:rFonts w:ascii="Arial" w:cs="Arial" w:eastAsia="Arial" w:hAnsi="Arial"/>
          <w:sz w:val="17"/>
          <w:szCs w:val="17"/>
          <w:color w:val="auto"/>
        </w:rPr>
        <w:t>weighted expected return method and the OPM and were approved by the Company’s board of directors. Upon becoming a public company, the fair value of the underlying common shares equals the closing price of the Company’s stock on The Nasdaq Global Select Market on the date of grant; and</w:t>
      </w:r>
    </w:p>
    <w:p>
      <w:pPr>
        <w:spacing w:after="0" w:line="161" w:lineRule="exact"/>
        <w:rPr>
          <w:rFonts w:ascii="Arial" w:cs="Arial" w:eastAsia="Arial" w:hAnsi="Arial"/>
          <w:sz w:val="17"/>
          <w:szCs w:val="17"/>
          <w:color w:val="auto"/>
        </w:rPr>
      </w:pPr>
    </w:p>
    <w:p>
      <w:pPr>
        <w:ind w:left="1300" w:right="280" w:hanging="325"/>
        <w:spacing w:after="0" w:line="235"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dividend yield which is zero based on the fact that the Company never paid cash dividends and does not expect to pay any cash dividends in the foreseeable future.</w:t>
      </w:r>
    </w:p>
    <w:p>
      <w:pPr>
        <w:spacing w:after="0" w:line="162" w:lineRule="exact"/>
        <w:rPr>
          <w:sz w:val="20"/>
          <w:szCs w:val="20"/>
          <w:color w:val="auto"/>
        </w:rPr>
      </w:pPr>
    </w:p>
    <w:p>
      <w:pPr>
        <w:ind w:right="20" w:firstLine="585"/>
        <w:spacing w:after="0" w:line="189" w:lineRule="exact"/>
        <w:rPr>
          <w:sz w:val="20"/>
          <w:szCs w:val="20"/>
          <w:color w:val="auto"/>
        </w:rPr>
      </w:pPr>
      <w:r>
        <w:rPr>
          <w:rFonts w:ascii="Arial" w:cs="Arial" w:eastAsia="Arial" w:hAnsi="Arial"/>
          <w:sz w:val="17"/>
          <w:szCs w:val="17"/>
          <w:color w:val="auto"/>
        </w:rPr>
        <w:t>Stock</w:t>
      </w:r>
      <w:r>
        <w:rPr>
          <w:rFonts w:ascii="MS PGothic" w:cs="MS PGothic" w:eastAsia="MS PGothic" w:hAnsi="MS PGothic"/>
          <w:sz w:val="17"/>
          <w:szCs w:val="17"/>
          <w:color w:val="auto"/>
        </w:rPr>
        <w:t>‑</w:t>
      </w:r>
      <w:r>
        <w:rPr>
          <w:rFonts w:ascii="Arial" w:cs="Arial" w:eastAsia="Arial" w:hAnsi="Arial"/>
          <w:sz w:val="17"/>
          <w:szCs w:val="17"/>
          <w:color w:val="auto"/>
        </w:rPr>
        <w:t>based awards issued to non</w:t>
      </w:r>
      <w:r>
        <w:rPr>
          <w:rFonts w:ascii="MS PGothic" w:cs="MS PGothic" w:eastAsia="MS PGothic" w:hAnsi="MS PGothic"/>
          <w:sz w:val="17"/>
          <w:szCs w:val="17"/>
          <w:color w:val="auto"/>
        </w:rPr>
        <w:t>‑</w:t>
      </w:r>
      <w:r>
        <w:rPr>
          <w:rFonts w:ascii="Arial" w:cs="Arial" w:eastAsia="Arial" w:hAnsi="Arial"/>
          <w:sz w:val="17"/>
          <w:szCs w:val="17"/>
          <w:color w:val="auto"/>
        </w:rPr>
        <w:t>employees, including directors for non</w:t>
      </w:r>
      <w:r>
        <w:rPr>
          <w:rFonts w:ascii="MS PGothic" w:cs="MS PGothic" w:eastAsia="MS PGothic" w:hAnsi="MS PGothic"/>
          <w:sz w:val="17"/>
          <w:szCs w:val="17"/>
          <w:color w:val="auto"/>
        </w:rPr>
        <w:t>‑</w:t>
      </w:r>
      <w:r>
        <w:rPr>
          <w:rFonts w:ascii="Arial" w:cs="Arial" w:eastAsia="Arial" w:hAnsi="Arial"/>
          <w:sz w:val="17"/>
          <w:szCs w:val="17"/>
          <w:color w:val="auto"/>
        </w:rPr>
        <w:t>board</w:t>
      </w:r>
      <w:r>
        <w:rPr>
          <w:rFonts w:ascii="MS PGothic" w:cs="MS PGothic" w:eastAsia="MS PGothic" w:hAnsi="MS PGothic"/>
          <w:sz w:val="17"/>
          <w:szCs w:val="17"/>
          <w:color w:val="auto"/>
        </w:rPr>
        <w:t>‑</w:t>
      </w:r>
      <w:r>
        <w:rPr>
          <w:rFonts w:ascii="Arial" w:cs="Arial" w:eastAsia="Arial" w:hAnsi="Arial"/>
          <w:sz w:val="17"/>
          <w:szCs w:val="17"/>
          <w:color w:val="auto"/>
        </w:rPr>
        <w:t>related services, are accounted for based on the fair value of such services received or of the intrinsic value of equity instruments issued, whichever is more reliably measured. These stock</w:t>
      </w:r>
      <w:r>
        <w:rPr>
          <w:rFonts w:ascii="MS PGothic" w:cs="MS PGothic" w:eastAsia="MS PGothic" w:hAnsi="MS PGothic"/>
          <w:sz w:val="17"/>
          <w:szCs w:val="17"/>
          <w:color w:val="auto"/>
        </w:rPr>
        <w:t>‑</w:t>
      </w:r>
      <w:r>
        <w:rPr>
          <w:rFonts w:ascii="Arial" w:cs="Arial" w:eastAsia="Arial" w:hAnsi="Arial"/>
          <w:sz w:val="17"/>
          <w:szCs w:val="17"/>
          <w:color w:val="auto"/>
        </w:rPr>
        <w:t>based awards are revalued at each vesting date and period</w:t>
      </w:r>
      <w:r>
        <w:rPr>
          <w:rFonts w:ascii="MS PGothic" w:cs="MS PGothic" w:eastAsia="MS PGothic" w:hAnsi="MS PGothic"/>
          <w:sz w:val="17"/>
          <w:szCs w:val="17"/>
          <w:color w:val="auto"/>
        </w:rPr>
        <w:t>‑</w:t>
      </w:r>
      <w:r>
        <w:rPr>
          <w:rFonts w:ascii="Arial" w:cs="Arial" w:eastAsia="Arial" w:hAnsi="Arial"/>
          <w:sz w:val="17"/>
          <w:szCs w:val="17"/>
          <w:color w:val="auto"/>
        </w:rPr>
        <w:t>end. Stock</w:t>
      </w:r>
      <w:r>
        <w:rPr>
          <w:rFonts w:ascii="MS PGothic" w:cs="MS PGothic" w:eastAsia="MS PGothic" w:hAnsi="MS PGothic"/>
          <w:sz w:val="17"/>
          <w:szCs w:val="17"/>
          <w:color w:val="auto"/>
        </w:rPr>
        <w:t>‑</w:t>
      </w:r>
      <w:r>
        <w:rPr>
          <w:rFonts w:ascii="Arial" w:cs="Arial" w:eastAsia="Arial" w:hAnsi="Arial"/>
          <w:sz w:val="17"/>
          <w:szCs w:val="17"/>
          <w:color w:val="auto"/>
        </w:rPr>
        <w:t>based awards subject to service</w:t>
      </w:r>
      <w:r>
        <w:rPr>
          <w:rFonts w:ascii="MS PGothic" w:cs="MS PGothic" w:eastAsia="MS PGothic" w:hAnsi="MS PGothic"/>
          <w:sz w:val="17"/>
          <w:szCs w:val="17"/>
          <w:color w:val="auto"/>
        </w:rPr>
        <w:t>‑</w:t>
      </w:r>
      <w:r>
        <w:rPr>
          <w:rFonts w:ascii="Arial" w:cs="Arial" w:eastAsia="Arial" w:hAnsi="Arial"/>
          <w:sz w:val="17"/>
          <w:szCs w:val="17"/>
          <w:color w:val="auto"/>
        </w:rPr>
        <w:t>based vesting conditions are expensed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 vesting period.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The Company recognizes deferred tax assets and liabilities for the expected future tax consequences of events that have been recognized in the Company’s financial statements or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The Company accounts for uncertain tax positions using a more</w:t>
      </w:r>
      <w:r>
        <w:rPr>
          <w:rFonts w:ascii="MS PGothic" w:cs="MS PGothic" w:eastAsia="MS PGothic" w:hAnsi="MS PGothic"/>
          <w:sz w:val="17"/>
          <w:szCs w:val="17"/>
          <w:color w:val="auto"/>
        </w:rPr>
        <w:t>‑</w:t>
      </w:r>
      <w:r>
        <w:rPr>
          <w:rFonts w:ascii="Arial" w:cs="Arial" w:eastAsia="Arial" w:hAnsi="Arial"/>
          <w:sz w:val="17"/>
          <w:szCs w:val="17"/>
          <w:color w:val="auto"/>
        </w:rPr>
        <w:t>likely</w:t>
      </w:r>
      <w:r>
        <w:rPr>
          <w:rFonts w:ascii="MS PGothic" w:cs="MS PGothic" w:eastAsia="MS PGothic" w:hAnsi="MS PGothic"/>
          <w:sz w:val="17"/>
          <w:szCs w:val="17"/>
          <w:color w:val="auto"/>
        </w:rPr>
        <w:t>‑</w:t>
      </w:r>
      <w:r>
        <w:rPr>
          <w:rFonts w:ascii="Arial" w:cs="Arial" w:eastAsia="Arial" w:hAnsi="Arial"/>
          <w:sz w:val="17"/>
          <w:szCs w:val="17"/>
          <w:color w:val="auto"/>
        </w:rPr>
        <w:t>than</w:t>
      </w:r>
      <w:r>
        <w:rPr>
          <w:rFonts w:ascii="MS PGothic" w:cs="MS PGothic" w:eastAsia="MS PGothic" w:hAnsi="MS PGothic"/>
          <w:sz w:val="17"/>
          <w:szCs w:val="17"/>
          <w:color w:val="auto"/>
        </w:rPr>
        <w:t>‑</w:t>
      </w:r>
      <w:r>
        <w:rPr>
          <w:rFonts w:ascii="Arial" w:cs="Arial" w:eastAsia="Arial" w:hAnsi="Arial"/>
          <w:sz w:val="17"/>
          <w:szCs w:val="17"/>
          <w:color w:val="auto"/>
        </w:rPr>
        <w:t>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23" w:name="page124"/>
    <w:bookmarkEnd w:id="1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Concentrations of Credit Risk and Off</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Balance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Sheet Risk</w:t>
      </w:r>
    </w:p>
    <w:p>
      <w:pPr>
        <w:spacing w:after="0" w:line="185" w:lineRule="exact"/>
        <w:rPr>
          <w:sz w:val="20"/>
          <w:szCs w:val="20"/>
          <w:color w:val="auto"/>
        </w:rPr>
      </w:pPr>
    </w:p>
    <w:p>
      <w:pPr>
        <w:ind w:firstLine="648"/>
        <w:spacing w:after="0" w:line="194" w:lineRule="exact"/>
        <w:rPr>
          <w:sz w:val="20"/>
          <w:szCs w:val="20"/>
          <w:color w:val="auto"/>
        </w:rPr>
      </w:pPr>
      <w:r>
        <w:rPr>
          <w:rFonts w:ascii="Arial" w:cs="Arial" w:eastAsia="Arial" w:hAnsi="Arial"/>
          <w:sz w:val="18"/>
          <w:szCs w:val="18"/>
          <w:color w:val="auto"/>
        </w:rPr>
        <w:t>The Company has no significant off</w:t>
      </w:r>
      <w:r>
        <w:rPr>
          <w:rFonts w:ascii="MS PGothic" w:cs="MS PGothic" w:eastAsia="MS PGothic" w:hAnsi="MS PGothic"/>
          <w:sz w:val="18"/>
          <w:szCs w:val="18"/>
          <w:color w:val="auto"/>
        </w:rPr>
        <w:t>‑</w:t>
      </w:r>
      <w:r>
        <w:rPr>
          <w:rFonts w:ascii="Arial" w:cs="Arial" w:eastAsia="Arial" w:hAnsi="Arial"/>
          <w:sz w:val="18"/>
          <w:szCs w:val="18"/>
          <w:color w:val="auto"/>
        </w:rPr>
        <w:t>balance</w:t>
      </w:r>
      <w:r>
        <w:rPr>
          <w:rFonts w:ascii="MS PGothic" w:cs="MS PGothic" w:eastAsia="MS PGothic" w:hAnsi="MS PGothic"/>
          <w:sz w:val="18"/>
          <w:szCs w:val="18"/>
          <w:color w:val="auto"/>
        </w:rPr>
        <w:t>‑</w:t>
      </w:r>
      <w:r>
        <w:rPr>
          <w:rFonts w:ascii="Arial" w:cs="Arial" w:eastAsia="Arial" w:hAnsi="Arial"/>
          <w:sz w:val="18"/>
          <w:szCs w:val="18"/>
          <w:color w:val="auto"/>
        </w:rPr>
        <w:t>sheet risk such as foreign exchange contracts, option contracts, or other foreign hedging arrangements. Financial instruments that potentially expose the Company to concentrations of credit risk primarily consist of cash and cash equivalents, investments and accounts receivable.</w:t>
      </w:r>
    </w:p>
    <w:p>
      <w:pPr>
        <w:spacing w:after="0" w:line="163" w:lineRule="exact"/>
        <w:rPr>
          <w:sz w:val="20"/>
          <w:szCs w:val="20"/>
          <w:color w:val="auto"/>
        </w:rPr>
      </w:pPr>
    </w:p>
    <w:p>
      <w:pPr>
        <w:ind w:right="160" w:firstLine="648"/>
        <w:spacing w:after="0" w:line="258" w:lineRule="auto"/>
        <w:rPr>
          <w:sz w:val="20"/>
          <w:szCs w:val="20"/>
          <w:color w:val="auto"/>
        </w:rPr>
      </w:pPr>
      <w:r>
        <w:rPr>
          <w:rFonts w:ascii="Arial" w:cs="Arial" w:eastAsia="Arial" w:hAnsi="Arial"/>
          <w:sz w:val="17"/>
          <w:szCs w:val="17"/>
          <w:color w:val="auto"/>
        </w:rPr>
        <w:t>The Company maintains its cash, cash equivalents and investments in a custodian account at high quality financial institutions, and consequently, the Company believes that such funds are subject to minimal credit risk.</w:t>
      </w:r>
    </w:p>
    <w:p>
      <w:pPr>
        <w:spacing w:after="0" w:line="147" w:lineRule="exact"/>
        <w:rPr>
          <w:sz w:val="20"/>
          <w:szCs w:val="20"/>
          <w:color w:val="auto"/>
        </w:rPr>
      </w:pPr>
    </w:p>
    <w:p>
      <w:pPr>
        <w:ind w:right="200" w:firstLine="648"/>
        <w:spacing w:after="0" w:line="289" w:lineRule="auto"/>
        <w:rPr>
          <w:sz w:val="20"/>
          <w:szCs w:val="20"/>
          <w:color w:val="auto"/>
        </w:rPr>
      </w:pPr>
      <w:r>
        <w:rPr>
          <w:rFonts w:ascii="Arial" w:cs="Arial" w:eastAsia="Arial" w:hAnsi="Arial"/>
          <w:sz w:val="16"/>
          <w:szCs w:val="16"/>
          <w:color w:val="auto"/>
        </w:rPr>
        <w:t>Accounts receivable represents amounts due from the Company’s collaboration partner. The Company monitors economic conditions to identify facts or circumstances that may indicate that its accounts receivable is at risk of collection.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and Geographic Information</w:t>
      </w:r>
    </w:p>
    <w:p>
      <w:pPr>
        <w:spacing w:after="0" w:line="185" w:lineRule="exact"/>
        <w:rPr>
          <w:sz w:val="20"/>
          <w:szCs w:val="20"/>
          <w:color w:val="auto"/>
        </w:rPr>
      </w:pPr>
    </w:p>
    <w:p>
      <w:pPr>
        <w:ind w:right="20" w:firstLine="585"/>
        <w:spacing w:after="0" w:line="229" w:lineRule="auto"/>
        <w:rPr>
          <w:sz w:val="20"/>
          <w:szCs w:val="20"/>
          <w:color w:val="auto"/>
        </w:rPr>
      </w:pPr>
      <w:r>
        <w:rPr>
          <w:rFonts w:ascii="Arial" w:cs="Arial" w:eastAsia="Arial" w:hAnsi="Arial"/>
          <w:sz w:val="17"/>
          <w:szCs w:val="17"/>
          <w:color w:val="auto"/>
        </w:rPr>
        <w:t>Operating segments are identified as components of an enterprise about which separate discrete financial information is available for evaluation by the chief operating decision maker, or decision making group, in making decisions on how to allocate resources and assess performance. The Company’s chief operating decision maker is the chief executive officer. The Company and the chief operating decision maker view the Company’s operations and manage its business as one operating segment. The Company operates only in the United States.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 Recently Adopted</w:t>
      </w:r>
    </w:p>
    <w:p>
      <w:pPr>
        <w:spacing w:after="0" w:line="185" w:lineRule="exact"/>
        <w:rPr>
          <w:sz w:val="20"/>
          <w:szCs w:val="20"/>
          <w:color w:val="auto"/>
        </w:rPr>
      </w:pPr>
    </w:p>
    <w:p>
      <w:pPr>
        <w:ind w:right="40" w:firstLine="648"/>
        <w:spacing w:after="0" w:line="220"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(ASU No. 2016-09), which amends ASC Topic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The new standard identifies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The new standard was effective for the Company on January 1, 2017. The Company applied ASU 2016-09 using a modified retrospective approach and adopted the option to recognize gross stock compensation expense with actual forfeitures recognized as they occur. Given that the application of the estimated forfeiture rate prior to January 1, 2017 resulted in an insignificant reduction in stock-based compensation expense, the cumulative-effect adjustment to retained earnings recognized as of January 1, 2017 was not material to the consolidated financial statements. The adoption of ASU 2016-09 also requires all income tax adjustments to be recognized in the consolidated statements of operations. As the increase in net deferred tax assets is fully offset by a corresponding increase to the deferred tax asset valuation allowance, there was no material impact of the adoption of this standard. The amount of deferred tax assets that had not been previously recognized due to the recognition of excess tax benefits is $1.1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w:t>
      </w:r>
    </w:p>
    <w:p>
      <w:pPr>
        <w:spacing w:after="0" w:line="185" w:lineRule="exact"/>
        <w:rPr>
          <w:sz w:val="20"/>
          <w:szCs w:val="20"/>
          <w:color w:val="auto"/>
        </w:rPr>
      </w:pPr>
    </w:p>
    <w:p>
      <w:pPr>
        <w:ind w:right="40" w:firstLine="648"/>
        <w:spacing w:after="0" w:line="220"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(ASU 2014-09), which supersedes the revenue recognition requirements in ASC 605-25, </w:t>
      </w:r>
      <w:r>
        <w:rPr>
          <w:rFonts w:ascii="Arial" w:cs="Arial" w:eastAsia="Arial" w:hAnsi="Arial"/>
          <w:sz w:val="17"/>
          <w:szCs w:val="17"/>
          <w:i w:val="1"/>
          <w:iCs w:val="1"/>
          <w:color w:val="auto"/>
        </w:rPr>
        <w:t>Multiple-Element Arrangements</w:t>
      </w:r>
      <w:r>
        <w:rPr>
          <w:rFonts w:ascii="Arial" w:cs="Arial" w:eastAsia="Arial" w:hAnsi="Arial"/>
          <w:sz w:val="17"/>
          <w:szCs w:val="17"/>
          <w:color w:val="auto"/>
        </w:rPr>
        <w:t xml:space="preserve"> and most industry-specific guidance. In addition, the FASB recently issued ASUs 2016-10 and 2016-12, which provide clarifying amendments to ASU 2014-09. ASU 2014-09 and its related amendments will be effective for the Company for interim and annual periods beginning after December 15, 2017. The new standard requires that an entity recognize revenue to depict the transfer of promised goods or services to customers in an amount that reflects the consideration to which the company expects to be entitled in exchange for those goods or services. The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This new guidance will be effective for annual reporting periods (including interim reporting periods within those years) beginning January 1, 2018. Companies have the option of applying this new guidance retrospectively to each prior reporting period presented (the full retrospective method) or retrospectively with the cumulative effect of initially applying this update recognized at the date of initial application (the modified retrospective method). The Company will adopt the new standard effective January 1, 2018 using the modified retrospective method.</w:t>
      </w:r>
    </w:p>
    <w:p>
      <w:pPr>
        <w:spacing w:after="0" w:line="165" w:lineRule="exact"/>
        <w:rPr>
          <w:sz w:val="20"/>
          <w:szCs w:val="20"/>
          <w:color w:val="auto"/>
        </w:rPr>
      </w:pPr>
    </w:p>
    <w:p>
      <w:pPr>
        <w:ind w:firstLine="648"/>
        <w:spacing w:after="0" w:line="258" w:lineRule="auto"/>
        <w:rPr>
          <w:sz w:val="20"/>
          <w:szCs w:val="20"/>
          <w:color w:val="auto"/>
        </w:rPr>
      </w:pPr>
      <w:r>
        <w:rPr>
          <w:rFonts w:ascii="Arial" w:cs="Arial" w:eastAsia="Arial" w:hAnsi="Arial"/>
          <w:sz w:val="17"/>
          <w:szCs w:val="17"/>
          <w:color w:val="auto"/>
        </w:rPr>
        <w:t>The Company is assessing, but has not yet completed its assessment of the impact of the adoption of this standard on its consolidated financial statements. Currently, the Company anticipates a potential impact on the revenue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4" w:name="page125"/>
    <w:bookmarkEnd w:id="1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color w:val="auto"/>
        </w:rPr>
        <w:t>recognition method used to recognize revenue under its agreement with Roche as well as the recognition of milestone revenue prior to achievement. The expected impact is further described below. Estimated impacts from the adoption of this standard could differ upon the final adoption and implementation of the standard.</w:t>
      </w:r>
    </w:p>
    <w:p>
      <w:pPr>
        <w:spacing w:after="0" w:line="163"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ASC 606 also impacts certain other areas, such as the accounting for costs to obtain or fulfill a contract. The standard also requires disclosure of the nature, amount, timing, and uncertainty of revenue and cash flows arising from contracts with customers.</w:t>
      </w:r>
    </w:p>
    <w:p>
      <w:pPr>
        <w:spacing w:after="0" w:line="168" w:lineRule="exact"/>
        <w:rPr>
          <w:sz w:val="20"/>
          <w:szCs w:val="20"/>
          <w:color w:val="auto"/>
        </w:rPr>
      </w:pPr>
    </w:p>
    <w:p>
      <w:pPr>
        <w:jc w:val="both"/>
        <w:ind w:right="100" w:firstLine="648"/>
        <w:spacing w:after="0" w:line="238" w:lineRule="auto"/>
        <w:rPr>
          <w:sz w:val="20"/>
          <w:szCs w:val="20"/>
          <w:color w:val="auto"/>
        </w:rPr>
      </w:pPr>
      <w:r>
        <w:rPr>
          <w:rFonts w:ascii="Arial" w:cs="Arial" w:eastAsia="Arial" w:hAnsi="Arial"/>
          <w:sz w:val="17"/>
          <w:szCs w:val="17"/>
          <w:color w:val="auto"/>
        </w:rPr>
        <w:t>With respect to its collaboration with Roche, the Company currently expects that the pattern of revenue recognition under step (v) above will differ from the pattern of revenue recognition under ASC 605. Any change in the timing or pattern of revenue recognition will have a corresponding change to the Company’s deferred revenue balance.</w:t>
      </w:r>
    </w:p>
    <w:p>
      <w:pPr>
        <w:spacing w:after="0" w:line="161"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The Company expects the accounting for contingent milestone payments under its collaboration agreements to change under ASC 606. ASC 606 does not contain guidance specific to milestone payments, thereby requiring contingent milestone payments to be considered in accordance with the overall model of ASC 606. Revenue from contingent milestone payments may be recognized earlier under ASC 606 than under ASC 605, based on an assessment of the probability of achievement of the milestone event and the likelihood of a significant reversal of such milestone revenue at each reporting date. This assessment may result in the recognition of revenue related to a contingent milestone payment before the milestone event has been achieved.</w:t>
      </w:r>
    </w:p>
    <w:p>
      <w:pPr>
        <w:spacing w:after="0" w:line="165" w:lineRule="exact"/>
        <w:rPr>
          <w:sz w:val="20"/>
          <w:szCs w:val="20"/>
          <w:color w:val="auto"/>
        </w:rPr>
      </w:pPr>
    </w:p>
    <w:p>
      <w:pPr>
        <w:ind w:right="100" w:firstLine="648"/>
        <w:spacing w:after="0" w:line="219" w:lineRule="auto"/>
        <w:rPr>
          <w:sz w:val="20"/>
          <w:szCs w:val="20"/>
          <w:color w:val="auto"/>
        </w:rPr>
      </w:pPr>
      <w:r>
        <w:rPr>
          <w:rFonts w:ascii="Arial" w:cs="Arial" w:eastAsia="Arial" w:hAnsi="Arial"/>
          <w:sz w:val="18"/>
          <w:szCs w:val="18"/>
          <w:color w:val="auto"/>
        </w:rPr>
        <w:t>ASC 606 requires more robust disclosures than required by previous guidance, including disclosures related to disaggregation of revenue into appropriate categories, performance obligations, the judgments made in revenue recognition determinations, adjustments to revenue which relate to activities from previous quarters or years, any significant reversals of revenue, and costs to obtain or fulfill contracts.</w:t>
      </w:r>
    </w:p>
    <w:p>
      <w:pPr>
        <w:spacing w:after="0" w:line="163" w:lineRule="exact"/>
        <w:rPr>
          <w:sz w:val="20"/>
          <w:szCs w:val="20"/>
          <w:color w:val="auto"/>
        </w:rPr>
      </w:pPr>
    </w:p>
    <w:p>
      <w:pPr>
        <w:ind w:right="360" w:firstLine="648"/>
        <w:spacing w:after="0" w:line="224" w:lineRule="auto"/>
        <w:rPr>
          <w:sz w:val="20"/>
          <w:szCs w:val="20"/>
          <w:color w:val="auto"/>
        </w:rPr>
      </w:pPr>
      <w:r>
        <w:rPr>
          <w:rFonts w:ascii="Arial" w:cs="Arial" w:eastAsia="Arial" w:hAnsi="Arial"/>
          <w:sz w:val="18"/>
          <w:szCs w:val="18"/>
          <w:color w:val="auto"/>
        </w:rPr>
        <w:t>In connection with the adoption of these standards, the Company is implementing several new internal controls, including controls to monitor the probability of achievement of contingent milestone payments and the pattern of performance of the performance obligation.</w:t>
      </w:r>
    </w:p>
    <w:p>
      <w:pPr>
        <w:spacing w:after="0" w:line="163" w:lineRule="exact"/>
        <w:rPr>
          <w:sz w:val="20"/>
          <w:szCs w:val="20"/>
          <w:color w:val="auto"/>
        </w:rPr>
      </w:pPr>
    </w:p>
    <w:p>
      <w:pPr>
        <w:ind w:right="40" w:firstLine="648"/>
        <w:spacing w:after="0" w:line="23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(ASU No. 2016-02), which will change the way the Company recognizes its leased assets. ASU No. 2016-02 will require organizations that lease assets—referred to as “lessees”—to recognize on the balance sheet the assets and liabilities representing the rights and obligations created by those leases. ASU No. 2016-02 will also require disclosures to help investors and other financial statement users better understand the amount, timing, and uncertainty of cash flows arising from leases. The standard is effective for annual reporting periods (including interim reporting periods within those years) beginning after December 15, 2018. Early adoption is permitted. The Company is currently evaluating the methods of adoption allowed by the new standard and the effect that adoption of the standard is expected to have on the Company’s consolidated financial statements and related disclosures.</w:t>
      </w:r>
    </w:p>
    <w:p>
      <w:pPr>
        <w:spacing w:after="0" w:line="167" w:lineRule="exact"/>
        <w:rPr>
          <w:sz w:val="20"/>
          <w:szCs w:val="20"/>
          <w:color w:val="auto"/>
        </w:rPr>
      </w:pPr>
    </w:p>
    <w:p>
      <w:pPr>
        <w:ind w:right="40" w:firstLine="441"/>
        <w:spacing w:after="0" w:line="216"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w:t>
      </w:r>
      <w:r>
        <w:rPr>
          <w:rFonts w:ascii="Arial" w:cs="Arial" w:eastAsia="Arial" w:hAnsi="Arial"/>
          <w:sz w:val="18"/>
          <w:szCs w:val="18"/>
          <w:color w:val="auto"/>
        </w:rPr>
        <w:t xml:space="preserve"> (ASU No. 2016-15)</w:t>
      </w:r>
      <w:r>
        <w:rPr>
          <w:rFonts w:ascii="Arial" w:cs="Arial" w:eastAsia="Arial" w:hAnsi="Arial"/>
          <w:sz w:val="18"/>
          <w:szCs w:val="18"/>
          <w:i w:val="1"/>
          <w:iCs w:val="1"/>
          <w:color w:val="auto"/>
        </w:rPr>
        <w:t>,</w:t>
      </w:r>
      <w:r>
        <w:rPr>
          <w:rFonts w:ascii="Arial" w:cs="Arial" w:eastAsia="Arial" w:hAnsi="Arial"/>
          <w:sz w:val="18"/>
          <w:szCs w:val="18"/>
          <w:color w:val="auto"/>
        </w:rPr>
        <w:t xml:space="preserve"> which simplifies certain elements of cash flow classification. The new guidance is intended to reduce diversity in practice in how certain transactions are classified in the statement of cash flows. ASU No. 2016-15 is effective for annual periods beginning after December 15, 2017. The Company does not believe the adoption of ASU No. 2016-15 will have a significant impact on the consolidated financial statements.</w:t>
      </w:r>
    </w:p>
    <w:p>
      <w:pPr>
        <w:spacing w:after="0" w:line="122" w:lineRule="exact"/>
        <w:rPr>
          <w:sz w:val="20"/>
          <w:szCs w:val="20"/>
          <w:color w:val="auto"/>
        </w:rPr>
      </w:pPr>
    </w:p>
    <w:p>
      <w:pPr>
        <w:ind w:right="40" w:firstLine="648"/>
        <w:spacing w:after="0" w:line="241"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Restricted Cash</w:t>
      </w:r>
      <w:r>
        <w:rPr>
          <w:rFonts w:ascii="Arial" w:cs="Arial" w:eastAsia="Arial" w:hAnsi="Arial"/>
          <w:sz w:val="16"/>
          <w:szCs w:val="16"/>
          <w:color w:val="auto"/>
        </w:rPr>
        <w:t xml:space="preserve"> (ASU No. 2016-18). The amendments in ASU No. 2016-18 require an entity to reconcile and explain the period-over-period change in total cash, cash equivalents and restricted cash within its statements of cash flows. ASU No. 2016-18 is effective for fiscal years (including interim reporting periods within those years) beginning after December 15, 2017. Early adoption is permitted. A reporting entity must apply the amendments in ASU No. 2016-18 using a full retrospective approach. The Company believes that the adoption of this guidance will not have a significant impact on its consolidated financial statements and related disclosures.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5" w:name="page126"/>
    <w:bookmarkEnd w:id="1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0" w:firstLine="648"/>
        <w:spacing w:after="0" w:line="222" w:lineRule="auto"/>
        <w:rPr>
          <w:sz w:val="20"/>
          <w:szCs w:val="20"/>
          <w:color w:val="auto"/>
        </w:rPr>
      </w:pPr>
      <w:r>
        <w:rPr>
          <w:rFonts w:ascii="Arial" w:cs="Arial" w:eastAsia="Arial" w:hAnsi="Arial"/>
          <w:sz w:val="17"/>
          <w:szCs w:val="17"/>
          <w:color w:val="auto"/>
        </w:rPr>
        <w:t xml:space="preserve">In 2016, the FASB issued ASU No. 2016-01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(ASU No. 2016-01) related to the recording of financial assets and financial liabilities. Under the amended guidance, equity investments (except those accounted for under the equity method of accounting or those that result in consolidation of the investee) are to be measured at fair value with changes in fair value recognized in net income (loss). However, an entity has the option to either measure equity investments without readily determinable fair values either (i) at fair value or (ii) at cost adjusted for changes in observable prices minus impairment. Changes in measurement under either alternative will be recognized in net income (loss). The amended guidance became effective January 1, 2018. As the Company does not currently hold equity securities, ASU No. 2016-01 will not have an impact on the consolidated financial statements at the adoption date. The Company may hold equity securities in the future, at which time the Company will apply the provisions of ASU No. 2016-01 and record changes in the fair value of the equity securities in net income (loss).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Equivalents and Investments</w:t>
      </w:r>
    </w:p>
    <w:p>
      <w:pPr>
        <w:spacing w:after="0" w:line="175"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Cash equivalents are highly liquid investments that are readily convertible into cash with original maturities of three months or less when purchased. Investments consist of securities with original maturities greater than 90 days when purchased. The Company classifies these investments as available-for-sale and records them at fair value in the accompanying consolidated balance sheets. Unrealized gains or losses are included in accumulated other comprehensive income (loss). Premiums or discounts from par value are amortized to investment income over the life of the underlying investment.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Cash equivalents and investments, available-for-sale, consisted of the following at December 31, 2017 and</w:t>
      </w:r>
    </w:p>
    <w:p>
      <w:pPr>
        <w:spacing w:after="0"/>
        <w:rPr>
          <w:sz w:val="20"/>
          <w:szCs w:val="20"/>
          <w:color w:val="auto"/>
        </w:rPr>
      </w:pPr>
      <w:r>
        <w:rPr>
          <w:rFonts w:ascii="Arial" w:cs="Arial" w:eastAsia="Arial" w:hAnsi="Arial"/>
          <w:sz w:val="18"/>
          <w:szCs w:val="18"/>
          <w:color w:val="auto"/>
        </w:rPr>
        <w:t>December 31, 2016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2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2017</w:t>
            </w:r>
          </w:p>
        </w:tc>
        <w:tc>
          <w:tcPr>
            <w:tcW w:w="20" w:type="dxa"/>
            <w:vAlign w:val="bottom"/>
          </w:tcPr>
          <w:p>
            <w:pPr>
              <w:spacing w:after="0"/>
              <w:rPr>
                <w:sz w:val="15"/>
                <w:szCs w:val="15"/>
                <w:color w:val="auto"/>
              </w:rPr>
            </w:pPr>
          </w:p>
        </w:tc>
        <w:tc>
          <w:tcPr>
            <w:tcW w:w="980" w:type="dxa"/>
            <w:vAlign w:val="bottom"/>
          </w:tcPr>
          <w:p>
            <w:pPr>
              <w:ind w:left="240"/>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40"/>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center"/>
              <w:ind w:right="9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382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Maturity</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Gain</w:t>
            </w:r>
          </w:p>
        </w:tc>
        <w:tc>
          <w:tcPr>
            <w:tcW w:w="2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1"/>
              </w:rPr>
              <w:t>Losses</w:t>
            </w: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3"/>
        </w:trPr>
        <w:tc>
          <w:tcPr>
            <w:tcW w:w="38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Cash equivalents:</w:t>
            </w:r>
          </w:p>
        </w:tc>
        <w:tc>
          <w:tcPr>
            <w:tcW w:w="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20"/>
              <w:spacing w:after="0" w:line="189" w:lineRule="exact"/>
              <w:rPr>
                <w:sz w:val="20"/>
                <w:szCs w:val="20"/>
                <w:color w:val="auto"/>
              </w:rPr>
            </w:pPr>
            <w:r>
              <w:rPr>
                <w:rFonts w:ascii="Arial" w:cs="Arial" w:eastAsia="Arial" w:hAnsi="Arial"/>
                <w:sz w:val="18"/>
                <w:szCs w:val="18"/>
                <w:color w:val="auto"/>
              </w:rPr>
              <w:t>Money market funds</w:t>
            </w: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840" w:type="dxa"/>
            <w:vAlign w:val="bottom"/>
          </w:tcPr>
          <w:p>
            <w:pPr>
              <w:ind w:left="200"/>
              <w:spacing w:after="0" w:line="189" w:lineRule="exact"/>
              <w:rPr>
                <w:sz w:val="20"/>
                <w:szCs w:val="20"/>
                <w:color w:val="auto"/>
              </w:rPr>
            </w:pPr>
            <w:r>
              <w:rPr>
                <w:rFonts w:ascii="Arial" w:cs="Arial" w:eastAsia="Arial" w:hAnsi="Arial"/>
                <w:sz w:val="18"/>
                <w:szCs w:val="18"/>
                <w:color w:val="auto"/>
                <w:w w:val="95"/>
              </w:rPr>
              <w:t>400,304</w:t>
            </w:r>
          </w:p>
        </w:tc>
        <w:tc>
          <w:tcPr>
            <w:tcW w:w="280" w:type="dxa"/>
            <w:vAlign w:val="bottom"/>
            <w:gridSpan w:val="3"/>
          </w:tcPr>
          <w:p>
            <w:pPr>
              <w:ind w:left="160"/>
              <w:spacing w:after="0" w:line="189" w:lineRule="exact"/>
              <w:rPr>
                <w:sz w:val="20"/>
                <w:szCs w:val="20"/>
                <w:color w:val="auto"/>
              </w:rPr>
            </w:pPr>
            <w:r>
              <w:rPr>
                <w:rFonts w:ascii="Arial" w:cs="Arial" w:eastAsia="Arial" w:hAnsi="Arial"/>
                <w:sz w:val="18"/>
                <w:szCs w:val="18"/>
                <w:color w:val="auto"/>
                <w:w w:val="99"/>
              </w:rPr>
              <w:t>$</w:t>
            </w:r>
          </w:p>
        </w:tc>
        <w:tc>
          <w:tcPr>
            <w:tcW w:w="560" w:type="dxa"/>
            <w:vAlign w:val="bottom"/>
            <w:gridSpan w:val="2"/>
          </w:tcPr>
          <w:p>
            <w:pPr>
              <w:ind w:left="340"/>
              <w:spacing w:after="0" w:line="189" w:lineRule="exact"/>
              <w:rPr>
                <w:sz w:val="20"/>
                <w:szCs w:val="20"/>
                <w:color w:val="auto"/>
              </w:rPr>
            </w:pPr>
            <w:r>
              <w:rPr>
                <w:rFonts w:ascii="Arial" w:cs="Arial" w:eastAsia="Arial" w:hAnsi="Arial"/>
                <w:sz w:val="18"/>
                <w:szCs w:val="18"/>
                <w:color w:val="auto"/>
              </w:rPr>
              <w:t>—</w:t>
            </w:r>
          </w:p>
        </w:tc>
        <w:tc>
          <w:tcPr>
            <w:tcW w:w="360" w:type="dxa"/>
            <w:vAlign w:val="bottom"/>
            <w:gridSpan w:val="3"/>
          </w:tcPr>
          <w:p>
            <w:pPr>
              <w:ind w:left="260"/>
              <w:spacing w:after="0" w:line="189" w:lineRule="exact"/>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25"/>
              <w:spacing w:after="0" w:line="189"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400,304</w:t>
            </w: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Investments, available-for-sale:</w:t>
            </w:r>
          </w:p>
        </w:tc>
        <w:tc>
          <w:tcPr>
            <w:tcW w:w="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Borders>
              <w:bottom w:val="single" w:sz="8" w:color="CCEEFF"/>
            </w:tcBorders>
          </w:tcPr>
          <w:p>
            <w:pPr>
              <w:ind w:left="220"/>
              <w:spacing w:after="0" w:line="189" w:lineRule="exact"/>
              <w:rPr>
                <w:sz w:val="20"/>
                <w:szCs w:val="20"/>
                <w:color w:val="auto"/>
              </w:rPr>
            </w:pPr>
            <w:r>
              <w:rPr>
                <w:rFonts w:ascii="Arial" w:cs="Arial" w:eastAsia="Arial" w:hAnsi="Arial"/>
                <w:sz w:val="18"/>
                <w:szCs w:val="18"/>
                <w:color w:val="auto"/>
              </w:rPr>
              <w:t>U.S. treasury obligations</w:t>
            </w:r>
          </w:p>
        </w:tc>
        <w:tc>
          <w:tcPr>
            <w:tcW w:w="2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ind w:left="240"/>
              <w:spacing w:after="0" w:line="189" w:lineRule="exact"/>
              <w:rPr>
                <w:sz w:val="20"/>
                <w:szCs w:val="20"/>
                <w:color w:val="auto"/>
              </w:rPr>
            </w:pPr>
            <w:r>
              <w:rPr>
                <w:rFonts w:ascii="Arial" w:cs="Arial" w:eastAsia="Arial" w:hAnsi="Arial"/>
                <w:sz w:val="18"/>
                <w:szCs w:val="18"/>
                <w:color w:val="auto"/>
                <w:w w:val="94"/>
              </w:rPr>
              <w:t>348 Days</w:t>
            </w:r>
          </w:p>
        </w:tc>
        <w:tc>
          <w:tcPr>
            <w:tcW w:w="2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200"/>
              <w:spacing w:after="0" w:line="189" w:lineRule="exact"/>
              <w:rPr>
                <w:sz w:val="20"/>
                <w:szCs w:val="20"/>
                <w:color w:val="auto"/>
              </w:rPr>
            </w:pPr>
            <w:r>
              <w:rPr>
                <w:rFonts w:ascii="Arial" w:cs="Arial" w:eastAsia="Arial" w:hAnsi="Arial"/>
                <w:sz w:val="18"/>
                <w:szCs w:val="18"/>
                <w:color w:val="auto"/>
                <w:w w:val="95"/>
              </w:rPr>
              <w:t>273,321</w:t>
            </w: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ind w:left="340"/>
              <w:spacing w:after="0" w:line="189"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8"/>
                <w:szCs w:val="18"/>
                <w:color w:val="auto"/>
              </w:rPr>
              <w:t>(269)</w:t>
            </w:r>
          </w:p>
        </w:tc>
        <w:tc>
          <w:tcPr>
            <w:tcW w:w="2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273,052</w:t>
            </w:r>
          </w:p>
        </w:tc>
        <w:tc>
          <w:tcPr>
            <w:tcW w:w="0" w:type="dxa"/>
            <w:vAlign w:val="bottom"/>
          </w:tcPr>
          <w:p>
            <w:pPr>
              <w:spacing w:after="0"/>
              <w:rPr>
                <w:sz w:val="1"/>
                <w:szCs w:val="1"/>
                <w:color w:val="auto"/>
              </w:rPr>
            </w:pPr>
          </w:p>
        </w:tc>
      </w:tr>
      <w:tr>
        <w:trPr>
          <w:trHeight w:val="176"/>
        </w:trPr>
        <w:tc>
          <w:tcPr>
            <w:tcW w:w="382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ind w:left="200"/>
              <w:spacing w:after="0" w:line="170" w:lineRule="exact"/>
              <w:rPr>
                <w:sz w:val="20"/>
                <w:szCs w:val="20"/>
                <w:color w:val="auto"/>
              </w:rPr>
            </w:pPr>
            <w:r>
              <w:rPr>
                <w:rFonts w:ascii="Arial" w:cs="Arial" w:eastAsia="Arial" w:hAnsi="Arial"/>
                <w:sz w:val="18"/>
                <w:szCs w:val="18"/>
                <w:color w:val="auto"/>
                <w:w w:val="95"/>
              </w:rPr>
              <w:t>673,625</w:t>
            </w:r>
          </w:p>
        </w:tc>
        <w:tc>
          <w:tcPr>
            <w:tcW w:w="1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gridSpan w:val="2"/>
            <w:shd w:val="clear" w:color="auto" w:fill="CCEEFF"/>
          </w:tcPr>
          <w:p>
            <w:pPr>
              <w:ind w:left="340"/>
              <w:spacing w:after="0" w:line="17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(269)</w:t>
            </w:r>
          </w:p>
        </w:tc>
        <w:tc>
          <w:tcPr>
            <w:tcW w:w="2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673,356</w:t>
            </w:r>
          </w:p>
        </w:tc>
        <w:tc>
          <w:tcPr>
            <w:tcW w:w="0" w:type="dxa"/>
            <w:vAlign w:val="bottom"/>
          </w:tcPr>
          <w:p>
            <w:pPr>
              <w:spacing w:after="0"/>
              <w:rPr>
                <w:sz w:val="1"/>
                <w:szCs w:val="1"/>
                <w:color w:val="auto"/>
              </w:rPr>
            </w:pPr>
          </w:p>
        </w:tc>
      </w:tr>
      <w:tr>
        <w:trPr>
          <w:trHeight w:val="382"/>
        </w:trPr>
        <w:tc>
          <w:tcPr>
            <w:tcW w:w="382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2016</w:t>
            </w:r>
          </w:p>
        </w:tc>
        <w:tc>
          <w:tcPr>
            <w:tcW w:w="20" w:type="dxa"/>
            <w:vAlign w:val="bottom"/>
          </w:tcPr>
          <w:p>
            <w:pPr>
              <w:spacing w:after="0"/>
              <w:rPr>
                <w:sz w:val="24"/>
                <w:szCs w:val="24"/>
                <w:color w:val="auto"/>
              </w:rPr>
            </w:pPr>
          </w:p>
        </w:tc>
        <w:tc>
          <w:tcPr>
            <w:tcW w:w="980" w:type="dxa"/>
            <w:vAlign w:val="bottom"/>
          </w:tcPr>
          <w:p>
            <w:pPr>
              <w:ind w:left="240"/>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4"/>
                <w:szCs w:val="14"/>
                <w:b w:val="1"/>
                <w:bCs w:val="1"/>
                <w:color w:val="auto"/>
              </w:rPr>
              <w:t>Amortized</w:t>
            </w:r>
          </w:p>
        </w:tc>
        <w:tc>
          <w:tcPr>
            <w:tcW w:w="840" w:type="dxa"/>
            <w:vAlign w:val="bottom"/>
            <w:gridSpan w:val="5"/>
          </w:tcPr>
          <w:p>
            <w:pPr>
              <w:ind w:left="120"/>
              <w:spacing w:after="0"/>
              <w:rPr>
                <w:sz w:val="20"/>
                <w:szCs w:val="20"/>
                <w:color w:val="auto"/>
              </w:rPr>
            </w:pPr>
            <w:r>
              <w:rPr>
                <w:rFonts w:ascii="Arial" w:cs="Arial" w:eastAsia="Arial" w:hAnsi="Arial"/>
                <w:sz w:val="14"/>
                <w:szCs w:val="14"/>
                <w:b w:val="1"/>
                <w:bCs w:val="1"/>
                <w:color w:val="auto"/>
                <w:w w:val="98"/>
              </w:rPr>
              <w:t>Unrealized</w:t>
            </w:r>
          </w:p>
        </w:tc>
        <w:tc>
          <w:tcPr>
            <w:tcW w:w="220" w:type="dxa"/>
            <w:vAlign w:val="bottom"/>
          </w:tcPr>
          <w:p>
            <w:pPr>
              <w:spacing w:after="0"/>
              <w:rPr>
                <w:sz w:val="24"/>
                <w:szCs w:val="24"/>
                <w:color w:val="auto"/>
              </w:rPr>
            </w:pPr>
          </w:p>
        </w:tc>
        <w:tc>
          <w:tcPr>
            <w:tcW w:w="74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Unrealized</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center"/>
              <w:ind w:right="11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38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ind w:left="220"/>
              <w:spacing w:after="0"/>
              <w:rPr>
                <w:sz w:val="20"/>
                <w:szCs w:val="20"/>
                <w:color w:val="auto"/>
              </w:rPr>
            </w:pPr>
            <w:r>
              <w:rPr>
                <w:rFonts w:ascii="Arial" w:cs="Arial" w:eastAsia="Arial" w:hAnsi="Arial"/>
                <w:sz w:val="14"/>
                <w:szCs w:val="14"/>
                <w:b w:val="1"/>
                <w:bCs w:val="1"/>
                <w:color w:val="auto"/>
              </w:rPr>
              <w:t>Maturity</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ind w:left="2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Gain</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center"/>
              <w:ind w:right="117"/>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83"/>
        </w:trPr>
        <w:tc>
          <w:tcPr>
            <w:tcW w:w="38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Cash equivalents:</w:t>
            </w:r>
          </w:p>
        </w:tc>
        <w:tc>
          <w:tcPr>
            <w:tcW w:w="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20"/>
              <w:spacing w:after="0" w:line="189" w:lineRule="exact"/>
              <w:rPr>
                <w:sz w:val="20"/>
                <w:szCs w:val="20"/>
                <w:color w:val="auto"/>
              </w:rPr>
            </w:pPr>
            <w:r>
              <w:rPr>
                <w:rFonts w:ascii="Arial" w:cs="Arial" w:eastAsia="Arial" w:hAnsi="Arial"/>
                <w:sz w:val="18"/>
                <w:szCs w:val="18"/>
                <w:color w:val="auto"/>
              </w:rPr>
              <w:t>Money market funds</w:t>
            </w: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52,069</w:t>
            </w:r>
          </w:p>
        </w:tc>
        <w:tc>
          <w:tcPr>
            <w:tcW w:w="280" w:type="dxa"/>
            <w:vAlign w:val="bottom"/>
            <w:gridSpan w:val="3"/>
          </w:tcPr>
          <w:p>
            <w:pPr>
              <w:ind w:left="120"/>
              <w:spacing w:after="0" w:line="189" w:lineRule="exact"/>
              <w:rPr>
                <w:sz w:val="20"/>
                <w:szCs w:val="20"/>
                <w:color w:val="auto"/>
              </w:rPr>
            </w:pPr>
            <w:r>
              <w:rPr>
                <w:rFonts w:ascii="Arial" w:cs="Arial" w:eastAsia="Arial" w:hAnsi="Arial"/>
                <w:sz w:val="18"/>
                <w:szCs w:val="18"/>
                <w:color w:val="auto"/>
              </w:rPr>
              <w:t>$</w:t>
            </w:r>
          </w:p>
        </w:tc>
        <w:tc>
          <w:tcPr>
            <w:tcW w:w="560" w:type="dxa"/>
            <w:vAlign w:val="bottom"/>
            <w:gridSpan w:val="2"/>
          </w:tcPr>
          <w:p>
            <w:pPr>
              <w:ind w:left="280"/>
              <w:spacing w:after="0" w:line="189" w:lineRule="exact"/>
              <w:rPr>
                <w:sz w:val="20"/>
                <w:szCs w:val="20"/>
                <w:color w:val="auto"/>
              </w:rPr>
            </w:pPr>
            <w:r>
              <w:rPr>
                <w:rFonts w:ascii="Arial" w:cs="Arial" w:eastAsia="Arial" w:hAnsi="Arial"/>
                <w:sz w:val="18"/>
                <w:szCs w:val="18"/>
                <w:color w:val="auto"/>
              </w:rPr>
              <w:t>—</w:t>
            </w:r>
          </w:p>
        </w:tc>
        <w:tc>
          <w:tcPr>
            <w:tcW w:w="360" w:type="dxa"/>
            <w:vAlign w:val="bottom"/>
            <w:gridSpan w:val="3"/>
          </w:tcPr>
          <w:p>
            <w:pPr>
              <w:ind w:left="220"/>
              <w:spacing w:after="0" w:line="189"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45"/>
              <w:spacing w:after="0" w:line="189"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52,069</w:t>
            </w: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Investments, available-for-sale:</w:t>
            </w:r>
          </w:p>
        </w:tc>
        <w:tc>
          <w:tcPr>
            <w:tcW w:w="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Borders>
              <w:bottom w:val="single" w:sz="8" w:color="CCEEFF"/>
            </w:tcBorders>
          </w:tcPr>
          <w:p>
            <w:pPr>
              <w:ind w:left="220"/>
              <w:spacing w:after="0" w:line="189" w:lineRule="exact"/>
              <w:rPr>
                <w:sz w:val="20"/>
                <w:szCs w:val="20"/>
                <w:color w:val="auto"/>
              </w:rPr>
            </w:pPr>
            <w:r>
              <w:rPr>
                <w:rFonts w:ascii="Arial" w:cs="Arial" w:eastAsia="Arial" w:hAnsi="Arial"/>
                <w:sz w:val="18"/>
                <w:szCs w:val="18"/>
                <w:color w:val="auto"/>
              </w:rPr>
              <w:t>U.S. treasury obligations</w:t>
            </w:r>
          </w:p>
        </w:tc>
        <w:tc>
          <w:tcPr>
            <w:tcW w:w="2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ind w:left="240"/>
              <w:spacing w:after="0" w:line="189" w:lineRule="exact"/>
              <w:rPr>
                <w:sz w:val="20"/>
                <w:szCs w:val="20"/>
                <w:color w:val="auto"/>
              </w:rPr>
            </w:pPr>
            <w:r>
              <w:rPr>
                <w:rFonts w:ascii="Arial" w:cs="Arial" w:eastAsia="Arial" w:hAnsi="Arial"/>
                <w:sz w:val="18"/>
                <w:szCs w:val="18"/>
                <w:color w:val="auto"/>
                <w:w w:val="94"/>
              </w:rPr>
              <w:t>298 Days</w:t>
            </w:r>
          </w:p>
        </w:tc>
        <w:tc>
          <w:tcPr>
            <w:tcW w:w="2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216,167</w:t>
            </w: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ind w:left="280"/>
              <w:spacing w:after="0" w:line="189" w:lineRule="exact"/>
              <w:rPr>
                <w:sz w:val="20"/>
                <w:szCs w:val="20"/>
                <w:color w:val="auto"/>
              </w:rPr>
            </w:pPr>
            <w:r>
              <w:rPr>
                <w:rFonts w:ascii="Arial" w:cs="Arial" w:eastAsia="Arial" w:hAnsi="Arial"/>
                <w:sz w:val="18"/>
                <w:szCs w:val="18"/>
                <w:color w:val="auto"/>
              </w:rPr>
              <w:t>14</w:t>
            </w: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(32)</w:t>
            </w: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216,149</w:t>
            </w:r>
          </w:p>
        </w:tc>
        <w:tc>
          <w:tcPr>
            <w:tcW w:w="0" w:type="dxa"/>
            <w:vAlign w:val="bottom"/>
          </w:tcPr>
          <w:p>
            <w:pPr>
              <w:spacing w:after="0"/>
              <w:rPr>
                <w:sz w:val="1"/>
                <w:szCs w:val="1"/>
                <w:color w:val="auto"/>
              </w:rPr>
            </w:pPr>
          </w:p>
        </w:tc>
      </w:tr>
      <w:tr>
        <w:trPr>
          <w:trHeight w:val="176"/>
        </w:trPr>
        <w:tc>
          <w:tcPr>
            <w:tcW w:w="382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268,236</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ind w:left="280"/>
              <w:spacing w:after="0" w:line="170" w:lineRule="exact"/>
              <w:rPr>
                <w:sz w:val="20"/>
                <w:szCs w:val="20"/>
                <w:color w:val="auto"/>
              </w:rPr>
            </w:pPr>
            <w:r>
              <w:rPr>
                <w:rFonts w:ascii="Arial" w:cs="Arial" w:eastAsia="Arial" w:hAnsi="Arial"/>
                <w:sz w:val="18"/>
                <w:szCs w:val="18"/>
                <w:color w:val="auto"/>
              </w:rPr>
              <w:t>14</w:t>
            </w:r>
          </w:p>
        </w:tc>
        <w:tc>
          <w:tcPr>
            <w:tcW w:w="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(32)</w:t>
            </w: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gridSpan w:val="2"/>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268,218</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00" w:firstLine="648"/>
        <w:spacing w:after="0" w:line="232" w:lineRule="auto"/>
        <w:rPr>
          <w:sz w:val="20"/>
          <w:szCs w:val="20"/>
          <w:color w:val="auto"/>
        </w:rPr>
      </w:pPr>
      <w:r>
        <w:rPr>
          <w:rFonts w:ascii="Arial" w:cs="Arial" w:eastAsia="Arial" w:hAnsi="Arial"/>
          <w:sz w:val="17"/>
          <w:szCs w:val="17"/>
          <w:color w:val="auto"/>
        </w:rPr>
        <w:t>Although available to be sold to meet operating needs or otherwise, securities are generally held through maturity. The cost of securities sold is determined based on the specific identification method for purposes of recording realized gains and losses. During the years ended December 31, 2017 and 2016, there were no realized gains or losses on sales of investments, and no investments were adjusted for other than temporary declines in fair value.</w:t>
      </w:r>
    </w:p>
    <w:p>
      <w:pPr>
        <w:spacing w:after="0" w:line="163"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color w:val="auto"/>
        </w:rPr>
        <w:t>At December 31, 2017 and 2016, the Company held 37 and 33 securities, respectively, that were in an unrealized loss position. The aggregate fair value of securities held by the Company in an unrealized loss position for less than twelve months as of December 31, 2017 and 2016 were $273.1 million and $147.1 million, respectively, and there were no securities held by the Company in an unrealized loss position for more than twelve months. The Company has the intent and ability to hold such securities until recovery. The Company determined that there was no material change in the credit risk of the above investments. As a result, the Company determined it did not hold any investments with an other-than temporary impairment as of December 31, 2017 and December 31, 2016</w:t>
      </w:r>
      <w:r>
        <w:rPr>
          <w:rFonts w:ascii="Arial" w:cs="Arial" w:eastAsia="Arial" w:hAnsi="Arial"/>
          <w:sz w:val="10"/>
          <w:szCs w:val="10"/>
          <w:color w:val="auto"/>
        </w:rPr>
        <w: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6" w:name="page127"/>
    <w:bookmarkEnd w:id="1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21" w:lineRule="exact"/>
        <w:rPr>
          <w:sz w:val="20"/>
          <w:szCs w:val="20"/>
          <w:color w:val="auto"/>
        </w:rPr>
      </w:pPr>
    </w:p>
    <w:p>
      <w:pPr>
        <w:ind w:right="320" w:firstLine="648"/>
        <w:spacing w:after="0" w:line="235" w:lineRule="auto"/>
        <w:rPr>
          <w:sz w:val="20"/>
          <w:szCs w:val="20"/>
          <w:color w:val="auto"/>
        </w:rPr>
      </w:pPr>
      <w:r>
        <w:rPr>
          <w:rFonts w:ascii="Arial" w:cs="Arial" w:eastAsia="Arial" w:hAnsi="Arial"/>
          <w:sz w:val="18"/>
          <w:szCs w:val="18"/>
          <w:color w:val="auto"/>
        </w:rPr>
        <w:t>The fair value hierarchy prioritizes the inputs to valuation techniques used to measure fair value into three broad levels as follows:</w:t>
      </w:r>
    </w:p>
    <w:p>
      <w:pPr>
        <w:spacing w:after="0" w:line="81" w:lineRule="exact"/>
        <w:rPr>
          <w:sz w:val="20"/>
          <w:szCs w:val="20"/>
          <w:color w:val="auto"/>
        </w:rPr>
      </w:pPr>
    </w:p>
    <w:p>
      <w:pPr>
        <w:ind w:left="1300" w:hanging="325"/>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Level 1 inputs are quoted prices (unadjusted) in active markets for identical assets or liabilities.</w:t>
      </w:r>
    </w:p>
    <w:p>
      <w:pPr>
        <w:spacing w:after="0" w:line="117" w:lineRule="exact"/>
        <w:rPr>
          <w:rFonts w:ascii="Arial" w:cs="Arial" w:eastAsia="Arial" w:hAnsi="Arial"/>
          <w:sz w:val="18"/>
          <w:szCs w:val="18"/>
          <w:color w:val="auto"/>
        </w:rPr>
      </w:pPr>
    </w:p>
    <w:p>
      <w:pPr>
        <w:ind w:left="1300" w:right="120" w:hanging="325"/>
        <w:spacing w:after="0" w:line="235" w:lineRule="auto"/>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w:t>
      </w:r>
    </w:p>
    <w:p>
      <w:pPr>
        <w:spacing w:after="0" w:line="94" w:lineRule="exact"/>
        <w:rPr>
          <w:rFonts w:ascii="Arial" w:cs="Arial" w:eastAsia="Arial" w:hAnsi="Arial"/>
          <w:sz w:val="18"/>
          <w:szCs w:val="18"/>
          <w:color w:val="auto"/>
        </w:rPr>
      </w:pPr>
    </w:p>
    <w:p>
      <w:pPr>
        <w:ind w:left="1300" w:right="100" w:hanging="325"/>
        <w:spacing w:after="0" w:line="259" w:lineRule="auto"/>
        <w:tabs>
          <w:tab w:leader="none" w:pos="13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Level 3 inputs are unobservable inputs that reflect the Company’s own assumptions about the assumptions market participants would use in pricing the asset or liability. Financial assets and liabilities are classified in their entirety based on the lowest level of input that is significant to the fair value measurement.</w:t>
      </w:r>
    </w:p>
    <w:p>
      <w:pPr>
        <w:spacing w:after="0" w:line="80" w:lineRule="exact"/>
        <w:rPr>
          <w:sz w:val="20"/>
          <w:szCs w:val="20"/>
          <w:color w:val="auto"/>
        </w:rPr>
      </w:pPr>
    </w:p>
    <w:p>
      <w:pPr>
        <w:ind w:right="180" w:firstLine="648"/>
        <w:spacing w:after="0" w:line="235" w:lineRule="auto"/>
        <w:rPr>
          <w:sz w:val="20"/>
          <w:szCs w:val="20"/>
          <w:color w:val="auto"/>
        </w:rPr>
      </w:pPr>
      <w:r>
        <w:rPr>
          <w:rFonts w:ascii="Arial" w:cs="Arial" w:eastAsia="Arial" w:hAnsi="Arial"/>
          <w:sz w:val="18"/>
          <w:szCs w:val="18"/>
          <w:color w:val="auto"/>
        </w:rPr>
        <w:t>Financial instruments measured at fair value as of December 31, 2017, are classified below based on the fair value hierarchy described above: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9"/>
              <w:spacing w:after="0"/>
              <w:rPr>
                <w:sz w:val="20"/>
                <w:szCs w:val="20"/>
                <w:color w:val="auto"/>
              </w:rPr>
            </w:pPr>
            <w:r>
              <w:rPr>
                <w:rFonts w:ascii="Arial" w:cs="Arial" w:eastAsia="Arial" w:hAnsi="Arial"/>
                <w:sz w:val="14"/>
                <w:szCs w:val="14"/>
                <w:b w:val="1"/>
                <w:bCs w:val="1"/>
                <w:color w:val="auto"/>
                <w:w w:val="95"/>
              </w:rPr>
              <w:t>Active</w:t>
            </w:r>
          </w:p>
        </w:tc>
        <w:tc>
          <w:tcPr>
            <w:tcW w:w="14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5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19"/>
              <w:spacing w:after="0" w:line="135" w:lineRule="exact"/>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37"/>
              <w:spacing w:after="0" w:line="135"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17"/>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62"/>
        </w:trPr>
        <w:tc>
          <w:tcPr>
            <w:tcW w:w="51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17"/>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Financial Assets</w:t>
            </w:r>
          </w:p>
        </w:tc>
        <w:tc>
          <w:tcPr>
            <w:tcW w:w="1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Cash equivalents:</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80" w:type="dxa"/>
            <w:vAlign w:val="bottom"/>
          </w:tcPr>
          <w:p>
            <w:pPr>
              <w:ind w:left="200"/>
              <w:spacing w:after="0" w:line="176" w:lineRule="exact"/>
              <w:rPr>
                <w:sz w:val="20"/>
                <w:szCs w:val="20"/>
                <w:color w:val="auto"/>
              </w:rPr>
            </w:pPr>
            <w:r>
              <w:rPr>
                <w:rFonts w:ascii="Arial" w:cs="Arial" w:eastAsia="Arial" w:hAnsi="Arial"/>
                <w:sz w:val="18"/>
                <w:szCs w:val="18"/>
                <w:color w:val="auto"/>
              </w:rPr>
              <w:t>Money market funds</w:t>
            </w:r>
          </w:p>
        </w:tc>
        <w:tc>
          <w:tcPr>
            <w:tcW w:w="360" w:type="dxa"/>
            <w:vAlign w:val="bottom"/>
            <w:gridSpan w:val="2"/>
          </w:tcPr>
          <w:p>
            <w:pPr>
              <w:jc w:val="right"/>
              <w:ind w:right="27"/>
              <w:spacing w:after="0" w:line="17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400,304</w:t>
            </w:r>
          </w:p>
        </w:tc>
        <w:tc>
          <w:tcPr>
            <w:tcW w:w="26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400,304</w:t>
            </w:r>
          </w:p>
        </w:tc>
        <w:tc>
          <w:tcPr>
            <w:tcW w:w="2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79"/>
              </w:rPr>
              <w:t>$</w:t>
            </w:r>
          </w:p>
        </w:tc>
        <w:tc>
          <w:tcPr>
            <w:tcW w:w="640" w:type="dxa"/>
            <w:vAlign w:val="bottom"/>
          </w:tcPr>
          <w:p>
            <w:pPr>
              <w:ind w:left="400"/>
              <w:spacing w:after="0" w:line="176" w:lineRule="exact"/>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9"/>
              </w:rPr>
              <w:t>$</w:t>
            </w:r>
          </w:p>
        </w:tc>
        <w:tc>
          <w:tcPr>
            <w:tcW w:w="740" w:type="dxa"/>
            <w:vAlign w:val="bottom"/>
          </w:tcPr>
          <w:p>
            <w:pPr>
              <w:ind w:left="52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Investments, available-for-sale:</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80" w:type="dxa"/>
            <w:vAlign w:val="bottom"/>
            <w:tcBorders>
              <w:bottom w:val="single" w:sz="8" w:color="CCEEFF"/>
            </w:tcBorders>
          </w:tcPr>
          <w:p>
            <w:pPr>
              <w:ind w:left="200"/>
              <w:spacing w:after="0" w:line="176" w:lineRule="exact"/>
              <w:rPr>
                <w:sz w:val="20"/>
                <w:szCs w:val="20"/>
                <w:color w:val="auto"/>
              </w:rPr>
            </w:pPr>
            <w:r>
              <w:rPr>
                <w:rFonts w:ascii="Arial" w:cs="Arial" w:eastAsia="Arial" w:hAnsi="Arial"/>
                <w:sz w:val="18"/>
                <w:szCs w:val="18"/>
                <w:color w:val="auto"/>
              </w:rPr>
              <w:t>U.S Treasury obligations</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273,052</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273,052</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400"/>
              <w:spacing w:after="0" w:line="17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52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673,356</w:t>
            </w:r>
          </w:p>
        </w:tc>
        <w:tc>
          <w:tcPr>
            <w:tcW w:w="260" w:type="dxa"/>
            <w:vAlign w:val="bottom"/>
            <w:gridSpan w:val="2"/>
            <w:shd w:val="clear" w:color="auto" w:fill="CCEEFF"/>
          </w:tcPr>
          <w:p>
            <w:pPr>
              <w:jc w:val="right"/>
              <w:ind w:right="20"/>
              <w:spacing w:after="0" w:line="170"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673,356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ind w:left="400"/>
              <w:spacing w:after="0" w:line="170"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ind w:left="520"/>
              <w:spacing w:after="0" w:line="17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firstLine="648"/>
        <w:spacing w:after="0" w:line="235" w:lineRule="auto"/>
        <w:rPr>
          <w:sz w:val="20"/>
          <w:szCs w:val="20"/>
          <w:color w:val="auto"/>
        </w:rPr>
      </w:pPr>
      <w:r>
        <w:rPr>
          <w:rFonts w:ascii="Arial" w:cs="Arial" w:eastAsia="Arial" w:hAnsi="Arial"/>
          <w:sz w:val="18"/>
          <w:szCs w:val="18"/>
          <w:color w:val="auto"/>
        </w:rPr>
        <w:t>Financial instruments measured at fair value as of December 31, 2016, are classified below based on the fair value hierarchy described above: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39"/>
              <w:spacing w:after="0"/>
              <w:rPr>
                <w:sz w:val="20"/>
                <w:szCs w:val="20"/>
                <w:color w:val="auto"/>
              </w:rPr>
            </w:pPr>
            <w:r>
              <w:rPr>
                <w:rFonts w:ascii="Arial" w:cs="Arial" w:eastAsia="Arial" w:hAnsi="Arial"/>
                <w:sz w:val="14"/>
                <w:szCs w:val="14"/>
                <w:b w:val="1"/>
                <w:bCs w:val="1"/>
                <w:color w:val="auto"/>
                <w:w w:val="95"/>
              </w:rPr>
              <w:t>Active</w:t>
            </w:r>
          </w:p>
        </w:tc>
        <w:tc>
          <w:tcPr>
            <w:tcW w:w="14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5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37"/>
              <w:spacing w:after="0" w:line="135"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17"/>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62"/>
        </w:trPr>
        <w:tc>
          <w:tcPr>
            <w:tcW w:w="51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17"/>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Financial Assets</w:t>
            </w:r>
          </w:p>
        </w:tc>
        <w:tc>
          <w:tcPr>
            <w:tcW w:w="1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Cash equivalents:</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80" w:type="dxa"/>
            <w:vAlign w:val="bottom"/>
          </w:tcPr>
          <w:p>
            <w:pPr>
              <w:ind w:left="200"/>
              <w:spacing w:after="0" w:line="176" w:lineRule="exact"/>
              <w:rPr>
                <w:sz w:val="20"/>
                <w:szCs w:val="20"/>
                <w:color w:val="auto"/>
              </w:rPr>
            </w:pPr>
            <w:r>
              <w:rPr>
                <w:rFonts w:ascii="Arial" w:cs="Arial" w:eastAsia="Arial" w:hAnsi="Arial"/>
                <w:sz w:val="18"/>
                <w:szCs w:val="18"/>
                <w:color w:val="auto"/>
              </w:rPr>
              <w:t>Money market funds</w:t>
            </w:r>
          </w:p>
        </w:tc>
        <w:tc>
          <w:tcPr>
            <w:tcW w:w="360" w:type="dxa"/>
            <w:vAlign w:val="bottom"/>
            <w:gridSpan w:val="2"/>
          </w:tcPr>
          <w:p>
            <w:pPr>
              <w:jc w:val="right"/>
              <w:ind w:right="27"/>
              <w:spacing w:after="0" w:line="17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52,069</w:t>
            </w:r>
          </w:p>
        </w:tc>
        <w:tc>
          <w:tcPr>
            <w:tcW w:w="2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52,069</w:t>
            </w:r>
          </w:p>
        </w:tc>
        <w:tc>
          <w:tcPr>
            <w:tcW w:w="2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79"/>
              </w:rPr>
              <w:t>$</w:t>
            </w:r>
          </w:p>
        </w:tc>
        <w:tc>
          <w:tcPr>
            <w:tcW w:w="640" w:type="dxa"/>
            <w:vAlign w:val="bottom"/>
          </w:tcPr>
          <w:p>
            <w:pPr>
              <w:ind w:left="400"/>
              <w:spacing w:after="0" w:line="176" w:lineRule="exact"/>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9"/>
              </w:rPr>
              <w:t>$</w:t>
            </w:r>
          </w:p>
        </w:tc>
        <w:tc>
          <w:tcPr>
            <w:tcW w:w="740" w:type="dxa"/>
            <w:vAlign w:val="bottom"/>
          </w:tcPr>
          <w:p>
            <w:pPr>
              <w:ind w:left="52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Investments, available-for-sale:</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80" w:type="dxa"/>
            <w:vAlign w:val="bottom"/>
            <w:tcBorders>
              <w:bottom w:val="single" w:sz="8" w:color="CCEEFF"/>
            </w:tcBorders>
          </w:tcPr>
          <w:p>
            <w:pPr>
              <w:ind w:left="200"/>
              <w:spacing w:after="0" w:line="176" w:lineRule="exact"/>
              <w:rPr>
                <w:sz w:val="20"/>
                <w:szCs w:val="20"/>
                <w:color w:val="auto"/>
              </w:rPr>
            </w:pPr>
            <w:r>
              <w:rPr>
                <w:rFonts w:ascii="Arial" w:cs="Arial" w:eastAsia="Arial" w:hAnsi="Arial"/>
                <w:sz w:val="18"/>
                <w:szCs w:val="18"/>
                <w:color w:val="auto"/>
              </w:rPr>
              <w:t>U.S Treasury obligations</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216,149</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8"/>
              </w:rPr>
              <w:t>216,149</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400"/>
              <w:spacing w:after="0" w:line="17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52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8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268,218</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268,218</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ind w:left="400"/>
              <w:spacing w:after="0" w:line="170"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ind w:left="520"/>
              <w:spacing w:after="0" w:line="17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00" w:firstLine="648"/>
        <w:spacing w:after="0" w:line="232" w:lineRule="auto"/>
        <w:rPr>
          <w:sz w:val="20"/>
          <w:szCs w:val="20"/>
          <w:color w:val="auto"/>
        </w:rPr>
      </w:pPr>
      <w:r>
        <w:rPr>
          <w:rFonts w:ascii="Arial" w:cs="Arial" w:eastAsia="Arial" w:hAnsi="Arial"/>
          <w:sz w:val="17"/>
          <w:szCs w:val="17"/>
          <w:color w:val="auto"/>
        </w:rPr>
        <w:t>At December 31, 2017 and December 31, 2016, the fair value of the Company’s term loan payable is determined using current applicable rates for similar instruments as of the balance sheet date. The carrying value of the Company’s term loan payable approximates fair value because the Company’s interest rate yield approximates current market rates. The Company’s term loan payable is a Level 3 liability within the fair value hierarchy.</w:t>
      </w:r>
    </w:p>
    <w:p>
      <w:pPr>
        <w:spacing w:after="0" w:line="95" w:lineRule="exact"/>
        <w:rPr>
          <w:sz w:val="20"/>
          <w:szCs w:val="20"/>
          <w:color w:val="auto"/>
        </w:rPr>
      </w:pPr>
    </w:p>
    <w:p>
      <w:pPr>
        <w:ind w:right="160" w:firstLine="648"/>
        <w:spacing w:after="0" w:line="229" w:lineRule="auto"/>
        <w:rPr>
          <w:sz w:val="20"/>
          <w:szCs w:val="20"/>
          <w:color w:val="auto"/>
        </w:rPr>
      </w:pPr>
      <w:r>
        <w:rPr>
          <w:rFonts w:ascii="Arial" w:cs="Arial" w:eastAsia="Arial" w:hAnsi="Arial"/>
          <w:sz w:val="17"/>
          <w:szCs w:val="17"/>
          <w:color w:val="auto"/>
        </w:rPr>
        <w:t>The fair value of the preferred stock warrant liability was determined based on Level 3 inputs and utilizing the Black-Scholes option pricing model (see Note 10). On May 5, 2015, upon completion of the IPO, the warrants to purchase preferred stock converted into warrants to purchase common stock and the Company reclassified the fair value of the warrants as of May 5, 2015 to additional paid-in capital. The following table presents activity in the preferred stock warrant liability during the year ended December 31, 2015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43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r>
      <w:tr>
        <w:trPr>
          <w:trHeight w:val="129"/>
        </w:trPr>
        <w:tc>
          <w:tcPr>
            <w:tcW w:w="4340" w:type="dxa"/>
            <w:vAlign w:val="bottom"/>
            <w:tcBorders>
              <w:bottom w:val="single" w:sz="8" w:color="CCEEFF"/>
            </w:tcBorders>
          </w:tcPr>
          <w:p>
            <w:pPr>
              <w:spacing w:after="0"/>
              <w:rPr>
                <w:sz w:val="11"/>
                <w:szCs w:val="11"/>
                <w:color w:val="auto"/>
              </w:rPr>
            </w:pPr>
          </w:p>
        </w:tc>
        <w:tc>
          <w:tcPr>
            <w:tcW w:w="35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center"/>
              <w:ind w:right="35"/>
              <w:spacing w:after="0" w:line="129" w:lineRule="exact"/>
              <w:rPr>
                <w:sz w:val="20"/>
                <w:szCs w:val="20"/>
                <w:color w:val="auto"/>
              </w:rPr>
            </w:pPr>
            <w:r>
              <w:rPr>
                <w:rFonts w:ascii="Arial" w:cs="Arial" w:eastAsia="Arial" w:hAnsi="Arial"/>
                <w:sz w:val="14"/>
                <w:szCs w:val="14"/>
                <w:b w:val="1"/>
                <w:bCs w:val="1"/>
                <w:color w:val="auto"/>
                <w:w w:val="89"/>
              </w:rPr>
              <w:t>2015</w:t>
            </w:r>
          </w:p>
        </w:tc>
        <w:tc>
          <w:tcPr>
            <w:tcW w:w="180" w:type="dxa"/>
            <w:vAlign w:val="bottom"/>
            <w:tcBorders>
              <w:bottom w:val="single" w:sz="8" w:color="CCEEFF"/>
            </w:tcBorders>
          </w:tcPr>
          <w:p>
            <w:pPr>
              <w:spacing w:after="0"/>
              <w:rPr>
                <w:sz w:val="11"/>
                <w:szCs w:val="11"/>
                <w:color w:val="auto"/>
              </w:rPr>
            </w:pPr>
          </w:p>
        </w:tc>
      </w:tr>
      <w:tr>
        <w:trPr>
          <w:trHeight w:val="169"/>
        </w:trPr>
        <w:tc>
          <w:tcPr>
            <w:tcW w:w="43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Beginning balance</w:t>
            </w:r>
          </w:p>
        </w:tc>
        <w:tc>
          <w:tcPr>
            <w:tcW w:w="35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365</w:t>
            </w:r>
          </w:p>
        </w:tc>
        <w:tc>
          <w:tcPr>
            <w:tcW w:w="180" w:type="dxa"/>
            <w:vAlign w:val="bottom"/>
            <w:shd w:val="clear" w:color="auto" w:fill="CCEEFF"/>
          </w:tcPr>
          <w:p>
            <w:pPr>
              <w:spacing w:after="0"/>
              <w:rPr>
                <w:sz w:val="14"/>
                <w:szCs w:val="14"/>
                <w:color w:val="auto"/>
              </w:rPr>
            </w:pPr>
          </w:p>
        </w:tc>
      </w:tr>
      <w:tr>
        <w:trPr>
          <w:trHeight w:val="176"/>
        </w:trPr>
        <w:tc>
          <w:tcPr>
            <w:tcW w:w="4340" w:type="dxa"/>
            <w:vAlign w:val="bottom"/>
          </w:tcPr>
          <w:p>
            <w:pPr>
              <w:ind w:left="220"/>
              <w:spacing w:after="0" w:line="176" w:lineRule="exact"/>
              <w:rPr>
                <w:sz w:val="20"/>
                <w:szCs w:val="20"/>
                <w:color w:val="auto"/>
              </w:rPr>
            </w:pPr>
            <w:r>
              <w:rPr>
                <w:rFonts w:ascii="Arial" w:cs="Arial" w:eastAsia="Arial" w:hAnsi="Arial"/>
                <w:sz w:val="18"/>
                <w:szCs w:val="18"/>
                <w:color w:val="auto"/>
              </w:rPr>
              <w:t>Issuance of warrant at fair value</w:t>
            </w:r>
          </w:p>
        </w:tc>
        <w:tc>
          <w:tcPr>
            <w:tcW w:w="3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w:t>
            </w:r>
          </w:p>
        </w:tc>
      </w:tr>
      <w:tr>
        <w:trPr>
          <w:trHeight w:val="176"/>
        </w:trPr>
        <w:tc>
          <w:tcPr>
            <w:tcW w:w="43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Change in fair value</w:t>
            </w:r>
          </w:p>
        </w:tc>
        <w:tc>
          <w:tcPr>
            <w:tcW w:w="3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445</w:t>
            </w:r>
          </w:p>
        </w:tc>
        <w:tc>
          <w:tcPr>
            <w:tcW w:w="180" w:type="dxa"/>
            <w:vAlign w:val="bottom"/>
            <w:shd w:val="clear" w:color="auto" w:fill="CCEEFF"/>
          </w:tcPr>
          <w:p>
            <w:pPr>
              <w:spacing w:after="0"/>
              <w:rPr>
                <w:sz w:val="15"/>
                <w:szCs w:val="15"/>
                <w:color w:val="auto"/>
              </w:rPr>
            </w:pPr>
          </w:p>
        </w:tc>
      </w:tr>
      <w:tr>
        <w:trPr>
          <w:trHeight w:val="176"/>
        </w:trPr>
        <w:tc>
          <w:tcPr>
            <w:tcW w:w="434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w w:val="92"/>
              </w:rPr>
              <w:t>Reclassification of fair value to additional paid-in capital</w:t>
            </w:r>
          </w:p>
        </w:tc>
        <w:tc>
          <w:tcPr>
            <w:tcW w:w="35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(810)</w:t>
            </w:r>
          </w:p>
        </w:tc>
        <w:tc>
          <w:tcPr>
            <w:tcW w:w="180" w:type="dxa"/>
            <w:vAlign w:val="bottom"/>
            <w:tcBorders>
              <w:bottom w:val="single" w:sz="8" w:color="CCEEFF"/>
            </w:tcBorders>
          </w:tcPr>
          <w:p>
            <w:pPr>
              <w:spacing w:after="0"/>
              <w:rPr>
                <w:sz w:val="15"/>
                <w:szCs w:val="15"/>
                <w:color w:val="auto"/>
              </w:rPr>
            </w:pPr>
          </w:p>
        </w:tc>
      </w:tr>
      <w:tr>
        <w:trPr>
          <w:trHeight w:val="176"/>
        </w:trPr>
        <w:tc>
          <w:tcPr>
            <w:tcW w:w="434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Ending balance</w:t>
            </w:r>
          </w:p>
        </w:tc>
        <w:tc>
          <w:tcPr>
            <w:tcW w:w="3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5"/>
                <w:szCs w:val="15"/>
                <w:color w:val="auto"/>
              </w:rPr>
            </w:pPr>
          </w:p>
        </w:tc>
      </w:tr>
      <w:tr>
        <w:trPr>
          <w:trHeight w:val="594"/>
        </w:trPr>
        <w:tc>
          <w:tcPr>
            <w:tcW w:w="4340" w:type="dxa"/>
            <w:vAlign w:val="bottom"/>
          </w:tcPr>
          <w:p>
            <w:pPr>
              <w:spacing w:after="0"/>
              <w:rPr>
                <w:sz w:val="24"/>
                <w:szCs w:val="24"/>
                <w:color w:val="auto"/>
              </w:rPr>
            </w:pPr>
          </w:p>
        </w:tc>
        <w:tc>
          <w:tcPr>
            <w:tcW w:w="3660" w:type="dxa"/>
            <w:vAlign w:val="bottom"/>
            <w:gridSpan w:val="2"/>
          </w:tcPr>
          <w:p>
            <w:pPr>
              <w:jc w:val="right"/>
              <w:ind w:right="3226"/>
              <w:spacing w:after="0"/>
              <w:rPr>
                <w:sz w:val="20"/>
                <w:szCs w:val="20"/>
                <w:color w:val="auto"/>
              </w:rPr>
            </w:pPr>
            <w:r>
              <w:rPr>
                <w:rFonts w:ascii="Arial" w:cs="Arial" w:eastAsia="Arial" w:hAnsi="Arial"/>
                <w:sz w:val="18"/>
                <w:szCs w:val="18"/>
                <w:color w:val="auto"/>
                <w:w w:val="91"/>
              </w:rPr>
              <w:t>F-16</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02"/>
        </w:trPr>
        <w:tc>
          <w:tcPr>
            <w:tcW w:w="4340" w:type="dxa"/>
            <w:vAlign w:val="bottom"/>
            <w:tcBorders>
              <w:bottom w:val="single" w:sz="8" w:color="auto"/>
            </w:tcBorders>
          </w:tcPr>
          <w:p>
            <w:pPr>
              <w:spacing w:after="0"/>
              <w:rPr>
                <w:sz w:val="8"/>
                <w:szCs w:val="8"/>
                <w:color w:val="auto"/>
              </w:rPr>
            </w:pPr>
          </w:p>
        </w:tc>
        <w:tc>
          <w:tcPr>
            <w:tcW w:w="3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2" w:right="1419" w:bottom="1440" w:gutter="0" w:footer="0" w:header="0"/>
        </w:sectPr>
      </w:pPr>
    </w:p>
    <w:bookmarkStart w:id="127" w:name="page128"/>
    <w:bookmarkEnd w:id="1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Restricted Cash</w:t>
      </w:r>
    </w:p>
    <w:p>
      <w:pPr>
        <w:spacing w:after="0" w:line="189"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At December 31, 2017 and 2016, $4.8 million and $1.3 million, respectively, of the Company’s cash is restricted by a bank. As of December 31, 2017 and 2016, $4.6 million and $1.3 million, respectively, of the restricted cash was included in long-term assets on the Company’s balance sheet related to security deposits for the lease agreements for the Company’s current and former corporate headquarters.</w:t>
      </w:r>
    </w:p>
    <w:p>
      <w:pPr>
        <w:spacing w:after="0" w:line="163" w:lineRule="exact"/>
        <w:rPr>
          <w:sz w:val="20"/>
          <w:szCs w:val="20"/>
          <w:color w:val="auto"/>
        </w:rPr>
      </w:pPr>
    </w:p>
    <w:p>
      <w:pPr>
        <w:ind w:right="80" w:firstLine="648"/>
        <w:spacing w:after="0" w:line="212" w:lineRule="auto"/>
        <w:rPr>
          <w:sz w:val="20"/>
          <w:szCs w:val="20"/>
          <w:color w:val="auto"/>
        </w:rPr>
      </w:pPr>
      <w:r>
        <w:rPr>
          <w:rFonts w:ascii="Arial" w:cs="Arial" w:eastAsia="Arial" w:hAnsi="Arial"/>
          <w:sz w:val="18"/>
          <w:szCs w:val="18"/>
          <w:color w:val="auto"/>
        </w:rPr>
        <w:t>On April 28, 2017, the Company entered into a lease agreement with UP 45/75 Sidney Street, LLC (Landlord) for approximately 99,833 rentable square feet of office and laboratory space located at 45 Sidney Street in Cambridge, Massachusetts. The initial term of the lease agreement commenced on October 1, 2017 and will expire on November 30, 2029. The lease agreement requires the Company to maintain a security deposit with the Landlord in the amount of $3.5 million, which is included in the long-term restricted cash balance on the Company’s balance sheet as of December 31, 2017. The security deposit is subject to reduction by up to $1.0 million during the term of the lease agreement, subject to the satisfaction of specified terms and conditions.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and related accumulated depreciation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74"/>
        </w:trPr>
        <w:tc>
          <w:tcPr>
            <w:tcW w:w="51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2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31,</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518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(Years)</w:t>
            </w:r>
          </w:p>
        </w:tc>
        <w:tc>
          <w:tcPr>
            <w:tcW w:w="24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3"/>
                <w:szCs w:val="13"/>
                <w:color w:val="auto"/>
              </w:rPr>
            </w:pPr>
          </w:p>
        </w:tc>
      </w:tr>
      <w:tr>
        <w:trPr>
          <w:trHeight w:val="169"/>
        </w:trPr>
        <w:tc>
          <w:tcPr>
            <w:tcW w:w="51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Lab equipment</w:t>
            </w:r>
          </w:p>
        </w:tc>
        <w:tc>
          <w:tcPr>
            <w:tcW w:w="110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79"/>
              </w:rPr>
              <w:t>5</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36"/>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3,604</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90"/>
              <w:spacing w:after="0" w:line="170"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3,059</w:t>
            </w:r>
          </w:p>
        </w:tc>
        <w:tc>
          <w:tcPr>
            <w:tcW w:w="120" w:type="dxa"/>
            <w:vAlign w:val="bottom"/>
            <w:shd w:val="clear" w:color="auto" w:fill="CCEEFF"/>
          </w:tcPr>
          <w:p>
            <w:pPr>
              <w:spacing w:after="0"/>
              <w:rPr>
                <w:sz w:val="14"/>
                <w:szCs w:val="14"/>
                <w:color w:val="auto"/>
              </w:rPr>
            </w:pPr>
          </w:p>
        </w:tc>
      </w:tr>
      <w:tr>
        <w:trPr>
          <w:trHeight w:val="176"/>
        </w:trPr>
        <w:tc>
          <w:tcPr>
            <w:tcW w:w="5180" w:type="dxa"/>
            <w:vAlign w:val="bottom"/>
          </w:tcPr>
          <w:p>
            <w:pPr>
              <w:spacing w:after="0" w:line="176" w:lineRule="exact"/>
              <w:rPr>
                <w:sz w:val="20"/>
                <w:szCs w:val="20"/>
                <w:color w:val="auto"/>
              </w:rPr>
            </w:pPr>
            <w:r>
              <w:rPr>
                <w:rFonts w:ascii="Arial" w:cs="Arial" w:eastAsia="Arial" w:hAnsi="Arial"/>
                <w:sz w:val="18"/>
                <w:szCs w:val="18"/>
                <w:color w:val="auto"/>
              </w:rPr>
              <w:t>Furniture and fixtures</w:t>
            </w: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837</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784</w:t>
            </w:r>
          </w:p>
        </w:tc>
        <w:tc>
          <w:tcPr>
            <w:tcW w:w="120" w:type="dxa"/>
            <w:vAlign w:val="bottom"/>
          </w:tcPr>
          <w:p>
            <w:pPr>
              <w:spacing w:after="0"/>
              <w:rPr>
                <w:sz w:val="15"/>
                <w:szCs w:val="15"/>
                <w:color w:val="auto"/>
              </w:rPr>
            </w:pPr>
          </w:p>
        </w:tc>
      </w:tr>
      <w:tr>
        <w:trPr>
          <w:trHeight w:val="176"/>
        </w:trPr>
        <w:tc>
          <w:tcPr>
            <w:tcW w:w="5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Computer equipment</w:t>
            </w:r>
          </w:p>
        </w:tc>
        <w:tc>
          <w:tcPr>
            <w:tcW w:w="11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624</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768</w:t>
            </w:r>
          </w:p>
        </w:tc>
        <w:tc>
          <w:tcPr>
            <w:tcW w:w="120" w:type="dxa"/>
            <w:vAlign w:val="bottom"/>
            <w:shd w:val="clear" w:color="auto" w:fill="CCEEFF"/>
          </w:tcPr>
          <w:p>
            <w:pPr>
              <w:spacing w:after="0"/>
              <w:rPr>
                <w:sz w:val="15"/>
                <w:szCs w:val="15"/>
                <w:color w:val="auto"/>
              </w:rPr>
            </w:pPr>
          </w:p>
        </w:tc>
      </w:tr>
      <w:tr>
        <w:trPr>
          <w:trHeight w:val="176"/>
        </w:trPr>
        <w:tc>
          <w:tcPr>
            <w:tcW w:w="5180" w:type="dxa"/>
            <w:vAlign w:val="bottom"/>
          </w:tcPr>
          <w:p>
            <w:pPr>
              <w:spacing w:after="0" w:line="176" w:lineRule="exact"/>
              <w:rPr>
                <w:sz w:val="20"/>
                <w:szCs w:val="20"/>
                <w:color w:val="auto"/>
              </w:rPr>
            </w:pPr>
            <w:r>
              <w:rPr>
                <w:rFonts w:ascii="Arial" w:cs="Arial" w:eastAsia="Arial" w:hAnsi="Arial"/>
                <w:sz w:val="18"/>
                <w:szCs w:val="18"/>
                <w:color w:val="auto"/>
              </w:rPr>
              <w:t>Leasehold improvements</w:t>
            </w: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89"/>
              </w:rPr>
              <w:t>Term of lease</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4,681</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4,673</w:t>
            </w:r>
          </w:p>
        </w:tc>
        <w:tc>
          <w:tcPr>
            <w:tcW w:w="120" w:type="dxa"/>
            <w:vAlign w:val="bottom"/>
          </w:tcPr>
          <w:p>
            <w:pPr>
              <w:spacing w:after="0"/>
              <w:rPr>
                <w:sz w:val="15"/>
                <w:szCs w:val="15"/>
                <w:color w:val="auto"/>
              </w:rPr>
            </w:pPr>
          </w:p>
        </w:tc>
      </w:tr>
      <w:tr>
        <w:trPr>
          <w:trHeight w:val="176"/>
        </w:trPr>
        <w:tc>
          <w:tcPr>
            <w:tcW w:w="5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Software</w:t>
            </w:r>
          </w:p>
        </w:tc>
        <w:tc>
          <w:tcPr>
            <w:tcW w:w="11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263</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5"/>
                <w:szCs w:val="15"/>
                <w:color w:val="auto"/>
              </w:rPr>
            </w:pPr>
          </w:p>
        </w:tc>
      </w:tr>
      <w:tr>
        <w:trPr>
          <w:trHeight w:val="176"/>
        </w:trPr>
        <w:tc>
          <w:tcPr>
            <w:tcW w:w="5180" w:type="dxa"/>
            <w:vAlign w:val="bottom"/>
          </w:tcPr>
          <w:p>
            <w:pPr>
              <w:spacing w:after="0" w:line="176" w:lineRule="exact"/>
              <w:rPr>
                <w:sz w:val="20"/>
                <w:szCs w:val="20"/>
                <w:color w:val="auto"/>
              </w:rPr>
            </w:pPr>
            <w:r>
              <w:rPr>
                <w:rFonts w:ascii="Arial" w:cs="Arial" w:eastAsia="Arial" w:hAnsi="Arial"/>
                <w:sz w:val="18"/>
                <w:szCs w:val="18"/>
                <w:color w:val="auto"/>
              </w:rPr>
              <w:t>Construction-in-progress</w:t>
            </w: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18,998</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w:t>
            </w:r>
          </w:p>
        </w:tc>
      </w:tr>
      <w:tr>
        <w:trPr>
          <w:trHeight w:val="169"/>
        </w:trPr>
        <w:tc>
          <w:tcPr>
            <w:tcW w:w="518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29,007</w:t>
            </w:r>
          </w:p>
        </w:tc>
        <w:tc>
          <w:tcPr>
            <w:tcW w:w="2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9,456</w:t>
            </w:r>
          </w:p>
        </w:tc>
        <w:tc>
          <w:tcPr>
            <w:tcW w:w="120" w:type="dxa"/>
            <w:vAlign w:val="bottom"/>
            <w:tcBorders>
              <w:top w:val="single" w:sz="8" w:color="CCEEFF"/>
            </w:tcBorders>
            <w:shd w:val="clear" w:color="auto" w:fill="CCEEFF"/>
          </w:tcPr>
          <w:p>
            <w:pPr>
              <w:spacing w:after="0"/>
              <w:rPr>
                <w:sz w:val="14"/>
                <w:szCs w:val="14"/>
                <w:color w:val="auto"/>
              </w:rPr>
            </w:pPr>
          </w:p>
        </w:tc>
      </w:tr>
      <w:tr>
        <w:trPr>
          <w:trHeight w:val="176"/>
        </w:trPr>
        <w:tc>
          <w:tcPr>
            <w:tcW w:w="51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Less: accumulated depreciation and amortization</w:t>
            </w:r>
          </w:p>
        </w:tc>
        <w:tc>
          <w:tcPr>
            <w:tcW w:w="1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(4,644)</w:t>
            </w:r>
          </w:p>
        </w:tc>
        <w:tc>
          <w:tcPr>
            <w:tcW w:w="2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(3,268)</w:t>
            </w:r>
          </w:p>
        </w:tc>
        <w:tc>
          <w:tcPr>
            <w:tcW w:w="120" w:type="dxa"/>
            <w:vAlign w:val="bottom"/>
            <w:tcBorders>
              <w:bottom w:val="single" w:sz="8" w:color="CCEEFF"/>
            </w:tcBorders>
          </w:tcPr>
          <w:p>
            <w:pPr>
              <w:spacing w:after="0"/>
              <w:rPr>
                <w:sz w:val="15"/>
                <w:szCs w:val="15"/>
                <w:color w:val="auto"/>
              </w:rPr>
            </w:pPr>
          </w:p>
        </w:tc>
      </w:tr>
      <w:tr>
        <w:trPr>
          <w:trHeight w:val="176"/>
        </w:trPr>
        <w:tc>
          <w:tcPr>
            <w:tcW w:w="518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property and equipment, net</w:t>
            </w:r>
          </w:p>
        </w:tc>
        <w:tc>
          <w:tcPr>
            <w:tcW w:w="1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36"/>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24,363</w:t>
            </w:r>
          </w:p>
        </w:tc>
        <w:tc>
          <w:tcPr>
            <w:tcW w:w="2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90"/>
              <w:spacing w:after="0" w:line="170"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6,188</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48" w:lineRule="exact"/>
        <w:rPr>
          <w:sz w:val="20"/>
          <w:szCs w:val="20"/>
          <w:color w:val="auto"/>
        </w:rPr>
      </w:pPr>
    </w:p>
    <w:p>
      <w:pPr>
        <w:ind w:right="340" w:firstLine="648"/>
        <w:spacing w:after="0" w:line="235" w:lineRule="auto"/>
        <w:rPr>
          <w:sz w:val="20"/>
          <w:szCs w:val="20"/>
          <w:color w:val="auto"/>
        </w:rPr>
      </w:pPr>
      <w:r>
        <w:rPr>
          <w:rFonts w:ascii="Arial" w:cs="Arial" w:eastAsia="Arial" w:hAnsi="Arial"/>
          <w:sz w:val="18"/>
          <w:szCs w:val="18"/>
          <w:color w:val="auto"/>
        </w:rPr>
        <w:t>Depreciation expense for the years ended December 31, 2017, 2016 and 2015 was $1.6 million, $1.6 million and $0.9 million,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9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4"/>
              </w:rPr>
              <w:t>December 31,</w:t>
            </w:r>
          </w:p>
        </w:tc>
        <w:tc>
          <w:tcPr>
            <w:tcW w:w="20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4680" w:type="dxa"/>
            <w:vAlign w:val="bottom"/>
            <w:tcBorders>
              <w:bottom w:val="single" w:sz="8" w:color="CCEEFF"/>
            </w:tcBorders>
          </w:tcPr>
          <w:p>
            <w:pPr>
              <w:spacing w:after="0"/>
              <w:rPr>
                <w:sz w:val="13"/>
                <w:szCs w:val="13"/>
                <w:color w:val="auto"/>
              </w:rPr>
            </w:pPr>
          </w:p>
        </w:tc>
        <w:tc>
          <w:tcPr>
            <w:tcW w:w="216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3"/>
                <w:szCs w:val="13"/>
                <w:color w:val="auto"/>
              </w:rPr>
            </w:pPr>
          </w:p>
        </w:tc>
      </w:tr>
      <w:tr>
        <w:trPr>
          <w:trHeight w:val="169"/>
        </w:trPr>
        <w:tc>
          <w:tcPr>
            <w:tcW w:w="46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External research and development</w:t>
            </w:r>
          </w:p>
        </w:tc>
        <w:tc>
          <w:tcPr>
            <w:tcW w:w="21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41"/>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17,880</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36"/>
              <w:spacing w:after="0" w:line="170"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5,696</w:t>
            </w:r>
          </w:p>
        </w:tc>
        <w:tc>
          <w:tcPr>
            <w:tcW w:w="80" w:type="dxa"/>
            <w:vAlign w:val="bottom"/>
            <w:shd w:val="clear" w:color="auto" w:fill="CCEEFF"/>
          </w:tcPr>
          <w:p>
            <w:pPr>
              <w:spacing w:after="0"/>
              <w:rPr>
                <w:sz w:val="14"/>
                <w:szCs w:val="14"/>
                <w:color w:val="auto"/>
              </w:rPr>
            </w:pPr>
          </w:p>
        </w:tc>
      </w:tr>
      <w:tr>
        <w:trPr>
          <w:trHeight w:val="189"/>
        </w:trPr>
        <w:tc>
          <w:tcPr>
            <w:tcW w:w="4680" w:type="dxa"/>
            <w:vAlign w:val="bottom"/>
          </w:tcPr>
          <w:p>
            <w:pPr>
              <w:spacing w:after="0" w:line="189" w:lineRule="exact"/>
              <w:rPr>
                <w:sz w:val="20"/>
                <w:szCs w:val="20"/>
                <w:color w:val="auto"/>
              </w:rPr>
            </w:pPr>
            <w:r>
              <w:rPr>
                <w:rFonts w:ascii="Arial" w:cs="Arial" w:eastAsia="Arial" w:hAnsi="Arial"/>
                <w:sz w:val="18"/>
                <w:szCs w:val="18"/>
                <w:color w:val="auto"/>
              </w:rPr>
              <w:t>Employee compensation</w:t>
            </w:r>
          </w:p>
        </w:tc>
        <w:tc>
          <w:tcPr>
            <w:tcW w:w="2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5,765</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4,118</w:t>
            </w:r>
          </w:p>
        </w:tc>
        <w:tc>
          <w:tcPr>
            <w:tcW w:w="80" w:type="dxa"/>
            <w:vAlign w:val="bottom"/>
          </w:tcPr>
          <w:p>
            <w:pPr>
              <w:spacing w:after="0"/>
              <w:rPr>
                <w:sz w:val="16"/>
                <w:szCs w:val="16"/>
                <w:color w:val="auto"/>
              </w:rPr>
            </w:pPr>
          </w:p>
        </w:tc>
      </w:tr>
      <w:tr>
        <w:trPr>
          <w:trHeight w:val="176"/>
        </w:trPr>
        <w:tc>
          <w:tcPr>
            <w:tcW w:w="4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Professional fees and other</w:t>
            </w:r>
          </w:p>
        </w:tc>
        <w:tc>
          <w:tcPr>
            <w:tcW w:w="2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2,467</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1,697</w:t>
            </w:r>
          </w:p>
        </w:tc>
        <w:tc>
          <w:tcPr>
            <w:tcW w:w="80" w:type="dxa"/>
            <w:vAlign w:val="bottom"/>
            <w:shd w:val="clear" w:color="auto" w:fill="CCEEFF"/>
          </w:tcPr>
          <w:p>
            <w:pPr>
              <w:spacing w:after="0"/>
              <w:rPr>
                <w:sz w:val="15"/>
                <w:szCs w:val="15"/>
                <w:color w:val="auto"/>
              </w:rPr>
            </w:pPr>
          </w:p>
        </w:tc>
      </w:tr>
      <w:tr>
        <w:trPr>
          <w:trHeight w:val="176"/>
        </w:trPr>
        <w:tc>
          <w:tcPr>
            <w:tcW w:w="4680" w:type="dxa"/>
            <w:vAlign w:val="bottom"/>
          </w:tcPr>
          <w:p>
            <w:pPr>
              <w:spacing w:after="0" w:line="176" w:lineRule="exact"/>
              <w:rPr>
                <w:sz w:val="20"/>
                <w:szCs w:val="20"/>
                <w:color w:val="auto"/>
              </w:rPr>
            </w:pPr>
            <w:r>
              <w:rPr>
                <w:rFonts w:ascii="Arial" w:cs="Arial" w:eastAsia="Arial" w:hAnsi="Arial"/>
                <w:sz w:val="18"/>
                <w:szCs w:val="18"/>
                <w:color w:val="auto"/>
              </w:rPr>
              <w:t>Interest</w:t>
            </w:r>
          </w:p>
        </w:tc>
        <w:tc>
          <w:tcPr>
            <w:tcW w:w="2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197</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212</w:t>
            </w:r>
          </w:p>
        </w:tc>
        <w:tc>
          <w:tcPr>
            <w:tcW w:w="80" w:type="dxa"/>
            <w:vAlign w:val="bottom"/>
          </w:tcPr>
          <w:p>
            <w:pPr>
              <w:spacing w:after="0"/>
              <w:rPr>
                <w:sz w:val="15"/>
                <w:szCs w:val="15"/>
                <w:color w:val="auto"/>
              </w:rPr>
            </w:pPr>
          </w:p>
        </w:tc>
      </w:tr>
      <w:tr>
        <w:trPr>
          <w:trHeight w:val="176"/>
        </w:trPr>
        <w:tc>
          <w:tcPr>
            <w:tcW w:w="4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Property and equipment costs</w:t>
            </w:r>
          </w:p>
        </w:tc>
        <w:tc>
          <w:tcPr>
            <w:tcW w:w="2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4,176</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5"/>
                <w:szCs w:val="15"/>
                <w:color w:val="auto"/>
              </w:rPr>
            </w:pPr>
          </w:p>
        </w:tc>
      </w:tr>
      <w:tr>
        <w:trPr>
          <w:trHeight w:val="176"/>
        </w:trPr>
        <w:tc>
          <w:tcPr>
            <w:tcW w:w="4680" w:type="dxa"/>
            <w:vAlign w:val="bottom"/>
          </w:tcPr>
          <w:p>
            <w:pPr>
              <w:spacing w:after="0" w:line="176" w:lineRule="exact"/>
              <w:rPr>
                <w:sz w:val="20"/>
                <w:szCs w:val="20"/>
                <w:color w:val="auto"/>
              </w:rPr>
            </w:pPr>
            <w:r>
              <w:rPr>
                <w:rFonts w:ascii="Arial" w:cs="Arial" w:eastAsia="Arial" w:hAnsi="Arial"/>
                <w:sz w:val="18"/>
                <w:szCs w:val="18"/>
                <w:color w:val="auto"/>
              </w:rPr>
              <w:t>Severance</w:t>
            </w:r>
          </w:p>
        </w:tc>
        <w:tc>
          <w:tcPr>
            <w:tcW w:w="2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56</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w:t>
            </w:r>
          </w:p>
        </w:tc>
      </w:tr>
      <w:tr>
        <w:trPr>
          <w:trHeight w:val="176"/>
        </w:trPr>
        <w:tc>
          <w:tcPr>
            <w:tcW w:w="4680" w:type="dxa"/>
            <w:vAlign w:val="bottom"/>
            <w:tcBorders>
              <w:top w:val="single" w:sz="8" w:color="CCEEFF"/>
              <w:bottom w:val="single" w:sz="8" w:color="CCEEFF"/>
            </w:tcBorders>
            <w:shd w:val="clear" w:color="auto" w:fill="CCEEFF"/>
          </w:tcPr>
          <w:p>
            <w:pPr>
              <w:spacing w:after="0"/>
              <w:rPr>
                <w:sz w:val="15"/>
                <w:szCs w:val="15"/>
                <w:color w:val="auto"/>
              </w:rPr>
            </w:pPr>
          </w:p>
        </w:tc>
        <w:tc>
          <w:tcPr>
            <w:tcW w:w="216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1"/>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30,541</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36"/>
              <w:spacing w:after="0" w:line="170"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11,746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Collaborations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Roche</w:t>
      </w:r>
    </w:p>
    <w:p>
      <w:pPr>
        <w:spacing w:after="0" w:line="185" w:lineRule="exact"/>
        <w:rPr>
          <w:sz w:val="20"/>
          <w:szCs w:val="20"/>
          <w:color w:val="auto"/>
        </w:rPr>
      </w:pPr>
    </w:p>
    <w:p>
      <w:pPr>
        <w:ind w:right="80" w:firstLine="648"/>
        <w:spacing w:after="0" w:line="238" w:lineRule="auto"/>
        <w:rPr>
          <w:sz w:val="20"/>
          <w:szCs w:val="20"/>
          <w:color w:val="auto"/>
        </w:rPr>
      </w:pPr>
      <w:r>
        <w:rPr>
          <w:rFonts w:ascii="Arial" w:cs="Arial" w:eastAsia="Arial" w:hAnsi="Arial"/>
          <w:sz w:val="17"/>
          <w:szCs w:val="17"/>
          <w:color w:val="auto"/>
        </w:rPr>
        <w:t>In March 2016, the Company entered into a collaboration and license agreement (as amended, Roche agreement) with Roche for the discovery, development and commercialization of up to five small molecule therapeutics targeting kinases believed to be important in cancer immunotherapy, as single products or possibly in combination with</w:t>
      </w:r>
    </w:p>
    <w:p>
      <w:pPr>
        <w:spacing w:after="0" w:line="16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11" w:right="1379" w:bottom="1440" w:gutter="0" w:footer="0" w:header="0"/>
        </w:sectPr>
      </w:pPr>
    </w:p>
    <w:bookmarkStart w:id="128" w:name="page129"/>
    <w:bookmarkEnd w:id="1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other therapeutics. The parties are currently conducting activities for up to five programs under the collaboration, including up to two collaboration programs leveraging the Company’s novel target discovery engine and proprietary compound library to select potential targets.</w:t>
      </w:r>
    </w:p>
    <w:p>
      <w:pPr>
        <w:spacing w:after="0" w:line="163" w:lineRule="exact"/>
        <w:rPr>
          <w:sz w:val="20"/>
          <w:szCs w:val="20"/>
          <w:color w:val="auto"/>
        </w:rPr>
      </w:pPr>
    </w:p>
    <w:p>
      <w:pPr>
        <w:ind w:right="60" w:firstLine="648"/>
        <w:spacing w:after="0" w:line="211" w:lineRule="auto"/>
        <w:rPr>
          <w:sz w:val="20"/>
          <w:szCs w:val="20"/>
          <w:color w:val="auto"/>
        </w:rPr>
      </w:pPr>
      <w:r>
        <w:rPr>
          <w:rFonts w:ascii="Arial" w:cs="Arial" w:eastAsia="Arial" w:hAnsi="Arial"/>
          <w:sz w:val="18"/>
          <w:szCs w:val="18"/>
          <w:color w:val="auto"/>
        </w:rPr>
        <w:t>Under the Roche agreement, Roche is granted up to five option rights to obtain an exclusive license to exploit products derived from the collaboration programs in the field of cancer immunotherapy. Such option rights are triggered upon the achievement of Phase 1 proof-of-concept. For up to three of the five collaboration programs, if Roche exercises its option, Roche will receive worldwide, exclusive commercialization rights for the licensed products. For up to two of the five collaboration programs, if Roche exercises its option, the Company will retain commercialization rights in the United States for the licensed products, and Roche will receive commercialization rights outside of the United States for the licensed products. The Company will also retain worldwide rights to any products for which Roche elects not to exercise its applicable option.</w:t>
      </w:r>
    </w:p>
    <w:p>
      <w:pPr>
        <w:spacing w:after="0" w:line="165"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Prior to Roche’s exercise of an option, the Company will have the lead responsibility for drug discovery and pre-clinical development of all collaboration programs. In addition, the Company will have the lead responsibility for the conduct of all Phase 1 clinical trials other than those Phase 1 clinical trials for any product in combination with Roche’s portfolio of therapeutics, for which Roche will have the right to lead the conduct of such Phase 1 clinical trials. Pursuant to the Roche agreement, the parties will share the costs of Phase 1 development for each collaboration program. In addition, Roche will be responsible for post-Phase 1 development costs for each licensed product for which it retains global commercialization rights, and the Company and Roche will share post-Phase 1 development costs for each licensed product for which the Company retains commercialization rights in the United States.</w:t>
      </w:r>
    </w:p>
    <w:p>
      <w:pPr>
        <w:spacing w:after="0" w:line="168"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Subject to the terms of the Roche agreement, the Company received an upfront cash payment of $45.0 million and will be eligible to receive up to approximately $965.0 million in contingent option fees and milestone payments related to specified research, pre-clinical, clinical, regulatory and sales-based milestones. Of the total contingent payments, up to approximately $215.0 million are for option fees and milestone payments for research, pre-clinical and clinical development events prior to licensing across all five potential collaboration programs, including contingent milestone payments for initiation of each of the collaboration programs for which the parties will work together to select targets (pre-option exercise milestones). In addition, for any licensed product for which Roche retains worldwide commercialization rights, the Company will be eligible to receive tiered royalties ranging from low double-digits to high-teens on future net sales of the licensed product. For any licensed product for which the Company retains commercialization rights in the United States, the Company and Roche will be eligible to receive tiered royalties ranging from mid-single-digits to low double-digits on future net sales in the other party’s respective territories in which it commercializes the licensed product. The upfront cash payment and any payments for milestones, option fees and royalties are non-refundable, non-creditable and not subject to set-off.</w:t>
      </w:r>
    </w:p>
    <w:p>
      <w:pPr>
        <w:spacing w:after="0" w:line="170"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The Roche agreement will continue until the date when no royalty or other payment obligations are or will become due, unless earlier terminated in accordance with the terms of the Roche agreement. Prior to its exercise of its first option, Roche may terminate the Roche agreement at will, in whole or on a collaboration target-by-collaboration target basis, upon 120 days’ prior written notice to the Company. Following its exercise of an option, Roche may terminate the Roche agreement at will, in whole, on a collaboration target-by-collaboration target basis, on a collaboration program-by-collaboration program basis or, if a licensed product has been commercially sold, on a country-by-country basis, (i) upon 120 days’ prior written notice if a licensed product has not been commercially sold or (ii) upon 180 days’ prior written notice if a licensed product has been commercially sold. Either party may terminate the Roche agreement for the other party’s uncured material breach or insolvency and in certain other circumstances agreed to by the parties. In certain termination circumstances, the Company is entitled to retain specified licenses to be able to continue to exploit the licensed products.</w:t>
      </w:r>
    </w:p>
    <w:p>
      <w:pPr>
        <w:spacing w:after="0" w:line="163" w:lineRule="exact"/>
        <w:rPr>
          <w:sz w:val="20"/>
          <w:szCs w:val="20"/>
          <w:color w:val="auto"/>
        </w:rPr>
      </w:pPr>
    </w:p>
    <w:p>
      <w:pPr>
        <w:ind w:right="40" w:firstLine="648"/>
        <w:spacing w:after="0" w:line="235" w:lineRule="auto"/>
        <w:rPr>
          <w:sz w:val="20"/>
          <w:szCs w:val="20"/>
          <w:color w:val="auto"/>
        </w:rPr>
      </w:pPr>
      <w:r>
        <w:rPr>
          <w:rFonts w:ascii="Arial" w:cs="Arial" w:eastAsia="Arial" w:hAnsi="Arial"/>
          <w:sz w:val="16"/>
          <w:szCs w:val="16"/>
          <w:color w:val="auto"/>
        </w:rPr>
        <w:t>The Company determined that there were five deliverables under the Roche collaboration: (i) a non-transferable, sub-licensable and non-exclusive license to use the Company’s intellectual property and collaboration compounds to conduct research activities;(ii) conducting research and development activities through Phase 1 clinical trials under the research plan;</w:t>
      </w:r>
    </w:p>
    <w:p>
      <w:pPr>
        <w:spacing w:after="0" w:line="2" w:lineRule="exact"/>
        <w:rPr>
          <w:sz w:val="20"/>
          <w:szCs w:val="20"/>
          <w:color w:val="auto"/>
        </w:rPr>
      </w:pPr>
    </w:p>
    <w:p>
      <w:pPr>
        <w:ind w:right="220" w:firstLine="3"/>
        <w:spacing w:after="0" w:line="268" w:lineRule="auto"/>
        <w:tabs>
          <w:tab w:leader="none" w:pos="315" w:val="left"/>
        </w:tabs>
        <w:numPr>
          <w:ilvl w:val="0"/>
          <w:numId w:val="74"/>
        </w:numPr>
        <w:rPr>
          <w:rFonts w:ascii="Arial" w:cs="Arial" w:eastAsia="Arial" w:hAnsi="Arial"/>
          <w:sz w:val="16"/>
          <w:szCs w:val="16"/>
          <w:color w:val="auto"/>
        </w:rPr>
      </w:pPr>
      <w:r>
        <w:rPr>
          <w:rFonts w:ascii="Arial" w:cs="Arial" w:eastAsia="Arial" w:hAnsi="Arial"/>
          <w:sz w:val="16"/>
          <w:szCs w:val="16"/>
          <w:color w:val="auto"/>
        </w:rPr>
        <w:t>providing pre-clinical and clinical supply of collaboration compounds; (iv) participation on a joint research committee (JRC) and joint development committee (JDC); and (v) regulatory responsibilities under Phase 1 clinical trials.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9" w:name="page130"/>
    <w:bookmarkEnd w:id="1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The Company determined that the license did not have value to Roche on a stand-alone basis due to the specialized nature of the research activities to be provided by the Company that are not available in the marketplace and the fact that the license is to perform research and development only. Therefore, the license has limited value without the performance of the research and development activities and is not separable. The pre-clinical and clinical supply activities are integral to the performance of the research and development activities and can only be used for the performance of such activities, and the regulatory responsibilities are dependent on the research and development activities. The Company determined that the best estimate for the selling price of the JRC and JDC participation was inconsequential. Accordingly, the Company combined the license, pre-clinical and clinical supply, JRC and JDC participation and regulatory responsibilities deliverables with the research and development activities, the last item to be delivered in the arrangement, as one unit of accounting. The Company is recognizing the total allocable arrangement consideration consisting of the upfront payment of $45.0 million as revenue on a straight-line basis over the Company’s best estimate of the period it expects to perform research and development activities. The Company expects the services to be delivered ratably.</w:t>
      </w:r>
    </w:p>
    <w:p>
      <w:pPr>
        <w:spacing w:after="0" w:line="170"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The Company evaluated whether the option fees that may be received in connection with the Roche agreement are substantive. The Company concluded that the option fees were substantive due to the uncertainty around whether the goals of the collaboration will be achieved, and therefore the options are not a deliverable in the current arrangement. If Roche elects to exercise the options, the exercises and related contingent deliverables would be accounted for as a separate arrangement.</w:t>
      </w:r>
    </w:p>
    <w:p>
      <w:pPr>
        <w:spacing w:after="0" w:line="155"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The Company evaluated whether the milestones that may be received in connection with the Roche agreement are substantive milestones. Pre-option exercise milestones, of up to $215.0 million, that are expected to be achieved as a result of the Company’s efforts during the performance of the research and development activities are considered substantive and are recognized as revenue upon the achievement of the milestone, assuming all other revenue recognition criteria are met. The development event milestones are not considered substantive because the Company does not contribute effort to the achievement of such milestones as they are expected to be achieved after the performance of the research and development activities. Consideration received with respect to these milestones will be added to the total arrangement consideration that has been allocated to the identified units of accounting. As a result, that amount is recognized as revenue ratably over the period starting from the effective date of the agreement to the date that the Company will complete all of its obligations, with a cumulative catch-up from the effective date through the date of achievement of the milestone. If the consideration is received after the completion of all of the Company’s obligations, the amount will be recognized as revenue immediately.</w:t>
      </w:r>
    </w:p>
    <w:p>
      <w:pPr>
        <w:spacing w:after="0" w:line="166"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During the years ended December 31, 2017 and 2016, the Company recognized revenue under the Roche collaboration of $5.2 million and $4.5 million, respectively, which represents a portion of the $45.0 million upfront payment.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Alexion</w:t>
      </w:r>
    </w:p>
    <w:p>
      <w:pPr>
        <w:spacing w:after="0" w:line="185" w:lineRule="exact"/>
        <w:rPr>
          <w:sz w:val="20"/>
          <w:szCs w:val="20"/>
          <w:color w:val="auto"/>
        </w:rPr>
      </w:pPr>
    </w:p>
    <w:p>
      <w:pPr>
        <w:ind w:right="40" w:firstLine="648"/>
        <w:spacing w:after="0" w:line="216" w:lineRule="auto"/>
        <w:rPr>
          <w:sz w:val="20"/>
          <w:szCs w:val="20"/>
          <w:color w:val="auto"/>
        </w:rPr>
      </w:pPr>
      <w:r>
        <w:rPr>
          <w:rFonts w:ascii="Arial" w:cs="Arial" w:eastAsia="Arial" w:hAnsi="Arial"/>
          <w:sz w:val="18"/>
          <w:szCs w:val="18"/>
          <w:color w:val="auto"/>
        </w:rPr>
        <w:t>In March 2015, the Company entered into a research, development and commercialization agreement (Alexion agreement) with Alexion to research, develop and commercialize one or more drug candidates targeting the ALK2 kinase for the treatment of fibrodysplasia ossificans progressiva (FOP). On July 26, 2017, the Company received written notice from Alexion of its election to terminate the Alexion agreement for convenience, and the termination became effective on October 24, 2017.</w:t>
      </w:r>
    </w:p>
    <w:p>
      <w:pPr>
        <w:spacing w:after="0" w:line="162"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Under the terms of the Alexion agreement, the Company and Alexion agreed to collaborate to research, develop and commercialize one or more drug candidates targeting the ALK2 kinase for the treatment of FOP, which is a rare genetic disease caused by mutations in the ALK2 gene, ACVR1. Effective upon the termination, the Company’s exclusivity obligations under the Alexion collaboration terminated, including without limitation, the Company’s exclusivity obligations with respect to (i) the treatment of FOP, heterotopic ossification or diffuse intrinsic pontine glioma, (ii) ALK2, including both wild-type and mutated forms, and (iii) certain molecules related to the foregoing. In addition, the research term and all licenses granted to Alexion terminated, and certain licenses granted by Alexion to the Company survived and became perpetual, irrevocable and non-terminable.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30" w:name="page131"/>
    <w:bookmarkEnd w:id="1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60" w:firstLine="648"/>
        <w:spacing w:after="0" w:line="184" w:lineRule="exact"/>
        <w:rPr>
          <w:sz w:val="20"/>
          <w:szCs w:val="20"/>
          <w:color w:val="auto"/>
        </w:rPr>
      </w:pPr>
      <w:r>
        <w:rPr>
          <w:rFonts w:ascii="Arial" w:cs="Arial" w:eastAsia="Arial" w:hAnsi="Arial"/>
          <w:sz w:val="17"/>
          <w:szCs w:val="17"/>
          <w:color w:val="auto"/>
        </w:rPr>
        <w:t>Pursuant to the Alexion agreement, the Company was responsible for research and pre-clinical development activities related to any drug candidates, and Alexion was responsible for all clinical development, manufacturing and commercialization activities related to any drug candidates. In addition, Alexion was responsible for funding 100% of the Company’s research and development costs incurred under the research plan, including pass</w:t>
      </w:r>
      <w:r>
        <w:rPr>
          <w:rFonts w:ascii="MS PGothic" w:cs="MS PGothic" w:eastAsia="MS PGothic" w:hAnsi="MS PGothic"/>
          <w:sz w:val="17"/>
          <w:szCs w:val="17"/>
          <w:color w:val="auto"/>
        </w:rPr>
        <w:t>‑</w:t>
      </w:r>
      <w:r>
        <w:rPr>
          <w:rFonts w:ascii="Arial" w:cs="Arial" w:eastAsia="Arial" w:hAnsi="Arial"/>
          <w:sz w:val="17"/>
          <w:szCs w:val="17"/>
          <w:color w:val="auto"/>
        </w:rPr>
        <w:t>through costs and a negotiated yearly rate per full</w:t>
      </w:r>
      <w:r>
        <w:rPr>
          <w:rFonts w:ascii="MS PGothic" w:cs="MS PGothic" w:eastAsia="MS PGothic" w:hAnsi="MS PGothic"/>
          <w:sz w:val="17"/>
          <w:szCs w:val="17"/>
          <w:color w:val="auto"/>
        </w:rPr>
        <w:t>‑</w:t>
      </w:r>
      <w:r>
        <w:rPr>
          <w:rFonts w:ascii="Arial" w:cs="Arial" w:eastAsia="Arial" w:hAnsi="Arial"/>
          <w:sz w:val="17"/>
          <w:szCs w:val="17"/>
          <w:color w:val="auto"/>
        </w:rPr>
        <w:t>time equivalent for its employees’ time and their associated overhead expenses. As a result of the termination of the Alexion agreement, the Company will not be entitled to receive payment from Alexion for any research and development expenses incurred after the effective date of termination.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Prior to termination, the Company had received an aggregate amount of $18.8 million in upfront and milestone</w:t>
      </w:r>
    </w:p>
    <w:p>
      <w:pPr>
        <w:spacing w:after="0" w:line="176" w:lineRule="exact"/>
        <w:rPr>
          <w:sz w:val="20"/>
          <w:szCs w:val="20"/>
          <w:color w:val="auto"/>
        </w:rPr>
      </w:pPr>
      <w:r>
        <w:rPr>
          <w:rFonts w:ascii="Arial" w:cs="Arial" w:eastAsia="Arial" w:hAnsi="Arial"/>
          <w:sz w:val="17"/>
          <w:szCs w:val="17"/>
          <w:color w:val="auto"/>
        </w:rPr>
        <w:t>payments. The Company received a $15.0 million non</w:t>
      </w:r>
      <w:r>
        <w:rPr>
          <w:rFonts w:ascii="MS PGothic" w:cs="MS PGothic" w:eastAsia="MS PGothic" w:hAnsi="MS PGothic"/>
          <w:sz w:val="17"/>
          <w:szCs w:val="17"/>
          <w:color w:val="auto"/>
        </w:rPr>
        <w:t>‑</w:t>
      </w:r>
      <w:r>
        <w:rPr>
          <w:rFonts w:ascii="Arial" w:cs="Arial" w:eastAsia="Arial" w:hAnsi="Arial"/>
          <w:sz w:val="17"/>
          <w:szCs w:val="17"/>
          <w:color w:val="auto"/>
        </w:rPr>
        <w:t>refundable upfront payment in March 2015 upon execution of the</w:t>
      </w:r>
    </w:p>
    <w:p>
      <w:pPr>
        <w:spacing w:after="0" w:line="216" w:lineRule="auto"/>
        <w:rPr>
          <w:sz w:val="20"/>
          <w:szCs w:val="20"/>
          <w:color w:val="auto"/>
        </w:rPr>
      </w:pPr>
      <w:r>
        <w:rPr>
          <w:rFonts w:ascii="Arial" w:cs="Arial" w:eastAsia="Arial" w:hAnsi="Arial"/>
          <w:sz w:val="17"/>
          <w:szCs w:val="17"/>
          <w:color w:val="auto"/>
        </w:rPr>
        <w:t>Alexion agreement and was eligible to receive over $250.0 million in payments upon the successful achievement of</w:t>
      </w:r>
    </w:p>
    <w:p>
      <w:pPr>
        <w:spacing w:after="0" w:line="176" w:lineRule="exact"/>
        <w:rPr>
          <w:sz w:val="20"/>
          <w:szCs w:val="20"/>
          <w:color w:val="auto"/>
        </w:rPr>
      </w:pPr>
      <w:r>
        <w:rPr>
          <w:rFonts w:ascii="Arial" w:cs="Arial" w:eastAsia="Arial" w:hAnsi="Arial"/>
          <w:sz w:val="16"/>
          <w:szCs w:val="16"/>
          <w:color w:val="auto"/>
        </w:rPr>
        <w:t>pre</w:t>
      </w:r>
      <w:r>
        <w:rPr>
          <w:rFonts w:ascii="MS PGothic" w:cs="MS PGothic" w:eastAsia="MS PGothic" w:hAnsi="MS PGothic"/>
          <w:sz w:val="16"/>
          <w:szCs w:val="16"/>
          <w:color w:val="auto"/>
        </w:rPr>
        <w:t>‑</w:t>
      </w:r>
      <w:r>
        <w:rPr>
          <w:rFonts w:ascii="Arial" w:cs="Arial" w:eastAsia="Arial" w:hAnsi="Arial"/>
          <w:sz w:val="16"/>
          <w:szCs w:val="16"/>
          <w:color w:val="auto"/>
        </w:rPr>
        <w:t>specified pre-clinical, clinical, regulatory and commercial milestones. Prior to termination, the Company had received an</w:t>
      </w:r>
    </w:p>
    <w:p>
      <w:pPr>
        <w:spacing w:after="0" w:line="229" w:lineRule="auto"/>
        <w:rPr>
          <w:sz w:val="20"/>
          <w:szCs w:val="20"/>
          <w:color w:val="auto"/>
        </w:rPr>
      </w:pPr>
      <w:r>
        <w:rPr>
          <w:rFonts w:ascii="Arial" w:cs="Arial" w:eastAsia="Arial" w:hAnsi="Arial"/>
          <w:sz w:val="16"/>
          <w:szCs w:val="16"/>
          <w:color w:val="auto"/>
        </w:rPr>
        <w:t>aggregate amount of $3.8 million in pre-clinical milestone payments. As a result of the termination of the Alexion agreement,</w:t>
      </w:r>
    </w:p>
    <w:p>
      <w:pPr>
        <w:spacing w:after="0" w:line="215" w:lineRule="auto"/>
        <w:rPr>
          <w:sz w:val="20"/>
          <w:szCs w:val="20"/>
          <w:color w:val="auto"/>
        </w:rPr>
      </w:pPr>
      <w:r>
        <w:rPr>
          <w:rFonts w:ascii="Arial" w:cs="Arial" w:eastAsia="Arial" w:hAnsi="Arial"/>
          <w:sz w:val="17"/>
          <w:szCs w:val="17"/>
          <w:color w:val="auto"/>
        </w:rPr>
        <w:t>the Company will not be entitled to receive payment from Alexion for any additional milestones. Prior to termination,</w:t>
      </w:r>
    </w:p>
    <w:p>
      <w:pPr>
        <w:spacing w:after="0" w:line="176" w:lineRule="exact"/>
        <w:rPr>
          <w:sz w:val="20"/>
          <w:szCs w:val="20"/>
          <w:color w:val="auto"/>
        </w:rPr>
      </w:pPr>
      <w:r>
        <w:rPr>
          <w:rFonts w:ascii="Arial" w:cs="Arial" w:eastAsia="Arial" w:hAnsi="Arial"/>
          <w:sz w:val="17"/>
          <w:szCs w:val="17"/>
          <w:color w:val="auto"/>
        </w:rPr>
        <w:t>Alexion was required to pay the Company tiered royalties, ranging from mid</w:t>
      </w:r>
      <w:r>
        <w:rPr>
          <w:rFonts w:ascii="MS PGothic" w:cs="MS PGothic" w:eastAsia="MS PGothic" w:hAnsi="MS PGothic"/>
          <w:sz w:val="17"/>
          <w:szCs w:val="17"/>
          <w:color w:val="auto"/>
        </w:rPr>
        <w:t>‑</w:t>
      </w:r>
      <w:r>
        <w:rPr>
          <w:rFonts w:ascii="Arial" w:cs="Arial" w:eastAsia="Arial" w:hAnsi="Arial"/>
          <w:sz w:val="17"/>
          <w:szCs w:val="17"/>
          <w:color w:val="auto"/>
        </w:rPr>
        <w:t>single to low</w:t>
      </w:r>
      <w:r>
        <w:rPr>
          <w:rFonts w:ascii="MS PGothic" w:cs="MS PGothic" w:eastAsia="MS PGothic" w:hAnsi="MS PGothic"/>
          <w:sz w:val="17"/>
          <w:szCs w:val="17"/>
          <w:color w:val="auto"/>
        </w:rPr>
        <w:t>‑</w:t>
      </w:r>
      <w:r>
        <w:rPr>
          <w:rFonts w:ascii="Arial" w:cs="Arial" w:eastAsia="Arial" w:hAnsi="Arial"/>
          <w:sz w:val="17"/>
          <w:szCs w:val="17"/>
          <w:color w:val="auto"/>
        </w:rPr>
        <w:t>double digit percentages, on a</w:t>
      </w:r>
    </w:p>
    <w:p>
      <w:pPr>
        <w:spacing w:after="0" w:line="176" w:lineRule="exact"/>
        <w:rPr>
          <w:sz w:val="20"/>
          <w:szCs w:val="20"/>
          <w:color w:val="auto"/>
        </w:rPr>
      </w:pPr>
      <w:r>
        <w:rPr>
          <w:rFonts w:ascii="Arial" w:cs="Arial" w:eastAsia="Arial" w:hAnsi="Arial"/>
          <w:sz w:val="17"/>
          <w:szCs w:val="17"/>
          <w:color w:val="auto"/>
        </w:rPr>
        <w:t>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and licensed-product</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licensed product basis, on worldwide net product sales of licensed products.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refund provisions in the Alexion agreement.</w:t>
      </w:r>
    </w:p>
    <w:p>
      <w:pPr>
        <w:spacing w:after="0" w:line="169"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The Company determined that there were three deliverables under the former Alexion collaboration: (i) an exclusive license to research, develop, manufacture and commercialize the licensed products and the compounds in the field in the territory, (ii) conducting research and development activities under the research plan and (iii) participation on a joint steering committee (JSC) and joint project team (JPT).</w:t>
      </w:r>
    </w:p>
    <w:p>
      <w:pPr>
        <w:spacing w:after="0" w:line="163"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The Company determined that the license did not have value to Alexion on a stand-alone basis due to the specialized nature of the research services to be provided by the Company that are not available in the marketplace. Therefore, the deliverables were not separable and, accordingly, the license, undelivered research and development activities and JSC and JPT participation were a single unit of accounting. When multiple deliverables are accounted for as a single unit of accounting, the Company bases its revenue recognition model on the final deliverable. Under the Alexion agreement, the last deliverable to be completed is its research and development activities and participation on the JSC and JPT, which were expected to be delivered over the same performance period. The Company recognized the remaining deferred revenue balance related to the upfront payment and non-substantive milestone payment previously received under the former collaboration with Alexion, utilizing the proportional performance model over the remaining period of performance, which ended October 24, 2017.</w:t>
      </w:r>
    </w:p>
    <w:p>
      <w:pPr>
        <w:spacing w:after="0" w:line="164" w:lineRule="exact"/>
        <w:rPr>
          <w:sz w:val="20"/>
          <w:szCs w:val="20"/>
          <w:color w:val="auto"/>
        </w:rPr>
      </w:pPr>
    </w:p>
    <w:p>
      <w:pPr>
        <w:ind w:right="300" w:firstLine="648"/>
        <w:spacing w:after="0" w:line="241" w:lineRule="auto"/>
        <w:rPr>
          <w:sz w:val="20"/>
          <w:szCs w:val="20"/>
          <w:color w:val="auto"/>
        </w:rPr>
      </w:pPr>
      <w:r>
        <w:rPr>
          <w:rFonts w:ascii="Arial" w:cs="Arial" w:eastAsia="Arial" w:hAnsi="Arial"/>
          <w:sz w:val="16"/>
          <w:szCs w:val="16"/>
          <w:color w:val="auto"/>
        </w:rPr>
        <w:t>The Company evaluated whether the milestones that it was eligible to receive in connection with the Alexion agreement were substantive or non-substantive milestones. The Company concluded that the first pre-clinical milestone payment under the former Alexion collaboration was non-substantive due to the certainty at the date the arrangement was entered into that the event will be achieved. In the second quarter of 2015, the Company achieved the first pre-clinical milestone under the former Alexion collaboration and received a $1.8 million payment from Alexion. The Company recognized revenues from the related milestone payment over the remaining period of performance.</w:t>
      </w:r>
    </w:p>
    <w:p>
      <w:pPr>
        <w:spacing w:after="0" w:line="161" w:lineRule="exact"/>
        <w:rPr>
          <w:sz w:val="20"/>
          <w:szCs w:val="20"/>
          <w:color w:val="auto"/>
        </w:rPr>
      </w:pPr>
    </w:p>
    <w:p>
      <w:pPr>
        <w:ind w:right="40" w:firstLine="648"/>
        <w:spacing w:after="0" w:line="226" w:lineRule="auto"/>
        <w:rPr>
          <w:sz w:val="20"/>
          <w:szCs w:val="20"/>
          <w:color w:val="auto"/>
        </w:rPr>
      </w:pPr>
      <w:r>
        <w:rPr>
          <w:rFonts w:ascii="Arial" w:cs="Arial" w:eastAsia="Arial" w:hAnsi="Arial"/>
          <w:sz w:val="17"/>
          <w:szCs w:val="17"/>
          <w:color w:val="auto"/>
        </w:rPr>
        <w:t>The remaining non-refundable pre-clinical milestones that the Company was eligible to achieve as a result of the Company’s efforts prior to the termination were considered substantive and would have been recognized as revenue upon the achievement of the milestone, assuming all other revenue recognition criteria were met. The Company has recognized and received an aggregate of $2.0 million in substantive milestones through December 31, 2017. Milestones that were expected to be achieved after the period of substantial involvement were not considered substantive because the Company did not contribute effort to the achievement of such milestones.</w:t>
      </w:r>
    </w:p>
    <w:p>
      <w:pPr>
        <w:spacing w:after="0" w:line="165" w:lineRule="exact"/>
        <w:rPr>
          <w:sz w:val="20"/>
          <w:szCs w:val="20"/>
          <w:color w:val="auto"/>
        </w:rPr>
      </w:pPr>
    </w:p>
    <w:p>
      <w:pPr>
        <w:ind w:right="100" w:firstLine="648"/>
        <w:spacing w:after="0" w:line="212" w:lineRule="auto"/>
        <w:rPr>
          <w:sz w:val="20"/>
          <w:szCs w:val="20"/>
          <w:color w:val="auto"/>
        </w:rPr>
      </w:pPr>
      <w:r>
        <w:rPr>
          <w:rFonts w:ascii="Arial" w:cs="Arial" w:eastAsia="Arial" w:hAnsi="Arial"/>
          <w:sz w:val="18"/>
          <w:szCs w:val="18"/>
          <w:color w:val="auto"/>
        </w:rPr>
        <w:t>During the year ended December 31, 2017, the Company recognized revenue under the former Alexion collaboration of $16.2 million, which represents $9.5 million of reimbursable research and development costs, as well as a portion of the $15.0 million upfront payment and the $1.8 million non-substantive milestone payment previously received. During the year ended December 31, 2016, the Company recognized revenue under the Alexion agreement of $23.3 million, which represents $14.6 million of reimbursable research and development costs, $1.8 million in milestone payments that were recognized upon achievement, as well as a portion of the $15.0 million upfront payment and the $1.8 million non-substantive milestone payment previously received.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31" w:name="page132"/>
    <w:bookmarkEnd w:id="1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80" w:firstLine="648"/>
        <w:spacing w:after="0" w:line="235" w:lineRule="auto"/>
        <w:rPr>
          <w:sz w:val="20"/>
          <w:szCs w:val="20"/>
          <w:color w:val="auto"/>
        </w:rPr>
      </w:pPr>
      <w:r>
        <w:rPr>
          <w:rFonts w:ascii="Arial" w:cs="Arial" w:eastAsia="Arial" w:hAnsi="Arial"/>
          <w:sz w:val="18"/>
          <w:szCs w:val="18"/>
          <w:color w:val="auto"/>
        </w:rPr>
        <w:t>During the year ended December 31, 2017, the Company received $12.7 million related to reimbursable research and development costs under the former Alexion collaboration.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Term Loan</w:t>
      </w:r>
    </w:p>
    <w:p>
      <w:pPr>
        <w:spacing w:after="0" w:line="189"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In May 2013, the Company entered into a loan and security agreement with Silicon Valley Bank (the 2013 Term Loan), which provided for up to $5.0 million in funding, to be made available in three tranches. Loan advances accrue interest at a fixed rate of 2% above the prime rate. In November 2014, the Company amended the 2013 Term Loan to allow the Company to borrow an additional $5.0 million (the 2014 Term Loan). The Company accounted for the amendment as a modification to the existing 2013 Term Loan. The Company immediately drew the additional $5.0 million under the 2014 Term Loan and was required to make interest</w:t>
      </w:r>
      <w:r>
        <w:rPr>
          <w:rFonts w:ascii="MS PGothic" w:cs="MS PGothic" w:eastAsia="MS PGothic" w:hAnsi="MS PGothic"/>
          <w:sz w:val="16"/>
          <w:szCs w:val="16"/>
          <w:color w:val="auto"/>
        </w:rPr>
        <w:t>‑</w:t>
      </w:r>
      <w:r>
        <w:rPr>
          <w:rFonts w:ascii="Arial" w:cs="Arial" w:eastAsia="Arial" w:hAnsi="Arial"/>
          <w:sz w:val="16"/>
          <w:szCs w:val="16"/>
          <w:color w:val="auto"/>
        </w:rPr>
        <w:t>only payments until December 1, 2015, and consecutive monthly payments of principal, plus accrued interest, over the remaining term through November 2018. The Company is required to pay a fee of 4% of the total loan advances at the end of the term of each of the 2013 Term Loan and the 2014 Term Loan. The fee is being accreted to interest expense over the term of the 2013 Term Loan and the 2014 Term Loan. In the event of prepayment, the Company is obligated to pay 1% to 2% of the amount of the outstanding principal depending upon the timing of the prepayment. There are no financial covenants associated with the loan and security agreement.</w:t>
      </w:r>
    </w:p>
    <w:p>
      <w:pPr>
        <w:spacing w:after="0" w:line="166" w:lineRule="exact"/>
        <w:rPr>
          <w:sz w:val="20"/>
          <w:szCs w:val="20"/>
          <w:color w:val="auto"/>
        </w:rPr>
      </w:pPr>
    </w:p>
    <w:p>
      <w:pPr>
        <w:ind w:right="360" w:firstLine="648"/>
        <w:spacing w:after="0" w:line="226" w:lineRule="auto"/>
        <w:rPr>
          <w:sz w:val="20"/>
          <w:szCs w:val="20"/>
          <w:color w:val="auto"/>
        </w:rPr>
      </w:pPr>
      <w:r>
        <w:rPr>
          <w:rFonts w:ascii="Arial" w:cs="Arial" w:eastAsia="Arial" w:hAnsi="Arial"/>
          <w:sz w:val="17"/>
          <w:szCs w:val="17"/>
          <w:color w:val="auto"/>
        </w:rPr>
        <w:t>The 2013 Term Loan and 2014 Term Loan are collateralized by a blanket lien on all corporate assets, excluding intellectual property, and by a negative pledge of the Company’s intellectual property. The term loan contains covenants, including restrictions on dividends and default provisions. The 2013 Term Loan and 2014 Term Loan contain customary default provisions that include material adverse events, as defined therein. The Company has determined that the risk of subjective acceleration under the material adverse events clause is remote and therefore has classified the outstanding principal in current liabilities based on scheduled principal payments.</w:t>
      </w:r>
    </w:p>
    <w:p>
      <w:pPr>
        <w:spacing w:after="0" w:line="165" w:lineRule="exact"/>
        <w:rPr>
          <w:sz w:val="20"/>
          <w:szCs w:val="20"/>
          <w:color w:val="auto"/>
        </w:rPr>
      </w:pPr>
    </w:p>
    <w:p>
      <w:pPr>
        <w:ind w:right="60" w:firstLine="648"/>
        <w:spacing w:after="0" w:line="241" w:lineRule="auto"/>
        <w:rPr>
          <w:sz w:val="20"/>
          <w:szCs w:val="20"/>
          <w:color w:val="auto"/>
        </w:rPr>
      </w:pPr>
      <w:r>
        <w:rPr>
          <w:rFonts w:ascii="Arial" w:cs="Arial" w:eastAsia="Arial" w:hAnsi="Arial"/>
          <w:sz w:val="16"/>
          <w:szCs w:val="16"/>
          <w:color w:val="auto"/>
        </w:rPr>
        <w:t>The Company assessed all terms and features of the 2013 Term Loan and the 2014 Term Loan in order to identify any potential embedded features that would require bifurcation. As part of this analysis, the Company assessed the economic characteristics and risks of the term loan, including put and call features. The Company determined that all features of each of the 2013 Term Loan and the 2014 Term Loan are clearly and closely associated with a debt host and do not require bifurcation as a derivative liability, or the fair value of the feature is immaterial to the Company’s financial statements. The Company will continue to reassess the features on a quarterly basis to determine if they require separate accounting.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540" w:type="dxa"/>
            <w:vAlign w:val="bottom"/>
            <w:gridSpan w:val="4"/>
          </w:tcPr>
          <w:p>
            <w:pPr>
              <w:ind w:left="140"/>
              <w:spacing w:after="0"/>
              <w:rPr>
                <w:sz w:val="20"/>
                <w:szCs w:val="20"/>
                <w:color w:val="auto"/>
              </w:rPr>
            </w:pPr>
            <w:r>
              <w:rPr>
                <w:rFonts w:ascii="Arial" w:cs="Arial" w:eastAsia="Arial" w:hAnsi="Arial"/>
                <w:sz w:val="18"/>
                <w:szCs w:val="18"/>
                <w:color w:val="auto"/>
                <w:w w:val="93"/>
              </w:rPr>
              <w:t>Scheduled monthly principal payments on the term loan, as of December 31, 2017, are as follows (in thousands):</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0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2018</w:t>
            </w:r>
          </w:p>
        </w:tc>
        <w:tc>
          <w:tcPr>
            <w:tcW w:w="84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1,528</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line="170" w:lineRule="exact"/>
              <w:rPr>
                <w:sz w:val="20"/>
                <w:szCs w:val="20"/>
                <w:color w:val="auto"/>
              </w:rPr>
            </w:pPr>
            <w:r>
              <w:rPr>
                <w:rFonts w:ascii="Arial" w:cs="Arial" w:eastAsia="Arial" w:hAnsi="Arial"/>
                <w:sz w:val="18"/>
                <w:szCs w:val="18"/>
                <w:color w:val="auto"/>
              </w:rPr>
              <w:t>Total</w:t>
            </w:r>
          </w:p>
        </w:tc>
        <w:tc>
          <w:tcPr>
            <w:tcW w:w="76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8"/>
              </w:rPr>
              <w:t>$  1,528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Warrants</w:t>
      </w:r>
    </w:p>
    <w:p>
      <w:pPr>
        <w:spacing w:after="0" w:line="189" w:lineRule="exact"/>
        <w:rPr>
          <w:sz w:val="20"/>
          <w:szCs w:val="20"/>
          <w:color w:val="auto"/>
        </w:rPr>
      </w:pPr>
    </w:p>
    <w:p>
      <w:pPr>
        <w:ind w:right="120" w:firstLine="648"/>
        <w:spacing w:after="0" w:line="187" w:lineRule="exact"/>
        <w:rPr>
          <w:sz w:val="20"/>
          <w:szCs w:val="20"/>
          <w:color w:val="auto"/>
        </w:rPr>
      </w:pPr>
      <w:r>
        <w:rPr>
          <w:rFonts w:ascii="Arial" w:cs="Arial" w:eastAsia="Arial" w:hAnsi="Arial"/>
          <w:sz w:val="18"/>
          <w:szCs w:val="18"/>
          <w:color w:val="auto"/>
        </w:rPr>
        <w:t>In connection with the 2013 Term Loan, the Company issued a warrant to Silicon Valley Bank to purchase 150,000 shares of Series A convertible preferred stock at an exercise price of $1.00 per share (the Series A Warrant). In connection with the 2014 Term Loan, the Company issued an additional warrant to Silicon Valley Bank to purchase 83,333 shares of Series B convertible preferred stock at an exercise price of $1.20 per share (the Series B Warrant). Both warrants were exercisable immediately and have a ten</w:t>
      </w:r>
      <w:r>
        <w:rPr>
          <w:rFonts w:ascii="MS PGothic" w:cs="MS PGothic" w:eastAsia="MS PGothic" w:hAnsi="MS PGothic"/>
          <w:sz w:val="18"/>
          <w:szCs w:val="18"/>
          <w:color w:val="auto"/>
        </w:rPr>
        <w:t>‑</w:t>
      </w:r>
      <w:r>
        <w:rPr>
          <w:rFonts w:ascii="Arial" w:cs="Arial" w:eastAsia="Arial" w:hAnsi="Arial"/>
          <w:sz w:val="18"/>
          <w:szCs w:val="18"/>
          <w:color w:val="auto"/>
        </w:rPr>
        <w:t>year life.</w:t>
      </w:r>
    </w:p>
    <w:p>
      <w:pPr>
        <w:spacing w:after="0" w:line="162" w:lineRule="exact"/>
        <w:rPr>
          <w:sz w:val="20"/>
          <w:szCs w:val="20"/>
          <w:color w:val="auto"/>
        </w:rPr>
      </w:pPr>
    </w:p>
    <w:p>
      <w:pPr>
        <w:ind w:right="80" w:firstLine="648"/>
        <w:spacing w:after="0" w:line="187" w:lineRule="exact"/>
        <w:rPr>
          <w:sz w:val="20"/>
          <w:szCs w:val="20"/>
          <w:color w:val="auto"/>
        </w:rPr>
      </w:pPr>
      <w:r>
        <w:rPr>
          <w:rFonts w:ascii="Arial" w:cs="Arial" w:eastAsia="Arial" w:hAnsi="Arial"/>
          <w:sz w:val="17"/>
          <w:szCs w:val="17"/>
          <w:color w:val="auto"/>
        </w:rPr>
        <w:t>The Company initially valued the Series A Warrant and the Series B Warrant at issuance and at the balance sheet dates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 pricing model. The significant assumptions used in estimating the fair value of the warrants include the volatility of the stock underlying the warrant, risk</w:t>
      </w:r>
      <w:r>
        <w:rPr>
          <w:rFonts w:ascii="MS PGothic" w:cs="MS PGothic" w:eastAsia="MS PGothic" w:hAnsi="MS PGothic"/>
          <w:sz w:val="17"/>
          <w:szCs w:val="17"/>
          <w:color w:val="auto"/>
        </w:rPr>
        <w:t>‑</w:t>
      </w:r>
      <w:r>
        <w:rPr>
          <w:rFonts w:ascii="Arial" w:cs="Arial" w:eastAsia="Arial" w:hAnsi="Arial"/>
          <w:sz w:val="17"/>
          <w:szCs w:val="17"/>
          <w:color w:val="auto"/>
        </w:rPr>
        <w:t>free interest rate, estimated fair value of the preferred stock underlying the warrant, and the estimated term of the warrant. The fair value of the preferred stock underlying the warrants was estimated using the implied value from the common stock valuations on those dates.</w:t>
      </w:r>
    </w:p>
    <w:p>
      <w:pPr>
        <w:spacing w:after="0" w:line="161" w:lineRule="exact"/>
        <w:rPr>
          <w:sz w:val="20"/>
          <w:szCs w:val="20"/>
          <w:color w:val="auto"/>
        </w:rPr>
      </w:pPr>
    </w:p>
    <w:p>
      <w:pPr>
        <w:ind w:right="20" w:firstLine="648"/>
        <w:spacing w:after="0" w:line="189" w:lineRule="exact"/>
        <w:rPr>
          <w:sz w:val="20"/>
          <w:szCs w:val="20"/>
          <w:color w:val="auto"/>
        </w:rPr>
      </w:pPr>
      <w:r>
        <w:rPr>
          <w:rFonts w:ascii="Arial" w:cs="Arial" w:eastAsia="Arial" w:hAnsi="Arial"/>
          <w:sz w:val="16"/>
          <w:szCs w:val="16"/>
          <w:color w:val="auto"/>
        </w:rPr>
        <w:t>In accordance with ASC 480, the characteristics of these warrants and the rights and privileges of the underlying preferred stock resulted in the classification of these warrants as a liability, and they were re</w:t>
      </w:r>
      <w:r>
        <w:rPr>
          <w:rFonts w:ascii="MS PGothic" w:cs="MS PGothic" w:eastAsia="MS PGothic" w:hAnsi="MS PGothic"/>
          <w:sz w:val="16"/>
          <w:szCs w:val="16"/>
          <w:color w:val="auto"/>
        </w:rPr>
        <w:t>‑</w:t>
      </w:r>
      <w:r>
        <w:rPr>
          <w:rFonts w:ascii="Arial" w:cs="Arial" w:eastAsia="Arial" w:hAnsi="Arial"/>
          <w:sz w:val="16"/>
          <w:szCs w:val="16"/>
          <w:color w:val="auto"/>
        </w:rPr>
        <w:t>measured to the</w:t>
      </w:r>
      <w:r>
        <w:rPr>
          <w:rFonts w:ascii="MS PGothic" w:cs="MS PGothic" w:eastAsia="MS PGothic" w:hAnsi="MS PGothic"/>
          <w:sz w:val="16"/>
          <w:szCs w:val="16"/>
          <w:color w:val="auto"/>
        </w:rPr>
        <w:t>‑</w:t>
      </w:r>
      <w:r>
        <w:rPr>
          <w:rFonts w:ascii="Arial" w:cs="Arial" w:eastAsia="Arial" w:hAnsi="Arial"/>
          <w:sz w:val="16"/>
          <w:szCs w:val="16"/>
          <w:color w:val="auto"/>
        </w:rPr>
        <w:t>then current fair value at each balance sheet date through the completion of the IPO. Re</w:t>
      </w:r>
      <w:r>
        <w:rPr>
          <w:rFonts w:ascii="MS PGothic" w:cs="MS PGothic" w:eastAsia="MS PGothic" w:hAnsi="MS PGothic"/>
          <w:sz w:val="16"/>
          <w:szCs w:val="16"/>
          <w:color w:val="auto"/>
        </w:rPr>
        <w:t>‑</w:t>
      </w:r>
      <w:r>
        <w:rPr>
          <w:rFonts w:ascii="Arial" w:cs="Arial" w:eastAsia="Arial" w:hAnsi="Arial"/>
          <w:sz w:val="16"/>
          <w:szCs w:val="16"/>
          <w:color w:val="auto"/>
        </w:rPr>
        <w:t>measurement gains or losses were recorded in other income (expense) in the statements of operations and comprehensive loss. Changes in the fair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32" w:name="page133"/>
    <w:bookmarkEnd w:id="1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value of the warrants represented a recurring measurement that was classified within Level 3 of the fair value hierarchy wherein fair value is estimated using significant unobservable inputs. The Company recorded $0.4 million of expense associated with the change in fair value of the warrants in the year ended December 31, 2015 equal to the change in fair value of the warrants from December 31, 2014 to May 5, 2015.</w:t>
      </w:r>
    </w:p>
    <w:p>
      <w:pPr>
        <w:spacing w:after="0" w:line="163" w:lineRule="exact"/>
        <w:rPr>
          <w:sz w:val="20"/>
          <w:szCs w:val="20"/>
          <w:color w:val="auto"/>
        </w:rPr>
      </w:pPr>
    </w:p>
    <w:p>
      <w:pPr>
        <w:ind w:right="80" w:firstLine="648"/>
        <w:spacing w:after="0" w:line="232" w:lineRule="auto"/>
        <w:rPr>
          <w:sz w:val="20"/>
          <w:szCs w:val="20"/>
          <w:color w:val="auto"/>
        </w:rPr>
      </w:pPr>
      <w:r>
        <w:rPr>
          <w:rFonts w:ascii="Arial" w:cs="Arial" w:eastAsia="Arial" w:hAnsi="Arial"/>
          <w:sz w:val="17"/>
          <w:szCs w:val="17"/>
          <w:color w:val="auto"/>
        </w:rPr>
        <w:t>Upon completion of the IPO, the Series A Warrant became exercisable for 27,272 shares of the common stock at an exercise price of $5.50 per share, and the Series B Warrant became exercisable for 15,151 shares of the common stock at an exercise price of $6.60 per share. On the date of the conversion of the warrants, the Company revalued the outstanding warrants using the Black-Scholes option pricing model with the following assumptions: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14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Series A Warrant</w:t>
            </w:r>
          </w:p>
        </w:tc>
        <w:tc>
          <w:tcPr>
            <w:tcW w:w="13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Series B Warrant</w:t>
            </w:r>
          </w:p>
        </w:tc>
      </w:tr>
      <w:tr>
        <w:trPr>
          <w:trHeight w:val="102"/>
        </w:trPr>
        <w:tc>
          <w:tcPr>
            <w:tcW w:w="63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gridSpan w:val="2"/>
          </w:tcPr>
          <w:p>
            <w:pPr>
              <w:jc w:val="center"/>
              <w:ind w:right="500"/>
              <w:spacing w:after="0" w:line="102" w:lineRule="exact"/>
              <w:rPr>
                <w:sz w:val="20"/>
                <w:szCs w:val="20"/>
                <w:color w:val="auto"/>
              </w:rPr>
            </w:pPr>
            <w:r>
              <w:rPr>
                <w:rFonts w:ascii="Arial" w:cs="Arial" w:eastAsia="Arial" w:hAnsi="Arial"/>
                <w:sz w:val="11"/>
                <w:szCs w:val="11"/>
                <w:b w:val="1"/>
                <w:bCs w:val="1"/>
                <w:color w:val="auto"/>
              </w:rPr>
              <w:t>May 5,</w:t>
            </w:r>
          </w:p>
        </w:tc>
        <w:tc>
          <w:tcPr>
            <w:tcW w:w="24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jc w:val="center"/>
              <w:ind w:right="137"/>
              <w:spacing w:after="0" w:line="102" w:lineRule="exact"/>
              <w:rPr>
                <w:sz w:val="20"/>
                <w:szCs w:val="20"/>
                <w:color w:val="auto"/>
              </w:rPr>
            </w:pPr>
            <w:r>
              <w:rPr>
                <w:rFonts w:ascii="Arial" w:cs="Arial" w:eastAsia="Arial" w:hAnsi="Arial"/>
                <w:sz w:val="11"/>
                <w:szCs w:val="11"/>
                <w:b w:val="1"/>
                <w:bCs w:val="1"/>
                <w:color w:val="auto"/>
              </w:rPr>
              <w:t>May 5,</w:t>
            </w:r>
          </w:p>
        </w:tc>
        <w:tc>
          <w:tcPr>
            <w:tcW w:w="160" w:type="dxa"/>
            <w:vAlign w:val="bottom"/>
          </w:tcPr>
          <w:p>
            <w:pPr>
              <w:spacing w:after="0"/>
              <w:rPr>
                <w:sz w:val="8"/>
                <w:szCs w:val="8"/>
                <w:color w:val="auto"/>
              </w:rPr>
            </w:pPr>
          </w:p>
        </w:tc>
      </w:tr>
      <w:tr>
        <w:trPr>
          <w:trHeight w:val="162"/>
        </w:trPr>
        <w:tc>
          <w:tcPr>
            <w:tcW w:w="63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6"/>
              </w:rPr>
              <w:t>2015</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Borders>
              <w:bottom w:val="single" w:sz="8" w:color="CCEEFF"/>
            </w:tcBorders>
          </w:tcPr>
          <w:p>
            <w:pPr>
              <w:spacing w:after="0"/>
              <w:rPr>
                <w:sz w:val="14"/>
                <w:szCs w:val="14"/>
                <w:color w:val="auto"/>
              </w:rPr>
            </w:pPr>
          </w:p>
        </w:tc>
      </w:tr>
      <w:tr>
        <w:trPr>
          <w:trHeight w:val="169"/>
        </w:trPr>
        <w:tc>
          <w:tcPr>
            <w:tcW w:w="63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Fair value of underlying instrument</w:t>
            </w:r>
          </w:p>
        </w:tc>
        <w:tc>
          <w:tcPr>
            <w:tcW w:w="220" w:type="dxa"/>
            <w:vAlign w:val="bottom"/>
            <w:shd w:val="clear" w:color="auto" w:fill="CCEEFF"/>
          </w:tcPr>
          <w:p>
            <w:pPr>
              <w:jc w:val="right"/>
              <w:ind w:right="39"/>
              <w:spacing w:after="0" w:line="170"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20.82</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59"/>
              <w:spacing w:after="0" w:line="170"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20.82</w:t>
            </w:r>
          </w:p>
        </w:tc>
        <w:tc>
          <w:tcPr>
            <w:tcW w:w="160" w:type="dxa"/>
            <w:vAlign w:val="bottom"/>
            <w:shd w:val="clear" w:color="auto" w:fill="CCEEFF"/>
          </w:tcPr>
          <w:p>
            <w:pPr>
              <w:spacing w:after="0"/>
              <w:rPr>
                <w:sz w:val="14"/>
                <w:szCs w:val="14"/>
                <w:color w:val="auto"/>
              </w:rPr>
            </w:pPr>
          </w:p>
        </w:tc>
      </w:tr>
      <w:tr>
        <w:trPr>
          <w:trHeight w:val="176"/>
        </w:trPr>
        <w:tc>
          <w:tcPr>
            <w:tcW w:w="6320" w:type="dxa"/>
            <w:vAlign w:val="bottom"/>
          </w:tcPr>
          <w:p>
            <w:pPr>
              <w:spacing w:after="0" w:line="176" w:lineRule="exact"/>
              <w:rPr>
                <w:sz w:val="20"/>
                <w:szCs w:val="20"/>
                <w:color w:val="auto"/>
              </w:rPr>
            </w:pPr>
            <w:r>
              <w:rPr>
                <w:rFonts w:ascii="Arial" w:cs="Arial" w:eastAsia="Arial" w:hAnsi="Arial"/>
                <w:sz w:val="18"/>
                <w:szCs w:val="18"/>
                <w:color w:val="auto"/>
              </w:rPr>
              <w:t>Expected volatility</w:t>
            </w:r>
          </w:p>
        </w:tc>
        <w:tc>
          <w:tcPr>
            <w:tcW w:w="220" w:type="dxa"/>
            <w:vAlign w:val="bottom"/>
          </w:tcPr>
          <w:p>
            <w:pPr>
              <w:spacing w:after="0"/>
              <w:rPr>
                <w:sz w:val="15"/>
                <w:szCs w:val="15"/>
                <w:color w:val="auto"/>
              </w:rPr>
            </w:pPr>
          </w:p>
        </w:tc>
        <w:tc>
          <w:tcPr>
            <w:tcW w:w="120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91.58 %</w:t>
            </w:r>
          </w:p>
        </w:tc>
        <w:tc>
          <w:tcPr>
            <w:tcW w:w="240" w:type="dxa"/>
            <w:vAlign w:val="bottom"/>
          </w:tcPr>
          <w:p>
            <w:pPr>
              <w:spacing w:after="0"/>
              <w:rPr>
                <w:sz w:val="15"/>
                <w:szCs w:val="15"/>
                <w:color w:val="auto"/>
              </w:rPr>
            </w:pPr>
          </w:p>
        </w:tc>
        <w:tc>
          <w:tcPr>
            <w:tcW w:w="10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87.75 %</w:t>
            </w:r>
          </w:p>
        </w:tc>
      </w:tr>
      <w:tr>
        <w:trPr>
          <w:trHeight w:val="176"/>
        </w:trPr>
        <w:tc>
          <w:tcPr>
            <w:tcW w:w="6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Expected term (in years)</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8.1</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15"/>
                <w:szCs w:val="15"/>
                <w:color w:val="auto"/>
              </w:rPr>
            </w:pPr>
          </w:p>
        </w:tc>
      </w:tr>
      <w:tr>
        <w:trPr>
          <w:trHeight w:val="176"/>
        </w:trPr>
        <w:tc>
          <w:tcPr>
            <w:tcW w:w="6320" w:type="dxa"/>
            <w:vAlign w:val="bottom"/>
          </w:tcPr>
          <w:p>
            <w:pPr>
              <w:spacing w:after="0" w:line="176" w:lineRule="exact"/>
              <w:rPr>
                <w:sz w:val="20"/>
                <w:szCs w:val="20"/>
                <w:color w:val="auto"/>
              </w:rPr>
            </w:pPr>
            <w:r>
              <w:rPr>
                <w:rFonts w:ascii="Arial" w:cs="Arial" w:eastAsia="Arial" w:hAnsi="Arial"/>
                <w:sz w:val="18"/>
                <w:szCs w:val="18"/>
                <w:color w:val="auto"/>
              </w:rPr>
              <w:t>Risk-free interest rate</w:t>
            </w:r>
          </w:p>
        </w:tc>
        <w:tc>
          <w:tcPr>
            <w:tcW w:w="220" w:type="dxa"/>
            <w:vAlign w:val="bottom"/>
          </w:tcPr>
          <w:p>
            <w:pPr>
              <w:spacing w:after="0"/>
              <w:rPr>
                <w:sz w:val="15"/>
                <w:szCs w:val="15"/>
                <w:color w:val="auto"/>
              </w:rPr>
            </w:pPr>
          </w:p>
        </w:tc>
        <w:tc>
          <w:tcPr>
            <w:tcW w:w="120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2.06 %</w:t>
            </w:r>
          </w:p>
        </w:tc>
        <w:tc>
          <w:tcPr>
            <w:tcW w:w="240" w:type="dxa"/>
            <w:vAlign w:val="bottom"/>
          </w:tcPr>
          <w:p>
            <w:pPr>
              <w:spacing w:after="0"/>
              <w:rPr>
                <w:sz w:val="15"/>
                <w:szCs w:val="15"/>
                <w:color w:val="auto"/>
              </w:rPr>
            </w:pPr>
          </w:p>
        </w:tc>
        <w:tc>
          <w:tcPr>
            <w:tcW w:w="10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2.19 %</w:t>
            </w:r>
          </w:p>
        </w:tc>
      </w:tr>
      <w:tr>
        <w:trPr>
          <w:trHeight w:val="176"/>
        </w:trPr>
        <w:tc>
          <w:tcPr>
            <w:tcW w:w="6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Expected dividend yield</w:t>
            </w:r>
          </w:p>
        </w:tc>
        <w:tc>
          <w:tcPr>
            <w:tcW w:w="2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 %</w:t>
            </w:r>
          </w:p>
        </w:tc>
      </w:tr>
    </w:tbl>
    <w:p>
      <w:pPr>
        <w:spacing w:after="0" w:line="148" w:lineRule="exact"/>
        <w:rPr>
          <w:sz w:val="20"/>
          <w:szCs w:val="20"/>
          <w:color w:val="auto"/>
        </w:rPr>
      </w:pPr>
    </w:p>
    <w:p>
      <w:pPr>
        <w:ind w:right="660" w:firstLine="648"/>
        <w:spacing w:after="0" w:line="235" w:lineRule="auto"/>
        <w:rPr>
          <w:sz w:val="20"/>
          <w:szCs w:val="20"/>
          <w:color w:val="auto"/>
        </w:rPr>
      </w:pPr>
      <w:r>
        <w:rPr>
          <w:rFonts w:ascii="Arial" w:cs="Arial" w:eastAsia="Arial" w:hAnsi="Arial"/>
          <w:sz w:val="18"/>
          <w:szCs w:val="18"/>
          <w:color w:val="auto"/>
        </w:rPr>
        <w:t>The fair value of the warrants at May 5, 2015 was $0.8 million and the Company reclassified the balance to additional paid-in capital.</w:t>
      </w:r>
    </w:p>
    <w:p>
      <w:pPr>
        <w:spacing w:after="0" w:line="162" w:lineRule="exact"/>
        <w:rPr>
          <w:sz w:val="20"/>
          <w:szCs w:val="20"/>
          <w:color w:val="auto"/>
        </w:rPr>
      </w:pPr>
    </w:p>
    <w:p>
      <w:pPr>
        <w:ind w:right="80" w:firstLine="648"/>
        <w:spacing w:after="0" w:line="225" w:lineRule="auto"/>
        <w:rPr>
          <w:sz w:val="20"/>
          <w:szCs w:val="20"/>
          <w:color w:val="auto"/>
        </w:rPr>
      </w:pPr>
      <w:r>
        <w:rPr>
          <w:rFonts w:ascii="Arial" w:cs="Arial" w:eastAsia="Arial" w:hAnsi="Arial"/>
          <w:sz w:val="17"/>
          <w:szCs w:val="17"/>
          <w:color w:val="auto"/>
        </w:rPr>
        <w:t>On May 13, 2015, Silicon Valley Bank exercised the Series A Warrant and the Series B Warrant pursuant to the cashless exercise feature of the warrants. In connection with the exercise of the Series A Warrant under the 2013 Term Loan, the Company issued 21,281 shares of common stock to Silicon Valley Bank. Warrants to purchase 5,991 shares of common stock were cancelled as payment for the aggregate exercise price of the Series A Warrant to Silicon Valley Bank. In connection with the exercise of the Series B Warrant under the 2014 Term Loan, the Company issued 11,157 shares of common stock. Warrants to purchase 3,994 shares of common stock were cancelled as payment for the aggregate exercise price of the Series B Warrant.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recorded a debt discount upon issuance of the warrants, which is being accreted as interest expense</w:t>
      </w:r>
    </w:p>
    <w:p>
      <w:pPr>
        <w:spacing w:after="0" w:line="46"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over the remaining term of the loan. The Company recorded interest expense related to the Series A Warrant and the Series B Warrant of less than $0.1 million in each of the years ended December 31, 2017, 2016 and 2015.</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Awards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Stock Option and Incentive Plan</w:t>
      </w:r>
    </w:p>
    <w:p>
      <w:pPr>
        <w:spacing w:after="0" w:line="185"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In 2015, the Company’s board of directors and stockholders approved the 2015 Stock Option and Incentive Plan (the 2015 Plan), which replaced the Company’s 2011 Stock Option and Grant Plan, as amended (the 2011 Plan). The 2015 Plan includes incentive stock options, nonstatutory stock options, stock appreciation rights, restricted stock, restricted stock units, unrestricted stock, performance share awards and cash</w:t>
      </w:r>
      <w:r>
        <w:rPr>
          <w:rFonts w:ascii="MS PGothic" w:cs="MS PGothic" w:eastAsia="MS PGothic" w:hAnsi="MS PGothic"/>
          <w:sz w:val="16"/>
          <w:szCs w:val="16"/>
          <w:color w:val="auto"/>
        </w:rPr>
        <w:t>‑</w:t>
      </w:r>
      <w:r>
        <w:rPr>
          <w:rFonts w:ascii="Arial" w:cs="Arial" w:eastAsia="Arial" w:hAnsi="Arial"/>
          <w:sz w:val="16"/>
          <w:szCs w:val="16"/>
          <w:color w:val="auto"/>
        </w:rPr>
        <w:t>based awards. The Company initially reserved a total of 1,460,084 shares of common stock for the issuance of awards under the 2015 Plan. The 2015 Plan provides that the number of shares reserved and available for issuance under the 2015 Plan will be cumulatively increased on January 1 of each calendar year by 4% of the number of shares of common stock issued and outstanding on the immediately preceding December 31 or such lesser amount as specified by the compensation committee of the board of directors. For the calendar year beginning January 1, 2017 and 2018, the number of shares reserved for issuance under the 2015 Plan was increased by 1,325,019 and 1,743,101 shares, respectively. In addition, the total number of shares reserved for issuance is subject to adjustment in the event of a stock split, stock dividend or other change in our capitalization. At December 31, 2017, there were 1,769,028 shares available for future grant under the 2015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33" w:name="page134"/>
    <w:bookmarkEnd w:id="1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w:t>
      </w:r>
    </w:p>
    <w:p>
      <w:pPr>
        <w:spacing w:after="0" w:line="185" w:lineRule="exact"/>
        <w:rPr>
          <w:sz w:val="20"/>
          <w:szCs w:val="20"/>
          <w:color w:val="auto"/>
        </w:rPr>
      </w:pPr>
    </w:p>
    <w:p>
      <w:pPr>
        <w:ind w:right="100" w:firstLine="648"/>
        <w:spacing w:after="0" w:line="203" w:lineRule="exact"/>
        <w:rPr>
          <w:sz w:val="20"/>
          <w:szCs w:val="20"/>
          <w:color w:val="auto"/>
        </w:rPr>
      </w:pPr>
      <w:r>
        <w:rPr>
          <w:rFonts w:ascii="Arial" w:cs="Arial" w:eastAsia="Arial" w:hAnsi="Arial"/>
          <w:sz w:val="18"/>
          <w:szCs w:val="18"/>
          <w:color w:val="auto"/>
        </w:rPr>
        <w:t>Options and restricted stock awards granted by the Company generally vest ratably over four years, with a one</w:t>
      </w:r>
      <w:r>
        <w:rPr>
          <w:rFonts w:ascii="MS PGothic" w:cs="MS PGothic" w:eastAsia="MS PGothic" w:hAnsi="MS PGothic"/>
          <w:sz w:val="18"/>
          <w:szCs w:val="18"/>
          <w:color w:val="auto"/>
        </w:rPr>
        <w:t>‑</w:t>
      </w:r>
      <w:r>
        <w:rPr>
          <w:rFonts w:ascii="Arial" w:cs="Arial" w:eastAsia="Arial" w:hAnsi="Arial"/>
          <w:sz w:val="18"/>
          <w:szCs w:val="18"/>
          <w:color w:val="auto"/>
        </w:rPr>
        <w:t>year cliff for new employee awards, and are exercisable from the date of grant for a period of ten years.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unvested restricted stock and related information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35"/>
        </w:trPr>
        <w:tc>
          <w:tcPr>
            <w:tcW w:w="6800" w:type="dxa"/>
            <w:vAlign w:val="bottom"/>
          </w:tcPr>
          <w:p>
            <w:pPr>
              <w:spacing w:after="0"/>
              <w:rPr>
                <w:sz w:val="11"/>
                <w:szCs w:val="11"/>
                <w:color w:val="auto"/>
              </w:rPr>
            </w:pPr>
          </w:p>
        </w:tc>
        <w:tc>
          <w:tcPr>
            <w:tcW w:w="8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62"/>
        </w:trPr>
        <w:tc>
          <w:tcPr>
            <w:tcW w:w="68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69"/>
        </w:trPr>
        <w:tc>
          <w:tcPr>
            <w:tcW w:w="68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Unvested at December 31, 2016</w:t>
            </w:r>
          </w:p>
        </w:tc>
        <w:tc>
          <w:tcPr>
            <w:tcW w:w="8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2,125</w:t>
            </w: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1.25</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800" w:type="dxa"/>
            <w:vAlign w:val="bottom"/>
          </w:tcPr>
          <w:p>
            <w:pPr>
              <w:ind w:left="220"/>
              <w:spacing w:after="0" w:line="176" w:lineRule="exact"/>
              <w:rPr>
                <w:sz w:val="20"/>
                <w:szCs w:val="20"/>
                <w:color w:val="auto"/>
              </w:rPr>
            </w:pPr>
            <w:r>
              <w:rPr>
                <w:rFonts w:ascii="Arial" w:cs="Arial" w:eastAsia="Arial" w:hAnsi="Arial"/>
                <w:sz w:val="18"/>
                <w:szCs w:val="18"/>
                <w:color w:val="auto"/>
              </w:rPr>
              <w:t>Vested</w:t>
            </w: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(2,125)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1.25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Repurchased</w:t>
            </w: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800" w:type="dxa"/>
            <w:vAlign w:val="bottom"/>
          </w:tcPr>
          <w:p>
            <w:pPr>
              <w:spacing w:after="0" w:line="170" w:lineRule="exact"/>
              <w:rPr>
                <w:sz w:val="20"/>
                <w:szCs w:val="20"/>
                <w:color w:val="auto"/>
              </w:rPr>
            </w:pPr>
            <w:r>
              <w:rPr>
                <w:rFonts w:ascii="Arial" w:cs="Arial" w:eastAsia="Arial" w:hAnsi="Arial"/>
                <w:sz w:val="18"/>
                <w:szCs w:val="18"/>
                <w:color w:val="auto"/>
              </w:rPr>
              <w:t>Unvested at December 31, 2017</w:t>
            </w:r>
          </w:p>
        </w:tc>
        <w:tc>
          <w:tcPr>
            <w:tcW w:w="8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80" w:firstLine="648"/>
        <w:spacing w:after="0" w:line="235" w:lineRule="auto"/>
        <w:rPr>
          <w:sz w:val="20"/>
          <w:szCs w:val="20"/>
          <w:color w:val="auto"/>
        </w:rPr>
      </w:pPr>
      <w:r>
        <w:rPr>
          <w:rFonts w:ascii="Arial" w:cs="Arial" w:eastAsia="Arial" w:hAnsi="Arial"/>
          <w:sz w:val="18"/>
          <w:szCs w:val="18"/>
          <w:color w:val="auto"/>
        </w:rPr>
        <w:t>The total fair value of restricted stock that vested during the years ended December 31, 2017, 2016 and 2015 was $0.1 million, $2.7 million and $4.9 million, respectively.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option activity and related information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97"/>
              </w:rPr>
              <w:t>Remaining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Contractual</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88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820" w:type="dxa"/>
            <w:vAlign w:val="bottom"/>
            <w:gridSpan w:val="3"/>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Exercise</w:t>
            </w: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5"/>
              </w:rPr>
              <w:t>Value(1)</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4"/>
                <w:szCs w:val="14"/>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69"/>
        </w:trPr>
        <w:tc>
          <w:tcPr>
            <w:tcW w:w="532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Outstanding at December 31, 2016</w:t>
            </w:r>
          </w:p>
        </w:tc>
        <w:tc>
          <w:tcPr>
            <w:tcW w:w="8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2,622,741</w:t>
            </w: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11.67</w:t>
            </w:r>
          </w:p>
        </w:tc>
        <w:tc>
          <w:tcPr>
            <w:tcW w:w="1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8.30</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44,025</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32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w w:val="99"/>
              </w:rPr>
              <w:t>1,212,972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line="189" w:lineRule="exact"/>
              <w:rPr>
                <w:sz w:val="20"/>
                <w:szCs w:val="20"/>
                <w:color w:val="auto"/>
              </w:rPr>
            </w:pPr>
            <w:r>
              <w:rPr>
                <w:rFonts w:ascii="Arial" w:cs="Arial" w:eastAsia="Arial" w:hAnsi="Arial"/>
                <w:sz w:val="18"/>
                <w:szCs w:val="18"/>
                <w:color w:val="auto"/>
              </w:rPr>
              <w:t>42.62</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32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Exercised</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(426,085)</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11.47</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20" w:type="dxa"/>
            <w:vAlign w:val="bottom"/>
            <w:tcBorders>
              <w:bottom w:val="single" w:sz="8" w:color="CCEEFF"/>
            </w:tcBorders>
            <w:gridSpan w:val="2"/>
          </w:tcPr>
          <w:p>
            <w:pPr>
              <w:ind w:left="220"/>
              <w:spacing w:after="0" w:line="176" w:lineRule="exact"/>
              <w:rPr>
                <w:sz w:val="20"/>
                <w:szCs w:val="20"/>
                <w:color w:val="auto"/>
              </w:rPr>
            </w:pPr>
            <w:r>
              <w:rPr>
                <w:rFonts w:ascii="Arial" w:cs="Arial" w:eastAsia="Arial" w:hAnsi="Arial"/>
                <w:sz w:val="18"/>
                <w:szCs w:val="18"/>
                <w:color w:val="auto"/>
              </w:rPr>
              <w:t>Canceled</w:t>
            </w: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(105,462)</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jc w:val="right"/>
              <w:spacing w:after="0" w:line="176" w:lineRule="exact"/>
              <w:rPr>
                <w:sz w:val="20"/>
                <w:szCs w:val="20"/>
                <w:color w:val="auto"/>
              </w:rPr>
            </w:pPr>
            <w:r>
              <w:rPr>
                <w:rFonts w:ascii="Arial" w:cs="Arial" w:eastAsia="Arial" w:hAnsi="Arial"/>
                <w:sz w:val="18"/>
                <w:szCs w:val="18"/>
                <w:color w:val="auto"/>
              </w:rPr>
              <w:t>30.50</w:t>
            </w:r>
          </w:p>
        </w:tc>
        <w:tc>
          <w:tcPr>
            <w:tcW w:w="16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20" w:type="dxa"/>
            <w:vAlign w:val="bottom"/>
            <w:tcBorders>
              <w:bottom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Outstanding at December 31, 2017</w:t>
            </w:r>
          </w:p>
        </w:tc>
        <w:tc>
          <w:tcPr>
            <w:tcW w:w="8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3,304,166</w:t>
            </w:r>
          </w:p>
        </w:tc>
        <w:tc>
          <w:tcPr>
            <w:tcW w:w="280" w:type="dxa"/>
            <w:vAlign w:val="bottom"/>
            <w:tcBorders>
              <w:bottom w:val="single" w:sz="8" w:color="CCEEFF"/>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22.45</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8.04</w:t>
            </w:r>
          </w:p>
        </w:tc>
        <w:tc>
          <w:tcPr>
            <w:tcW w:w="260" w:type="dxa"/>
            <w:vAlign w:val="bottom"/>
            <w:tcBorders>
              <w:bottom w:val="single" w:sz="8" w:color="CCEEFF"/>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174,985</w:t>
            </w: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320" w:type="dxa"/>
            <w:vAlign w:val="bottom"/>
            <w:gridSpan w:val="2"/>
          </w:tcPr>
          <w:p>
            <w:pPr>
              <w:spacing w:after="0" w:line="163" w:lineRule="exact"/>
              <w:rPr>
                <w:sz w:val="20"/>
                <w:szCs w:val="20"/>
                <w:color w:val="auto"/>
              </w:rPr>
            </w:pPr>
            <w:r>
              <w:rPr>
                <w:rFonts w:ascii="Arial" w:cs="Arial" w:eastAsia="Arial" w:hAnsi="Arial"/>
                <w:sz w:val="18"/>
                <w:szCs w:val="18"/>
                <w:color w:val="auto"/>
              </w:rPr>
              <w:t>Exercisable at December 31, 2017</w:t>
            </w:r>
          </w:p>
        </w:tc>
        <w:tc>
          <w:tcPr>
            <w:tcW w:w="8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99"/>
              </w:rPr>
              <w:t>1,432,958</w:t>
            </w:r>
          </w:p>
        </w:tc>
        <w:tc>
          <w:tcPr>
            <w:tcW w:w="280" w:type="dxa"/>
            <w:vAlign w:val="bottom"/>
            <w:gridSpan w:val="2"/>
          </w:tcPr>
          <w:p>
            <w:pPr>
              <w:jc w:val="right"/>
              <w:spacing w:after="0" w:line="163"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163" w:lineRule="exact"/>
              <w:rPr>
                <w:sz w:val="20"/>
                <w:szCs w:val="20"/>
                <w:color w:val="auto"/>
              </w:rPr>
            </w:pPr>
            <w:r>
              <w:rPr>
                <w:rFonts w:ascii="Arial" w:cs="Arial" w:eastAsia="Arial" w:hAnsi="Arial"/>
                <w:sz w:val="18"/>
                <w:szCs w:val="18"/>
                <w:color w:val="auto"/>
              </w:rPr>
              <w:t>11.63</w:t>
            </w:r>
          </w:p>
        </w:tc>
        <w:tc>
          <w:tcPr>
            <w:tcW w:w="160" w:type="dxa"/>
            <w:vAlign w:val="bottom"/>
          </w:tcPr>
          <w:p>
            <w:pPr>
              <w:spacing w:after="0"/>
              <w:rPr>
                <w:sz w:val="14"/>
                <w:szCs w:val="14"/>
                <w:color w:val="auto"/>
              </w:rPr>
            </w:pPr>
          </w:p>
        </w:tc>
        <w:tc>
          <w:tcPr>
            <w:tcW w:w="760" w:type="dxa"/>
            <w:vAlign w:val="bottom"/>
          </w:tcPr>
          <w:p>
            <w:pPr>
              <w:jc w:val="right"/>
              <w:spacing w:after="0" w:line="163" w:lineRule="exact"/>
              <w:rPr>
                <w:sz w:val="20"/>
                <w:szCs w:val="20"/>
                <w:color w:val="auto"/>
              </w:rPr>
            </w:pPr>
            <w:r>
              <w:rPr>
                <w:rFonts w:ascii="Arial" w:cs="Arial" w:eastAsia="Arial" w:hAnsi="Arial"/>
                <w:sz w:val="18"/>
                <w:szCs w:val="18"/>
                <w:color w:val="auto"/>
              </w:rPr>
              <w:t>7.34</w:t>
            </w:r>
          </w:p>
        </w:tc>
        <w:tc>
          <w:tcPr>
            <w:tcW w:w="260" w:type="dxa"/>
            <w:vAlign w:val="bottom"/>
            <w:gridSpan w:val="2"/>
          </w:tcPr>
          <w:p>
            <w:pPr>
              <w:jc w:val="right"/>
              <w:spacing w:after="0" w:line="16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63" w:lineRule="exact"/>
              <w:rPr>
                <w:sz w:val="20"/>
                <w:szCs w:val="20"/>
                <w:color w:val="auto"/>
              </w:rPr>
            </w:pPr>
            <w:r>
              <w:rPr>
                <w:rFonts w:ascii="Arial" w:cs="Arial" w:eastAsia="Arial" w:hAnsi="Arial"/>
                <w:sz w:val="18"/>
                <w:szCs w:val="18"/>
                <w:color w:val="auto"/>
              </w:rPr>
              <w:t>91,389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3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60" w:right="380" w:hanging="657"/>
        <w:spacing w:after="0" w:line="235"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Intrinsic value represents the amount by which the fair market value as of December 31, 2017 of the underlying common stock exceeds the exercise price of the option.</w:t>
      </w:r>
    </w:p>
    <w:p>
      <w:pPr>
        <w:spacing w:after="0" w:line="162" w:lineRule="exact"/>
        <w:rPr>
          <w:sz w:val="20"/>
          <w:szCs w:val="20"/>
          <w:color w:val="auto"/>
        </w:rPr>
      </w:pPr>
    </w:p>
    <w:p>
      <w:pPr>
        <w:ind w:right="40" w:firstLine="648"/>
        <w:spacing w:after="0" w:line="203" w:lineRule="exact"/>
        <w:rPr>
          <w:sz w:val="20"/>
          <w:szCs w:val="20"/>
          <w:color w:val="auto"/>
        </w:rPr>
      </w:pPr>
      <w:r>
        <w:rPr>
          <w:rFonts w:ascii="Arial" w:cs="Arial" w:eastAsia="Arial" w:hAnsi="Arial"/>
          <w:sz w:val="18"/>
          <w:szCs w:val="18"/>
          <w:color w:val="auto"/>
        </w:rPr>
        <w:t>The fair value of stock options is estimated on the grant date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w:t>
      </w:r>
      <w:r>
        <w:rPr>
          <w:rFonts w:ascii="MS PGothic" w:cs="MS PGothic" w:eastAsia="MS PGothic" w:hAnsi="MS PGothic"/>
          <w:sz w:val="18"/>
          <w:szCs w:val="18"/>
          <w:color w:val="auto"/>
        </w:rPr>
        <w:t>‑</w:t>
      </w:r>
      <w:r>
        <w:rPr>
          <w:rFonts w:ascii="Arial" w:cs="Arial" w:eastAsia="Arial" w:hAnsi="Arial"/>
          <w:sz w:val="18"/>
          <w:szCs w:val="18"/>
          <w:color w:val="auto"/>
        </w:rPr>
        <w:t>pricing model based on the following weighted average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3131820</wp:posOffset>
            </wp:positionH>
            <wp:positionV relativeFrom="paragraph">
              <wp:posOffset>248920</wp:posOffset>
            </wp:positionV>
            <wp:extent cx="252984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b w:val="1"/>
                <w:bCs w:val="1"/>
                <w:color w:val="auto"/>
              </w:rPr>
              <w:t>Year Ended</w:t>
            </w:r>
          </w:p>
        </w:tc>
        <w:tc>
          <w:tcPr>
            <w:tcW w:w="1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4940" w:type="dxa"/>
            <w:vAlign w:val="bottom"/>
          </w:tcPr>
          <w:p>
            <w:pPr>
              <w:spacing w:after="0"/>
              <w:rPr>
                <w:sz w:val="11"/>
                <w:szCs w:val="11"/>
                <w:color w:val="auto"/>
              </w:rPr>
            </w:pPr>
          </w:p>
        </w:tc>
        <w:tc>
          <w:tcPr>
            <w:tcW w:w="12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1"/>
              </w:rPr>
              <w:t>December 31, 2017</w:t>
            </w:r>
          </w:p>
        </w:tc>
        <w:tc>
          <w:tcPr>
            <w:tcW w:w="220" w:type="dxa"/>
            <w:vAlign w:val="bottom"/>
          </w:tcPr>
          <w:p>
            <w:pPr>
              <w:spacing w:after="0"/>
              <w:rPr>
                <w:sz w:val="11"/>
                <w:szCs w:val="11"/>
                <w:color w:val="auto"/>
              </w:rPr>
            </w:pPr>
          </w:p>
        </w:tc>
        <w:tc>
          <w:tcPr>
            <w:tcW w:w="1360" w:type="dxa"/>
            <w:vAlign w:val="bottom"/>
            <w:gridSpan w:val="2"/>
          </w:tcPr>
          <w:p>
            <w:pPr>
              <w:jc w:val="right"/>
              <w:ind w:right="90"/>
              <w:spacing w:after="0" w:line="129" w:lineRule="exact"/>
              <w:rPr>
                <w:sz w:val="20"/>
                <w:szCs w:val="20"/>
                <w:color w:val="auto"/>
              </w:rPr>
            </w:pPr>
            <w:r>
              <w:rPr>
                <w:rFonts w:ascii="Arial" w:cs="Arial" w:eastAsia="Arial" w:hAnsi="Arial"/>
                <w:sz w:val="14"/>
                <w:szCs w:val="14"/>
                <w:b w:val="1"/>
                <w:bCs w:val="1"/>
                <w:color w:val="auto"/>
                <w:w w:val="91"/>
              </w:rPr>
              <w:t>December 31, 2016</w:t>
            </w:r>
          </w:p>
        </w:tc>
        <w:tc>
          <w:tcPr>
            <w:tcW w:w="12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1"/>
              </w:rPr>
              <w:t>December 31, 2015</w:t>
            </w:r>
          </w:p>
        </w:tc>
        <w:tc>
          <w:tcPr>
            <w:tcW w:w="160" w:type="dxa"/>
            <w:vAlign w:val="bottom"/>
          </w:tcPr>
          <w:p>
            <w:pPr>
              <w:spacing w:after="0"/>
              <w:rPr>
                <w:sz w:val="11"/>
                <w:szCs w:val="11"/>
                <w:color w:val="auto"/>
              </w:rPr>
            </w:pPr>
          </w:p>
        </w:tc>
      </w:tr>
      <w:tr>
        <w:trPr>
          <w:trHeight w:val="169"/>
        </w:trPr>
        <w:tc>
          <w:tcPr>
            <w:tcW w:w="494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Risk-free interest rate</w:t>
            </w:r>
          </w:p>
        </w:tc>
        <w:tc>
          <w:tcPr>
            <w:tcW w:w="12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2.07</w:t>
            </w:r>
          </w:p>
        </w:tc>
        <w:tc>
          <w:tcPr>
            <w:tcW w:w="22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w:t>
            </w:r>
          </w:p>
        </w:tc>
        <w:tc>
          <w:tcPr>
            <w:tcW w:w="12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1.55</w:t>
            </w:r>
          </w:p>
        </w:tc>
        <w:tc>
          <w:tcPr>
            <w:tcW w:w="16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4"/>
              </w:rPr>
              <w:t>%</w:t>
            </w:r>
          </w:p>
        </w:tc>
        <w:tc>
          <w:tcPr>
            <w:tcW w:w="12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1.66</w:t>
            </w:r>
          </w:p>
        </w:tc>
        <w:tc>
          <w:tcPr>
            <w:tcW w:w="16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4"/>
              </w:rPr>
              <w:t>%</w:t>
            </w:r>
          </w:p>
        </w:tc>
      </w:tr>
      <w:tr>
        <w:trPr>
          <w:trHeight w:val="176"/>
        </w:trPr>
        <w:tc>
          <w:tcPr>
            <w:tcW w:w="4940" w:type="dxa"/>
            <w:vAlign w:val="bottom"/>
          </w:tcPr>
          <w:p>
            <w:pPr>
              <w:spacing w:after="0" w:line="176" w:lineRule="exact"/>
              <w:rPr>
                <w:sz w:val="20"/>
                <w:szCs w:val="20"/>
                <w:color w:val="auto"/>
              </w:rPr>
            </w:pPr>
            <w:r>
              <w:rPr>
                <w:rFonts w:ascii="Arial" w:cs="Arial" w:eastAsia="Arial" w:hAnsi="Arial"/>
                <w:sz w:val="18"/>
                <w:szCs w:val="18"/>
                <w:color w:val="auto"/>
              </w:rPr>
              <w:t>Expected dividend yield</w:t>
            </w:r>
          </w:p>
        </w:tc>
        <w:tc>
          <w:tcPr>
            <w:tcW w:w="14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 %</w:t>
            </w:r>
          </w:p>
        </w:tc>
        <w:tc>
          <w:tcPr>
            <w:tcW w:w="13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 %</w:t>
            </w:r>
          </w:p>
        </w:tc>
        <w:tc>
          <w:tcPr>
            <w:tcW w:w="13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 %</w:t>
            </w:r>
          </w:p>
        </w:tc>
      </w:tr>
      <w:tr>
        <w:trPr>
          <w:trHeight w:val="176"/>
        </w:trPr>
        <w:tc>
          <w:tcPr>
            <w:tcW w:w="4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Expected term (years)</w:t>
            </w:r>
          </w:p>
        </w:tc>
        <w:tc>
          <w:tcPr>
            <w:tcW w:w="1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5"/>
                <w:szCs w:val="15"/>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200" w:type="dxa"/>
            <w:vAlign w:val="bottom"/>
          </w:tcPr>
          <w:p>
            <w:pPr>
              <w:jc w:val="right"/>
              <w:spacing w:after="0"/>
              <w:rPr>
                <w:sz w:val="20"/>
                <w:szCs w:val="20"/>
                <w:color w:val="auto"/>
              </w:rPr>
            </w:pPr>
            <w:r>
              <w:rPr>
                <w:rFonts w:ascii="Arial" w:cs="Arial" w:eastAsia="Arial" w:hAnsi="Arial"/>
                <w:sz w:val="18"/>
                <w:szCs w:val="18"/>
                <w:color w:val="auto"/>
              </w:rPr>
              <w:t>74.58</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75.94 %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85.43 %</w:t>
            </w:r>
          </w:p>
        </w:tc>
      </w:tr>
    </w:tbl>
    <w:p>
      <w:pPr>
        <w:spacing w:after="0" w:line="93" w:lineRule="exact"/>
        <w:rPr>
          <w:sz w:val="20"/>
          <w:szCs w:val="20"/>
          <w:color w:val="auto"/>
        </w:rPr>
      </w:pPr>
    </w:p>
    <w:p>
      <w:pPr>
        <w:ind w:right="140" w:firstLine="648"/>
        <w:spacing w:after="0" w:line="194" w:lineRule="exact"/>
        <w:rPr>
          <w:sz w:val="20"/>
          <w:szCs w:val="20"/>
          <w:color w:val="auto"/>
        </w:rPr>
      </w:pPr>
      <w:r>
        <w:rPr>
          <w:rFonts w:ascii="Arial" w:cs="Arial" w:eastAsia="Arial" w:hAnsi="Arial"/>
          <w:sz w:val="18"/>
          <w:szCs w:val="18"/>
          <w:color w:val="auto"/>
        </w:rPr>
        <w:t>The weighted</w:t>
      </w:r>
      <w:r>
        <w:rPr>
          <w:rFonts w:ascii="MS PGothic" w:cs="MS PGothic" w:eastAsia="MS PGothic" w:hAnsi="MS PGothic"/>
          <w:sz w:val="18"/>
          <w:szCs w:val="18"/>
          <w:color w:val="auto"/>
        </w:rPr>
        <w:t>‑</w:t>
      </w:r>
      <w:r>
        <w:rPr>
          <w:rFonts w:ascii="Arial" w:cs="Arial" w:eastAsia="Arial" w:hAnsi="Arial"/>
          <w:sz w:val="18"/>
          <w:szCs w:val="18"/>
          <w:color w:val="auto"/>
        </w:rPr>
        <w:t>average grant date fair value of options granted in the years ended December 31, 2017, 2016 and 2015 was $28.04, $13.06 and $8.55, respectively. The total intrinsic value of options exercised in the years ended December 31, 2017, 2016 and 2015 was $17.8 million, $3.1 million and $6.8 million, respectively.</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80"/>
          </w:cols>
          <w:pgMar w:left="1420" w:top="111" w:right="1399" w:bottom="1440" w:gutter="0" w:footer="0" w:header="0"/>
        </w:sectPr>
      </w:pPr>
    </w:p>
    <w:bookmarkStart w:id="134" w:name="page135"/>
    <w:bookmarkEnd w:id="1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60" w:firstLine="648"/>
        <w:spacing w:after="0" w:line="203" w:lineRule="exact"/>
        <w:rPr>
          <w:sz w:val="20"/>
          <w:szCs w:val="20"/>
          <w:color w:val="auto"/>
        </w:rPr>
      </w:pPr>
      <w:r>
        <w:rPr>
          <w:rFonts w:ascii="Arial" w:cs="Arial" w:eastAsia="Arial" w:hAnsi="Arial"/>
          <w:sz w:val="18"/>
          <w:szCs w:val="18"/>
          <w:color w:val="auto"/>
        </w:rPr>
        <w:t>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for all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awards in the statements of operations and comprehensive loss is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6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6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14"/>
              <w:spacing w:after="0" w:line="129"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54"/>
              <w:spacing w:after="0" w:line="129"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1"/>
                <w:szCs w:val="11"/>
                <w:color w:val="auto"/>
              </w:rPr>
            </w:pPr>
          </w:p>
        </w:tc>
      </w:tr>
      <w:tr>
        <w:trPr>
          <w:trHeight w:val="169"/>
        </w:trPr>
        <w:tc>
          <w:tcPr>
            <w:tcW w:w="61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6,296</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2,674</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2,148</w:t>
            </w:r>
          </w:p>
        </w:tc>
        <w:tc>
          <w:tcPr>
            <w:tcW w:w="60" w:type="dxa"/>
            <w:vAlign w:val="bottom"/>
            <w:shd w:val="clear" w:color="auto" w:fill="CCEEFF"/>
          </w:tcPr>
          <w:p>
            <w:pPr>
              <w:spacing w:after="0"/>
              <w:rPr>
                <w:sz w:val="14"/>
                <w:szCs w:val="14"/>
                <w:color w:val="auto"/>
              </w:rPr>
            </w:pPr>
          </w:p>
        </w:tc>
      </w:tr>
      <w:tr>
        <w:trPr>
          <w:trHeight w:val="176"/>
        </w:trPr>
        <w:tc>
          <w:tcPr>
            <w:tcW w:w="610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6,227</w:t>
            </w: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3,466</w:t>
            </w: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3,032</w:t>
            </w:r>
          </w:p>
        </w:tc>
        <w:tc>
          <w:tcPr>
            <w:tcW w:w="60" w:type="dxa"/>
            <w:vAlign w:val="bottom"/>
            <w:tcBorders>
              <w:bottom w:val="single" w:sz="8" w:color="CCEEFF"/>
            </w:tcBorders>
          </w:tcPr>
          <w:p>
            <w:pPr>
              <w:spacing w:after="0"/>
              <w:rPr>
                <w:sz w:val="15"/>
                <w:szCs w:val="15"/>
                <w:color w:val="auto"/>
              </w:rPr>
            </w:pPr>
          </w:p>
        </w:tc>
      </w:tr>
      <w:tr>
        <w:trPr>
          <w:trHeight w:val="176"/>
        </w:trPr>
        <w:tc>
          <w:tcPr>
            <w:tcW w:w="610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stock-based compensation expense</w:t>
            </w:r>
          </w:p>
        </w:tc>
        <w:tc>
          <w:tcPr>
            <w:tcW w:w="200" w:type="dxa"/>
            <w:vAlign w:val="bottom"/>
            <w:tcBorders>
              <w:bottom w:val="single" w:sz="8" w:color="auto"/>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12,523</w:t>
            </w:r>
          </w:p>
        </w:tc>
        <w:tc>
          <w:tcPr>
            <w:tcW w:w="2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6,140</w:t>
            </w:r>
          </w:p>
        </w:tc>
        <w:tc>
          <w:tcPr>
            <w:tcW w:w="2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5,180</w:t>
            </w:r>
          </w:p>
        </w:tc>
        <w:tc>
          <w:tcPr>
            <w:tcW w:w="60" w:type="dxa"/>
            <w:vAlign w:val="bottom"/>
            <w:tcBorders>
              <w:bottom w:val="single" w:sz="8" w:color="CCEEFF"/>
            </w:tcBorders>
            <w:shd w:val="clear" w:color="auto" w:fill="CCEEFF"/>
          </w:tcPr>
          <w:p>
            <w:pPr>
              <w:spacing w:after="0"/>
              <w:rPr>
                <w:sz w:val="15"/>
                <w:szCs w:val="15"/>
                <w:color w:val="auto"/>
              </w:rPr>
            </w:pPr>
          </w:p>
        </w:tc>
      </w:tr>
    </w:tbl>
    <w:p>
      <w:pPr>
        <w:spacing w:after="0" w:line="148" w:lineRule="exact"/>
        <w:rPr>
          <w:sz w:val="20"/>
          <w:szCs w:val="20"/>
          <w:color w:val="auto"/>
        </w:rPr>
      </w:pPr>
    </w:p>
    <w:p>
      <w:pPr>
        <w:ind w:right="80" w:firstLine="648"/>
        <w:spacing w:after="0" w:line="189" w:lineRule="exact"/>
        <w:rPr>
          <w:sz w:val="20"/>
          <w:szCs w:val="20"/>
          <w:color w:val="auto"/>
        </w:rPr>
      </w:pPr>
      <w:r>
        <w:rPr>
          <w:rFonts w:ascii="Arial" w:cs="Arial" w:eastAsia="Arial" w:hAnsi="Arial"/>
          <w:sz w:val="18"/>
          <w:szCs w:val="18"/>
          <w:color w:val="auto"/>
        </w:rPr>
        <w:t>At December 31, 2017, there was $35.2 million of total unrecognized compensation cost related to non-vested stock awards, which is expected to be recognized over a weighted</w:t>
      </w:r>
      <w:r>
        <w:rPr>
          <w:rFonts w:ascii="MS PGothic" w:cs="MS PGothic" w:eastAsia="MS PGothic" w:hAnsi="MS PGothic"/>
          <w:sz w:val="18"/>
          <w:szCs w:val="18"/>
          <w:color w:val="auto"/>
        </w:rPr>
        <w:t>‑</w:t>
      </w:r>
      <w:r>
        <w:rPr>
          <w:rFonts w:ascii="Arial" w:cs="Arial" w:eastAsia="Arial" w:hAnsi="Arial"/>
          <w:sz w:val="18"/>
          <w:szCs w:val="18"/>
          <w:color w:val="auto"/>
        </w:rPr>
        <w:t>average period of 2.41 years. Due to an operating loss, the Company does not record tax benefits associated with stock</w:t>
      </w:r>
      <w:r>
        <w:rPr>
          <w:rFonts w:ascii="MS PGothic" w:cs="MS PGothic" w:eastAsia="MS PGothic" w:hAnsi="MS PGothic"/>
          <w:sz w:val="18"/>
          <w:szCs w:val="18"/>
          <w:color w:val="auto"/>
        </w:rPr>
        <w:t>‑</w:t>
      </w:r>
      <w:r>
        <w:rPr>
          <w:rFonts w:ascii="Arial" w:cs="Arial" w:eastAsia="Arial" w:hAnsi="Arial"/>
          <w:sz w:val="18"/>
          <w:szCs w:val="18"/>
          <w:color w:val="auto"/>
        </w:rPr>
        <w:t>based compensation or option exercises. Tax benefit will be recorded when realized.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Employee Stock Purchase Plan</w:t>
      </w:r>
    </w:p>
    <w:p>
      <w:pPr>
        <w:spacing w:after="0" w:line="185" w:lineRule="exact"/>
        <w:rPr>
          <w:sz w:val="20"/>
          <w:szCs w:val="20"/>
          <w:color w:val="auto"/>
        </w:rPr>
      </w:pPr>
    </w:p>
    <w:p>
      <w:pPr>
        <w:ind w:right="100" w:firstLine="648"/>
        <w:spacing w:after="0" w:line="223" w:lineRule="auto"/>
        <w:rPr>
          <w:sz w:val="20"/>
          <w:szCs w:val="20"/>
          <w:color w:val="auto"/>
        </w:rPr>
      </w:pPr>
      <w:r>
        <w:rPr>
          <w:rFonts w:ascii="Arial" w:cs="Arial" w:eastAsia="Arial" w:hAnsi="Arial"/>
          <w:sz w:val="17"/>
          <w:szCs w:val="17"/>
          <w:color w:val="auto"/>
        </w:rPr>
        <w:t>In 2015, the Company’s board of directors and stockholders approved the 2015 Employee Stock Purchase Plan (the 2015 ESPP), which became effective upon the closing of the IPO in May 2015. The Company initially reserved a total of 243,347 shares of common stock for issuance under the 2015 ESPP. The 2015 ESPP provides that the number of shares reserved and available for issuance under the 2015 ESPP will be cumulatively increased on January 1 of each calendar years by 1% of the number of shares of common stock issued and outstanding on the immediately preceding December 31 or such lesser amount as specified by the compensation committee of the board of directors. For the calendar year beginning January 1, 2017 and 2018, the number of shares reserved for issuance under the 2015 ESPP was increased by 331,254 and 435,775 shares, respectively. The Company issued 16,703 and 23,325 shares under the ESPP during the years ended December 31, 2017 and 2016,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w:t>
      </w:r>
    </w:p>
    <w:p>
      <w:pPr>
        <w:spacing w:after="0" w:line="189" w:lineRule="exact"/>
        <w:rPr>
          <w:sz w:val="20"/>
          <w:szCs w:val="20"/>
          <w:color w:val="auto"/>
        </w:rPr>
      </w:pPr>
    </w:p>
    <w:p>
      <w:pPr>
        <w:ind w:right="40" w:firstLine="648"/>
        <w:spacing w:after="0" w:line="181" w:lineRule="exact"/>
        <w:rPr>
          <w:sz w:val="20"/>
          <w:szCs w:val="20"/>
          <w:color w:val="auto"/>
        </w:rPr>
      </w:pPr>
      <w:r>
        <w:rPr>
          <w:rFonts w:ascii="Arial" w:cs="Arial" w:eastAsia="Arial" w:hAnsi="Arial"/>
          <w:sz w:val="17"/>
          <w:szCs w:val="17"/>
          <w:color w:val="auto"/>
        </w:rPr>
        <w:t>Basic net loss per share applicable to common stockholders is calculated by dividing net loss applicable to common stockholders by the weighted average shares outstanding during the period, without consideration for common stock equivalents. Net loss applicable to common stockholders is calculated by adjusting the net loss of the Company for cumulative preferred stock dividends. Diluted net loss per share applicable to common stockholders is calculated by adjusting weighted average shares outstanding for the dilutive effect of common stock equivalents outstanding for the period. For purposes of the dilutive net loss per share applicable to common stockholders calculation, convertible preferred stock, warrants, stock options, and unvested restricted stock are considered to be common stock equivalents but are excluded from the calculation of diluted net loss per share applicable to common stockholders, as their effect would be anti</w:t>
      </w:r>
      <w:r>
        <w:rPr>
          <w:rFonts w:ascii="MS PGothic" w:cs="MS PGothic" w:eastAsia="MS PGothic" w:hAnsi="MS PGothic"/>
          <w:sz w:val="17"/>
          <w:szCs w:val="17"/>
          <w:color w:val="auto"/>
        </w:rPr>
        <w:t>‑</w:t>
      </w:r>
      <w:r>
        <w:rPr>
          <w:rFonts w:ascii="Arial" w:cs="Arial" w:eastAsia="Arial" w:hAnsi="Arial"/>
          <w:sz w:val="17"/>
          <w:szCs w:val="17"/>
          <w:color w:val="auto"/>
        </w:rPr>
        <w:t>dilutive; therefore, basic and diluted net loss per share applicable to common stockholders were the same for all periods presented as a result of the Company’s net loss.</w:t>
      </w:r>
    </w:p>
    <w:p>
      <w:pPr>
        <w:spacing w:after="0" w:line="164" w:lineRule="exact"/>
        <w:rPr>
          <w:sz w:val="20"/>
          <w:szCs w:val="20"/>
          <w:color w:val="auto"/>
        </w:rPr>
      </w:pPr>
    </w:p>
    <w:p>
      <w:pPr>
        <w:jc w:val="both"/>
        <w:ind w:right="60" w:firstLine="648"/>
        <w:spacing w:after="0" w:line="203" w:lineRule="exact"/>
        <w:rPr>
          <w:sz w:val="20"/>
          <w:szCs w:val="20"/>
          <w:color w:val="auto"/>
        </w:rPr>
      </w:pPr>
      <w:r>
        <w:rPr>
          <w:rFonts w:ascii="Arial" w:cs="Arial" w:eastAsia="Arial" w:hAnsi="Arial"/>
          <w:sz w:val="16"/>
          <w:szCs w:val="16"/>
          <w:color w:val="auto"/>
        </w:rPr>
        <w:t>The following common stock equivalents were excluded from the calculation of diluted net loss per share applicable to common stockholders for the periods indicated because including them would have had an anti</w:t>
      </w:r>
      <w:r>
        <w:rPr>
          <w:rFonts w:ascii="MS PGothic" w:cs="MS PGothic" w:eastAsia="MS PGothic" w:hAnsi="MS PGothic"/>
          <w:sz w:val="16"/>
          <w:szCs w:val="16"/>
          <w:color w:val="auto"/>
        </w:rPr>
        <w:t>‑</w:t>
      </w:r>
      <w:r>
        <w:rPr>
          <w:rFonts w:ascii="Arial" w:cs="Arial" w:eastAsia="Arial" w:hAnsi="Arial"/>
          <w:sz w:val="16"/>
          <w:szCs w:val="16"/>
          <w:color w:val="auto"/>
        </w:rPr>
        <w:t>dilutive effect:</w:t>
      </w:r>
    </w:p>
    <w:p>
      <w:pPr>
        <w:spacing w:after="0" w:line="158" w:lineRule="exact"/>
        <w:rPr>
          <w:sz w:val="20"/>
          <w:szCs w:val="20"/>
          <w:color w:val="auto"/>
        </w:rPr>
      </w:pPr>
    </w:p>
    <w:p>
      <w:pPr>
        <w:ind w:left="7200"/>
        <w:spacing w:after="0"/>
        <w:rPr>
          <w:sz w:val="20"/>
          <w:szCs w:val="20"/>
          <w:color w:val="auto"/>
        </w:rPr>
      </w:pPr>
      <w:r>
        <w:rPr>
          <w:rFonts w:ascii="Arial" w:cs="Arial" w:eastAsia="Arial" w:hAnsi="Arial"/>
          <w:sz w:val="14"/>
          <w:szCs w:val="14"/>
          <w:b w:val="1"/>
          <w:bCs w:val="1"/>
          <w:color w:val="auto"/>
        </w:rPr>
        <w:t>Year Ended</w:t>
      </w:r>
    </w:p>
    <w:p>
      <w:pPr>
        <w:ind w:left="7120"/>
        <w:spacing w:after="0" w:line="221"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36"/>
        </w:trPr>
        <w:tc>
          <w:tcPr>
            <w:tcW w:w="6080" w:type="dxa"/>
            <w:vAlign w:val="bottom"/>
            <w:tcBorders>
              <w:bottom w:val="single" w:sz="8" w:color="CCEEFF"/>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234"/>
              <w:spacing w:after="0" w:line="136"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234"/>
              <w:spacing w:after="0" w:line="136"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CEEFF"/>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234"/>
              <w:spacing w:after="0" w:line="136" w:lineRule="exact"/>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CCEEFF"/>
            </w:tcBorders>
          </w:tcPr>
          <w:p>
            <w:pPr>
              <w:spacing w:after="0"/>
              <w:rPr>
                <w:sz w:val="11"/>
                <w:szCs w:val="11"/>
                <w:color w:val="auto"/>
              </w:rPr>
            </w:pPr>
          </w:p>
        </w:tc>
      </w:tr>
      <w:tr>
        <w:trPr>
          <w:trHeight w:val="169"/>
        </w:trPr>
        <w:tc>
          <w:tcPr>
            <w:tcW w:w="6080" w:type="dxa"/>
            <w:vAlign w:val="bottom"/>
            <w:shd w:val="clear" w:color="auto" w:fill="CCEEFF"/>
          </w:tcPr>
          <w:p>
            <w:pPr>
              <w:ind w:left="220"/>
              <w:spacing w:after="0" w:line="170" w:lineRule="exact"/>
              <w:rPr>
                <w:sz w:val="20"/>
                <w:szCs w:val="20"/>
                <w:color w:val="auto"/>
              </w:rPr>
            </w:pPr>
            <w:r>
              <w:rPr>
                <w:rFonts w:ascii="Arial" w:cs="Arial" w:eastAsia="Arial" w:hAnsi="Arial"/>
                <w:sz w:val="18"/>
                <w:szCs w:val="18"/>
                <w:color w:val="auto"/>
              </w:rPr>
              <w:t>Stock options</w:t>
            </w: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3,304,166</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2,622,741</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1,802,802</w:t>
            </w:r>
          </w:p>
        </w:tc>
        <w:tc>
          <w:tcPr>
            <w:tcW w:w="40" w:type="dxa"/>
            <w:vAlign w:val="bottom"/>
            <w:shd w:val="clear" w:color="auto" w:fill="CCEEFF"/>
          </w:tcPr>
          <w:p>
            <w:pPr>
              <w:spacing w:after="0"/>
              <w:rPr>
                <w:sz w:val="14"/>
                <w:szCs w:val="14"/>
                <w:color w:val="auto"/>
              </w:rPr>
            </w:pPr>
          </w:p>
        </w:tc>
      </w:tr>
      <w:tr>
        <w:trPr>
          <w:trHeight w:val="176"/>
        </w:trPr>
        <w:tc>
          <w:tcPr>
            <w:tcW w:w="6080" w:type="dxa"/>
            <w:vAlign w:val="bottom"/>
          </w:tcPr>
          <w:p>
            <w:pPr>
              <w:ind w:left="220"/>
              <w:spacing w:after="0" w:line="176" w:lineRule="exact"/>
              <w:rPr>
                <w:sz w:val="20"/>
                <w:szCs w:val="20"/>
                <w:color w:val="auto"/>
              </w:rPr>
            </w:pPr>
            <w:r>
              <w:rPr>
                <w:rFonts w:ascii="Arial" w:cs="Arial" w:eastAsia="Arial" w:hAnsi="Arial"/>
                <w:sz w:val="18"/>
                <w:szCs w:val="18"/>
                <w:color w:val="auto"/>
              </w:rPr>
              <w:t>Unvested restricted stock</w:t>
            </w:r>
          </w:p>
        </w:tc>
        <w:tc>
          <w:tcPr>
            <w:tcW w:w="104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2,125</w:t>
            </w:r>
          </w:p>
        </w:tc>
        <w:tc>
          <w:tcPr>
            <w:tcW w:w="1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130,495</w:t>
            </w:r>
          </w:p>
        </w:tc>
        <w:tc>
          <w:tcPr>
            <w:tcW w:w="40" w:type="dxa"/>
            <w:vAlign w:val="bottom"/>
          </w:tcPr>
          <w:p>
            <w:pPr>
              <w:spacing w:after="0"/>
              <w:rPr>
                <w:sz w:val="15"/>
                <w:szCs w:val="15"/>
                <w:color w:val="auto"/>
              </w:rPr>
            </w:pPr>
          </w:p>
        </w:tc>
      </w:tr>
      <w:tr>
        <w:trPr>
          <w:trHeight w:val="176"/>
        </w:trPr>
        <w:tc>
          <w:tcPr>
            <w:tcW w:w="608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3,304,166</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2,624,866</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1,933,297</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r>
    </w:tbl>
    <w:p>
      <w:pPr>
        <w:spacing w:after="0" w:line="148" w:lineRule="exact"/>
        <w:rPr>
          <w:sz w:val="20"/>
          <w:szCs w:val="20"/>
          <w:color w:val="auto"/>
        </w:rPr>
      </w:pPr>
    </w:p>
    <w:p>
      <w:pPr>
        <w:jc w:val="both"/>
        <w:ind w:right="80" w:firstLine="648"/>
        <w:spacing w:after="0" w:line="224" w:lineRule="auto"/>
        <w:rPr>
          <w:sz w:val="20"/>
          <w:szCs w:val="20"/>
          <w:color w:val="auto"/>
        </w:rPr>
      </w:pPr>
      <w:r>
        <w:rPr>
          <w:rFonts w:ascii="Arial" w:cs="Arial" w:eastAsia="Arial" w:hAnsi="Arial"/>
          <w:sz w:val="18"/>
          <w:szCs w:val="18"/>
          <w:color w:val="auto"/>
        </w:rPr>
        <w:t>The weighted average number of common shares used in net loss per share applicable to common stockholders on a basic and diluted basis were 37,792,929, 27,491,669 and 18,235,614 for the years ended December 31, 2017, 2016 and 2015,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Convertible Preferred Stock</w:t>
      </w: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12" w:right="1379" w:bottom="1440" w:gutter="0" w:footer="0" w:header="0"/>
        </w:sectPr>
      </w:pPr>
    </w:p>
    <w:bookmarkStart w:id="135" w:name="page136"/>
    <w:bookmarkEnd w:id="1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300" w:firstLine="648"/>
        <w:spacing w:after="0" w:line="214" w:lineRule="auto"/>
        <w:rPr>
          <w:sz w:val="20"/>
          <w:szCs w:val="20"/>
          <w:color w:val="auto"/>
        </w:rPr>
      </w:pPr>
      <w:r>
        <w:rPr>
          <w:rFonts w:ascii="Arial" w:cs="Arial" w:eastAsia="Arial" w:hAnsi="Arial"/>
          <w:sz w:val="18"/>
          <w:szCs w:val="18"/>
          <w:color w:val="auto"/>
        </w:rPr>
        <w:t>Upon the closing of the IPO in May 2015, Series A Convertible Preferred Stock, Series B Convertible Preferred Stock and Series C Convertible Preferred Stock automatically converted into 15,467,479 shares of common stock. In addition, upon closing of the IPO, the Company’s board of directors was authorized, without action by the stockholders, to designate and issue up to an aggregate of 5,000,000 shares of preferred stock in one or more series. The board of directors can designate the rights, preferences and privileges of the shares of each series and any of its qualifications, limitations or restrictions.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2017, no shares of preferred stock were issued or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89" w:lineRule="exact"/>
        <w:rPr>
          <w:sz w:val="20"/>
          <w:szCs w:val="20"/>
          <w:color w:val="auto"/>
        </w:rPr>
      </w:pPr>
    </w:p>
    <w:p>
      <w:pPr>
        <w:ind w:right="220" w:firstLine="648"/>
        <w:spacing w:after="0" w:line="235" w:lineRule="auto"/>
        <w:rPr>
          <w:sz w:val="20"/>
          <w:szCs w:val="20"/>
          <w:color w:val="auto"/>
        </w:rPr>
      </w:pPr>
      <w:r>
        <w:rPr>
          <w:rFonts w:ascii="Arial" w:cs="Arial" w:eastAsia="Arial" w:hAnsi="Arial"/>
          <w:sz w:val="18"/>
          <w:szCs w:val="18"/>
          <w:color w:val="auto"/>
        </w:rPr>
        <w:t>A reconciliation of the U.S. statutory income tax rate to the Company’s effective tax rate is as follows for the years ended December 31, 2017, 2016 and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3"/>
          </w:tcPr>
          <w:p>
            <w:pPr>
              <w:jc w:val="center"/>
              <w:ind w:right="90"/>
              <w:spacing w:after="0"/>
              <w:rPr>
                <w:sz w:val="20"/>
                <w:szCs w:val="20"/>
                <w:color w:val="auto"/>
              </w:rPr>
            </w:pPr>
            <w:r>
              <w:rPr>
                <w:rFonts w:ascii="Arial" w:cs="Arial" w:eastAsia="Arial" w:hAnsi="Arial"/>
                <w:sz w:val="14"/>
                <w:szCs w:val="14"/>
                <w:b w:val="1"/>
                <w:bCs w:val="1"/>
                <w:color w:val="auto"/>
                <w:w w:val="93"/>
              </w:rPr>
              <w:t>Year Ended</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4"/>
        </w:trPr>
        <w:tc>
          <w:tcPr>
            <w:tcW w:w="65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6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6"/>
        </w:trPr>
        <w:tc>
          <w:tcPr>
            <w:tcW w:w="6520" w:type="dxa"/>
            <w:vAlign w:val="bottom"/>
          </w:tcPr>
          <w:p>
            <w:pPr>
              <w:spacing w:after="0"/>
              <w:rPr>
                <w:sz w:val="13"/>
                <w:szCs w:val="13"/>
                <w:color w:val="auto"/>
              </w:rPr>
            </w:pPr>
          </w:p>
        </w:tc>
        <w:tc>
          <w:tcPr>
            <w:tcW w:w="620" w:type="dxa"/>
            <w:vAlign w:val="bottom"/>
          </w:tcPr>
          <w:p>
            <w:pPr>
              <w:jc w:val="right"/>
              <w:ind w:right="72"/>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7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6"/>
              </w:rPr>
              <w:t>2016</w:t>
            </w:r>
          </w:p>
        </w:tc>
        <w:tc>
          <w:tcPr>
            <w:tcW w:w="240" w:type="dxa"/>
            <w:vAlign w:val="bottom"/>
          </w:tcPr>
          <w:p>
            <w:pPr>
              <w:spacing w:after="0"/>
              <w:rPr>
                <w:sz w:val="13"/>
                <w:szCs w:val="13"/>
                <w:color w:val="auto"/>
              </w:rPr>
            </w:pPr>
          </w:p>
        </w:tc>
        <w:tc>
          <w:tcPr>
            <w:tcW w:w="640" w:type="dxa"/>
            <w:vAlign w:val="bottom"/>
          </w:tcPr>
          <w:p>
            <w:pPr>
              <w:jc w:val="right"/>
              <w:ind w:right="92"/>
              <w:spacing w:after="0" w:line="155"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3"/>
                <w:szCs w:val="13"/>
                <w:color w:val="auto"/>
              </w:rPr>
            </w:pPr>
          </w:p>
        </w:tc>
      </w:tr>
      <w:tr>
        <w:trPr>
          <w:trHeight w:val="169"/>
        </w:trPr>
        <w:tc>
          <w:tcPr>
            <w:tcW w:w="65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Federal income tax (benefit) at statutory rate</w:t>
            </w:r>
          </w:p>
        </w:tc>
        <w:tc>
          <w:tcPr>
            <w:tcW w:w="6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34.00</w:t>
            </w:r>
          </w:p>
        </w:tc>
        <w:tc>
          <w:tcPr>
            <w:tcW w:w="18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w:t>
            </w: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34.00</w:t>
            </w:r>
          </w:p>
        </w:tc>
        <w:tc>
          <w:tcPr>
            <w:tcW w:w="24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w:t>
            </w:r>
          </w:p>
        </w:tc>
        <w:tc>
          <w:tcPr>
            <w:tcW w:w="6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34.00</w:t>
            </w:r>
          </w:p>
        </w:tc>
        <w:tc>
          <w:tcPr>
            <w:tcW w:w="16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w:t>
            </w:r>
          </w:p>
        </w:tc>
      </w:tr>
      <w:tr>
        <w:trPr>
          <w:trHeight w:val="176"/>
        </w:trPr>
        <w:tc>
          <w:tcPr>
            <w:tcW w:w="6520" w:type="dxa"/>
            <w:vAlign w:val="bottom"/>
          </w:tcPr>
          <w:p>
            <w:pPr>
              <w:spacing w:after="0" w:line="176" w:lineRule="exact"/>
              <w:rPr>
                <w:sz w:val="20"/>
                <w:szCs w:val="20"/>
                <w:color w:val="auto"/>
              </w:rPr>
            </w:pPr>
            <w:r>
              <w:rPr>
                <w:rFonts w:ascii="Arial" w:cs="Arial" w:eastAsia="Arial" w:hAnsi="Arial"/>
                <w:sz w:val="18"/>
                <w:szCs w:val="18"/>
                <w:color w:val="auto"/>
              </w:rPr>
              <w:t>Permanent differences</w:t>
            </w: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0.49</w:t>
            </w:r>
          </w:p>
        </w:tc>
        <w:tc>
          <w:tcPr>
            <w:tcW w:w="180" w:type="dxa"/>
            <w:vAlign w:val="bottom"/>
          </w:tcPr>
          <w:p>
            <w:pPr>
              <w:spacing w:after="0"/>
              <w:rPr>
                <w:sz w:val="15"/>
                <w:szCs w:val="15"/>
                <w:color w:val="auto"/>
              </w:rPr>
            </w:pPr>
          </w:p>
        </w:tc>
        <w:tc>
          <w:tcPr>
            <w:tcW w:w="7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(2.74)</w:t>
            </w:r>
          </w:p>
        </w:tc>
        <w:tc>
          <w:tcPr>
            <w:tcW w:w="240" w:type="dxa"/>
            <w:vAlign w:val="bottom"/>
          </w:tcPr>
          <w:p>
            <w:pPr>
              <w:spacing w:after="0"/>
              <w:rPr>
                <w:sz w:val="15"/>
                <w:szCs w:val="15"/>
                <w:color w:val="auto"/>
              </w:rPr>
            </w:pPr>
          </w:p>
        </w:tc>
        <w:tc>
          <w:tcPr>
            <w:tcW w:w="800" w:type="dxa"/>
            <w:vAlign w:val="bottom"/>
            <w:gridSpan w:val="2"/>
          </w:tcPr>
          <w:p>
            <w:pPr>
              <w:jc w:val="right"/>
              <w:ind w:right="70"/>
              <w:spacing w:after="0" w:line="176" w:lineRule="exact"/>
              <w:rPr>
                <w:sz w:val="20"/>
                <w:szCs w:val="20"/>
                <w:color w:val="auto"/>
              </w:rPr>
            </w:pPr>
            <w:r>
              <w:rPr>
                <w:rFonts w:ascii="Arial" w:cs="Arial" w:eastAsia="Arial" w:hAnsi="Arial"/>
                <w:sz w:val="18"/>
                <w:szCs w:val="18"/>
                <w:color w:val="auto"/>
              </w:rPr>
              <w:t>(3.30)</w:t>
            </w:r>
          </w:p>
        </w:tc>
      </w:tr>
      <w:tr>
        <w:trPr>
          <w:trHeight w:val="176"/>
        </w:trPr>
        <w:tc>
          <w:tcPr>
            <w:tcW w:w="65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Federal research and development credits</w:t>
            </w: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0.97</w:t>
            </w:r>
          </w:p>
        </w:tc>
        <w:tc>
          <w:tcPr>
            <w:tcW w:w="1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1.02</w:t>
            </w: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5"/>
                <w:szCs w:val="15"/>
                <w:color w:val="auto"/>
              </w:rPr>
            </w:pPr>
          </w:p>
        </w:tc>
      </w:tr>
      <w:tr>
        <w:trPr>
          <w:trHeight w:val="176"/>
        </w:trPr>
        <w:tc>
          <w:tcPr>
            <w:tcW w:w="6520" w:type="dxa"/>
            <w:vAlign w:val="bottom"/>
          </w:tcPr>
          <w:p>
            <w:pPr>
              <w:spacing w:after="0" w:line="176" w:lineRule="exact"/>
              <w:rPr>
                <w:sz w:val="20"/>
                <w:szCs w:val="20"/>
                <w:color w:val="auto"/>
              </w:rPr>
            </w:pPr>
            <w:r>
              <w:rPr>
                <w:rFonts w:ascii="Arial" w:cs="Arial" w:eastAsia="Arial" w:hAnsi="Arial"/>
                <w:sz w:val="18"/>
                <w:szCs w:val="18"/>
                <w:color w:val="auto"/>
              </w:rPr>
              <w:t>Federal orphan drug credits</w:t>
            </w: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6.40</w:t>
            </w:r>
          </w:p>
        </w:tc>
        <w:tc>
          <w:tcPr>
            <w:tcW w:w="180" w:type="dxa"/>
            <w:vAlign w:val="bottom"/>
          </w:tcPr>
          <w:p>
            <w:pPr>
              <w:spacing w:after="0"/>
              <w:rPr>
                <w:sz w:val="15"/>
                <w:szCs w:val="15"/>
                <w:color w:val="auto"/>
              </w:rPr>
            </w:pPr>
          </w:p>
        </w:tc>
        <w:tc>
          <w:tcPr>
            <w:tcW w:w="7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6.63</w:t>
            </w:r>
          </w:p>
        </w:tc>
        <w:tc>
          <w:tcPr>
            <w:tcW w:w="24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0.55</w:t>
            </w:r>
          </w:p>
        </w:tc>
        <w:tc>
          <w:tcPr>
            <w:tcW w:w="160" w:type="dxa"/>
            <w:vAlign w:val="bottom"/>
          </w:tcPr>
          <w:p>
            <w:pPr>
              <w:spacing w:after="0"/>
              <w:rPr>
                <w:sz w:val="15"/>
                <w:szCs w:val="15"/>
                <w:color w:val="auto"/>
              </w:rPr>
            </w:pPr>
          </w:p>
        </w:tc>
      </w:tr>
      <w:tr>
        <w:trPr>
          <w:trHeight w:val="176"/>
        </w:trPr>
        <w:tc>
          <w:tcPr>
            <w:tcW w:w="65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State income tax, net of federal benefit</w:t>
            </w: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5.40</w:t>
            </w:r>
          </w:p>
        </w:tc>
        <w:tc>
          <w:tcPr>
            <w:tcW w:w="1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4.81</w:t>
            </w: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4.72</w:t>
            </w:r>
          </w:p>
        </w:tc>
        <w:tc>
          <w:tcPr>
            <w:tcW w:w="160" w:type="dxa"/>
            <w:vAlign w:val="bottom"/>
            <w:shd w:val="clear" w:color="auto" w:fill="CCEEFF"/>
          </w:tcPr>
          <w:p>
            <w:pPr>
              <w:spacing w:after="0"/>
              <w:rPr>
                <w:sz w:val="15"/>
                <w:szCs w:val="15"/>
                <w:color w:val="auto"/>
              </w:rPr>
            </w:pPr>
          </w:p>
        </w:tc>
      </w:tr>
      <w:tr>
        <w:trPr>
          <w:trHeight w:val="176"/>
        </w:trPr>
        <w:tc>
          <w:tcPr>
            <w:tcW w:w="6520" w:type="dxa"/>
            <w:vAlign w:val="bottom"/>
          </w:tcPr>
          <w:p>
            <w:pPr>
              <w:spacing w:after="0" w:line="176" w:lineRule="exact"/>
              <w:rPr>
                <w:sz w:val="20"/>
                <w:szCs w:val="20"/>
                <w:color w:val="auto"/>
              </w:rPr>
            </w:pPr>
            <w:r>
              <w:rPr>
                <w:rFonts w:ascii="Arial" w:cs="Arial" w:eastAsia="Arial" w:hAnsi="Arial"/>
                <w:sz w:val="18"/>
                <w:szCs w:val="18"/>
                <w:color w:val="auto"/>
              </w:rPr>
              <w:t>Other</w:t>
            </w: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0.83</w:t>
            </w:r>
          </w:p>
        </w:tc>
        <w:tc>
          <w:tcPr>
            <w:tcW w:w="180" w:type="dxa"/>
            <w:vAlign w:val="bottom"/>
          </w:tcPr>
          <w:p>
            <w:pPr>
              <w:spacing w:after="0"/>
              <w:rPr>
                <w:sz w:val="15"/>
                <w:szCs w:val="15"/>
                <w:color w:val="auto"/>
              </w:rPr>
            </w:pPr>
          </w:p>
        </w:tc>
        <w:tc>
          <w:tcPr>
            <w:tcW w:w="7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(0.78)</w:t>
            </w:r>
          </w:p>
        </w:tc>
        <w:tc>
          <w:tcPr>
            <w:tcW w:w="24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0.56</w:t>
            </w:r>
          </w:p>
        </w:tc>
        <w:tc>
          <w:tcPr>
            <w:tcW w:w="160" w:type="dxa"/>
            <w:vAlign w:val="bottom"/>
          </w:tcPr>
          <w:p>
            <w:pPr>
              <w:spacing w:after="0"/>
              <w:rPr>
                <w:sz w:val="15"/>
                <w:szCs w:val="15"/>
                <w:color w:val="auto"/>
              </w:rPr>
            </w:pPr>
          </w:p>
        </w:tc>
      </w:tr>
      <w:tr>
        <w:trPr>
          <w:trHeight w:val="176"/>
        </w:trPr>
        <w:tc>
          <w:tcPr>
            <w:tcW w:w="65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Deferred rate change</w:t>
            </w: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(27.58)</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90"/>
              <w:spacing w:after="0" w:line="176"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w:t>
            </w:r>
          </w:p>
        </w:tc>
      </w:tr>
      <w:tr>
        <w:trPr>
          <w:trHeight w:val="176"/>
        </w:trPr>
        <w:tc>
          <w:tcPr>
            <w:tcW w:w="6520" w:type="dxa"/>
            <w:vAlign w:val="bottom"/>
          </w:tcPr>
          <w:p>
            <w:pPr>
              <w:spacing w:after="0" w:line="176" w:lineRule="exact"/>
              <w:rPr>
                <w:sz w:val="20"/>
                <w:szCs w:val="20"/>
                <w:color w:val="auto"/>
              </w:rPr>
            </w:pPr>
            <w:r>
              <w:rPr>
                <w:rFonts w:ascii="Arial" w:cs="Arial" w:eastAsia="Arial" w:hAnsi="Arial"/>
                <w:sz w:val="18"/>
                <w:szCs w:val="18"/>
                <w:color w:val="auto"/>
              </w:rPr>
              <w:t>Change in valuation allowance</w:t>
            </w: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(20.54)</w:t>
            </w:r>
          </w:p>
        </w:tc>
        <w:tc>
          <w:tcPr>
            <w:tcW w:w="180" w:type="dxa"/>
            <w:vAlign w:val="bottom"/>
          </w:tcPr>
          <w:p>
            <w:pPr>
              <w:spacing w:after="0"/>
              <w:rPr>
                <w:sz w:val="15"/>
                <w:szCs w:val="15"/>
                <w:color w:val="auto"/>
              </w:rPr>
            </w:pPr>
          </w:p>
        </w:tc>
        <w:tc>
          <w:tcPr>
            <w:tcW w:w="7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(42.94)</w:t>
            </w:r>
          </w:p>
        </w:tc>
        <w:tc>
          <w:tcPr>
            <w:tcW w:w="24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(37.62)</w:t>
            </w:r>
          </w:p>
        </w:tc>
        <w:tc>
          <w:tcPr>
            <w:tcW w:w="160" w:type="dxa"/>
            <w:vAlign w:val="bottom"/>
          </w:tcPr>
          <w:p>
            <w:pPr>
              <w:spacing w:after="0"/>
              <w:rPr>
                <w:sz w:val="15"/>
                <w:szCs w:val="15"/>
                <w:color w:val="auto"/>
              </w:rPr>
            </w:pPr>
          </w:p>
        </w:tc>
      </w:tr>
      <w:tr>
        <w:trPr>
          <w:trHeight w:val="176"/>
        </w:trPr>
        <w:tc>
          <w:tcPr>
            <w:tcW w:w="652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Effective income tax rate</w:t>
            </w:r>
          </w:p>
        </w:tc>
        <w:tc>
          <w:tcPr>
            <w:tcW w:w="6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(0.03)</w:t>
            </w:r>
          </w:p>
        </w:tc>
        <w:tc>
          <w:tcPr>
            <w:tcW w:w="18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w:t>
            </w:r>
          </w:p>
        </w:tc>
        <w:tc>
          <w:tcPr>
            <w:tcW w:w="6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w:t>
            </w:r>
          </w:p>
        </w:tc>
      </w:tr>
    </w:tbl>
    <w:p>
      <w:pPr>
        <w:spacing w:after="0" w:line="148" w:lineRule="exact"/>
        <w:rPr>
          <w:sz w:val="20"/>
          <w:szCs w:val="20"/>
          <w:color w:val="auto"/>
        </w:rPr>
      </w:pPr>
    </w:p>
    <w:p>
      <w:pPr>
        <w:ind w:right="320" w:firstLine="648"/>
        <w:spacing w:after="0" w:line="235" w:lineRule="auto"/>
        <w:rPr>
          <w:sz w:val="20"/>
          <w:szCs w:val="20"/>
          <w:color w:val="auto"/>
        </w:rPr>
      </w:pPr>
      <w:r>
        <w:rPr>
          <w:rFonts w:ascii="Arial" w:cs="Arial" w:eastAsia="Arial" w:hAnsi="Arial"/>
          <w:sz w:val="18"/>
          <w:szCs w:val="18"/>
          <w:color w:val="auto"/>
        </w:rPr>
        <w:t>The Company had net losses in all periods presented and therefore has not recognized any federal or state income tax expense.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deferred tax assets and liabilities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1"/>
        </w:trPr>
        <w:tc>
          <w:tcPr>
            <w:tcW w:w="4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0"/>
              </w:rPr>
              <w:t>December 31,</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49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r>
      <w:tr>
        <w:trPr>
          <w:trHeight w:val="169"/>
        </w:trPr>
        <w:tc>
          <w:tcPr>
            <w:tcW w:w="49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Deferred tax assets:</w:t>
            </w:r>
          </w:p>
        </w:tc>
        <w:tc>
          <w:tcPr>
            <w:tcW w:w="1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76"/>
        </w:trPr>
        <w:tc>
          <w:tcPr>
            <w:tcW w:w="4920" w:type="dxa"/>
            <w:vAlign w:val="bottom"/>
          </w:tcPr>
          <w:p>
            <w:pPr>
              <w:ind w:left="220"/>
              <w:spacing w:after="0" w:line="176" w:lineRule="exact"/>
              <w:rPr>
                <w:sz w:val="20"/>
                <w:szCs w:val="20"/>
                <w:color w:val="auto"/>
              </w:rPr>
            </w:pPr>
            <w:r>
              <w:rPr>
                <w:rFonts w:ascii="Arial" w:cs="Arial" w:eastAsia="Arial" w:hAnsi="Arial"/>
                <w:sz w:val="18"/>
                <w:szCs w:val="18"/>
                <w:color w:val="auto"/>
              </w:rPr>
              <w:t>Net operating loss carryforwards</w:t>
            </w:r>
          </w:p>
        </w:tc>
        <w:tc>
          <w:tcPr>
            <w:tcW w:w="142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78,829</w:t>
            </w:r>
          </w:p>
        </w:tc>
        <w:tc>
          <w:tcPr>
            <w:tcW w:w="36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69,443</w:t>
            </w:r>
          </w:p>
        </w:tc>
        <w:tc>
          <w:tcPr>
            <w:tcW w:w="20" w:type="dxa"/>
            <w:vAlign w:val="bottom"/>
          </w:tcPr>
          <w:p>
            <w:pPr>
              <w:spacing w:after="0"/>
              <w:rPr>
                <w:sz w:val="15"/>
                <w:szCs w:val="15"/>
                <w:color w:val="auto"/>
              </w:rPr>
            </w:pPr>
          </w:p>
        </w:tc>
        <w:tc>
          <w:tcPr>
            <w:tcW w:w="220" w:type="dxa"/>
            <w:vAlign w:val="bottom"/>
            <w:gridSpan w:val="2"/>
          </w:tcPr>
          <w:p>
            <w:pPr>
              <w:jc w:val="right"/>
              <w:ind w:right="10"/>
              <w:spacing w:after="0" w:line="176" w:lineRule="exact"/>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48,291</w:t>
            </w:r>
          </w:p>
        </w:tc>
        <w:tc>
          <w:tcPr>
            <w:tcW w:w="60" w:type="dxa"/>
            <w:vAlign w:val="bottom"/>
          </w:tcPr>
          <w:p>
            <w:pPr>
              <w:spacing w:after="0"/>
              <w:rPr>
                <w:sz w:val="15"/>
                <w:szCs w:val="15"/>
                <w:color w:val="auto"/>
              </w:rPr>
            </w:pPr>
          </w:p>
        </w:tc>
      </w:tr>
      <w:tr>
        <w:trPr>
          <w:trHeight w:val="176"/>
        </w:trPr>
        <w:tc>
          <w:tcPr>
            <w:tcW w:w="49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Research and development credit carryforwards</w:t>
            </w:r>
          </w:p>
        </w:tc>
        <w:tc>
          <w:tcPr>
            <w:tcW w:w="1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5,950</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3,833</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2,829</w:t>
            </w:r>
          </w:p>
        </w:tc>
        <w:tc>
          <w:tcPr>
            <w:tcW w:w="60" w:type="dxa"/>
            <w:vAlign w:val="bottom"/>
            <w:shd w:val="clear" w:color="auto" w:fill="CCEEFF"/>
          </w:tcPr>
          <w:p>
            <w:pPr>
              <w:spacing w:after="0"/>
              <w:rPr>
                <w:sz w:val="15"/>
                <w:szCs w:val="15"/>
                <w:color w:val="auto"/>
              </w:rPr>
            </w:pPr>
          </w:p>
        </w:tc>
      </w:tr>
      <w:tr>
        <w:trPr>
          <w:trHeight w:val="176"/>
        </w:trPr>
        <w:tc>
          <w:tcPr>
            <w:tcW w:w="4920" w:type="dxa"/>
            <w:vAlign w:val="bottom"/>
          </w:tcPr>
          <w:p>
            <w:pPr>
              <w:ind w:left="220"/>
              <w:spacing w:after="0" w:line="176" w:lineRule="exact"/>
              <w:rPr>
                <w:sz w:val="20"/>
                <w:szCs w:val="20"/>
                <w:color w:val="auto"/>
              </w:rPr>
            </w:pPr>
            <w:r>
              <w:rPr>
                <w:rFonts w:ascii="Arial" w:cs="Arial" w:eastAsia="Arial" w:hAnsi="Arial"/>
                <w:sz w:val="18"/>
                <w:szCs w:val="18"/>
                <w:color w:val="auto"/>
              </w:rPr>
              <w:t>Orphan drug credit carryforwards</w:t>
            </w: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14,574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5,095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289</w:t>
            </w:r>
          </w:p>
        </w:tc>
        <w:tc>
          <w:tcPr>
            <w:tcW w:w="60" w:type="dxa"/>
            <w:vAlign w:val="bottom"/>
          </w:tcPr>
          <w:p>
            <w:pPr>
              <w:spacing w:after="0"/>
              <w:rPr>
                <w:sz w:val="15"/>
                <w:szCs w:val="15"/>
                <w:color w:val="auto"/>
              </w:rPr>
            </w:pPr>
          </w:p>
        </w:tc>
      </w:tr>
      <w:tr>
        <w:trPr>
          <w:trHeight w:val="176"/>
        </w:trPr>
        <w:tc>
          <w:tcPr>
            <w:tcW w:w="49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Accrued expenses and other</w:t>
            </w:r>
          </w:p>
        </w:tc>
        <w:tc>
          <w:tcPr>
            <w:tcW w:w="1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4,660</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2,914</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1,374</w:t>
            </w:r>
          </w:p>
        </w:tc>
        <w:tc>
          <w:tcPr>
            <w:tcW w:w="60" w:type="dxa"/>
            <w:vAlign w:val="bottom"/>
            <w:shd w:val="clear" w:color="auto" w:fill="CCEEFF"/>
          </w:tcPr>
          <w:p>
            <w:pPr>
              <w:spacing w:after="0"/>
              <w:rPr>
                <w:sz w:val="15"/>
                <w:szCs w:val="15"/>
                <w:color w:val="auto"/>
              </w:rPr>
            </w:pPr>
          </w:p>
        </w:tc>
      </w:tr>
      <w:tr>
        <w:trPr>
          <w:trHeight w:val="176"/>
        </w:trPr>
        <w:tc>
          <w:tcPr>
            <w:tcW w:w="4920" w:type="dxa"/>
            <w:vAlign w:val="bottom"/>
          </w:tcPr>
          <w:p>
            <w:pPr>
              <w:ind w:left="220"/>
              <w:spacing w:after="0" w:line="176" w:lineRule="exact"/>
              <w:rPr>
                <w:sz w:val="20"/>
                <w:szCs w:val="20"/>
                <w:color w:val="auto"/>
              </w:rPr>
            </w:pPr>
            <w:r>
              <w:rPr>
                <w:rFonts w:ascii="Arial" w:cs="Arial" w:eastAsia="Arial" w:hAnsi="Arial"/>
                <w:sz w:val="18"/>
                <w:szCs w:val="18"/>
                <w:color w:val="auto"/>
              </w:rPr>
              <w:t>Deferred revenue</w:t>
            </w: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9,664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2,627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w:t>
            </w:r>
          </w:p>
        </w:tc>
      </w:tr>
      <w:tr>
        <w:trPr>
          <w:trHeight w:val="176"/>
        </w:trPr>
        <w:tc>
          <w:tcPr>
            <w:tcW w:w="49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Deferred lease incentive</w:t>
            </w:r>
          </w:p>
        </w:tc>
        <w:tc>
          <w:tcPr>
            <w:tcW w:w="1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4,462</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1,324</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1,551</w:t>
            </w:r>
          </w:p>
        </w:tc>
        <w:tc>
          <w:tcPr>
            <w:tcW w:w="60" w:type="dxa"/>
            <w:vAlign w:val="bottom"/>
            <w:shd w:val="clear" w:color="auto" w:fill="CCEEFF"/>
          </w:tcPr>
          <w:p>
            <w:pPr>
              <w:spacing w:after="0"/>
              <w:rPr>
                <w:sz w:val="15"/>
                <w:szCs w:val="15"/>
                <w:color w:val="auto"/>
              </w:rPr>
            </w:pPr>
          </w:p>
        </w:tc>
      </w:tr>
      <w:tr>
        <w:trPr>
          <w:trHeight w:val="176"/>
        </w:trPr>
        <w:tc>
          <w:tcPr>
            <w:tcW w:w="492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Deferred rent</w:t>
            </w:r>
          </w:p>
        </w:tc>
        <w:tc>
          <w:tcPr>
            <w:tcW w:w="1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1,142</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366</w:t>
            </w: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331</w:t>
            </w:r>
          </w:p>
        </w:tc>
        <w:tc>
          <w:tcPr>
            <w:tcW w:w="60" w:type="dxa"/>
            <w:vAlign w:val="bottom"/>
            <w:tcBorders>
              <w:bottom w:val="single" w:sz="8" w:color="CCEEFF"/>
            </w:tcBorders>
          </w:tcPr>
          <w:p>
            <w:pPr>
              <w:spacing w:after="0"/>
              <w:rPr>
                <w:sz w:val="15"/>
                <w:szCs w:val="15"/>
                <w:color w:val="auto"/>
              </w:rPr>
            </w:pPr>
          </w:p>
        </w:tc>
      </w:tr>
      <w:tr>
        <w:trPr>
          <w:trHeight w:val="169"/>
        </w:trPr>
        <w:tc>
          <w:tcPr>
            <w:tcW w:w="49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gross deferred tax asset</w:t>
            </w:r>
          </w:p>
        </w:tc>
        <w:tc>
          <w:tcPr>
            <w:tcW w:w="1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119,281</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85,602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54,665</w:t>
            </w:r>
          </w:p>
        </w:tc>
        <w:tc>
          <w:tcPr>
            <w:tcW w:w="60" w:type="dxa"/>
            <w:vAlign w:val="bottom"/>
            <w:shd w:val="clear" w:color="auto" w:fill="CCEEFF"/>
          </w:tcPr>
          <w:p>
            <w:pPr>
              <w:spacing w:after="0"/>
              <w:rPr>
                <w:sz w:val="14"/>
                <w:szCs w:val="14"/>
                <w:color w:val="auto"/>
              </w:rPr>
            </w:pPr>
          </w:p>
        </w:tc>
      </w:tr>
      <w:tr>
        <w:trPr>
          <w:trHeight w:val="176"/>
        </w:trPr>
        <w:tc>
          <w:tcPr>
            <w:tcW w:w="4920" w:type="dxa"/>
            <w:vAlign w:val="bottom"/>
          </w:tcPr>
          <w:p>
            <w:pPr>
              <w:spacing w:after="0" w:line="176" w:lineRule="exact"/>
              <w:rPr>
                <w:sz w:val="20"/>
                <w:szCs w:val="20"/>
                <w:color w:val="auto"/>
              </w:rPr>
            </w:pPr>
            <w:r>
              <w:rPr>
                <w:rFonts w:ascii="Arial" w:cs="Arial" w:eastAsia="Arial" w:hAnsi="Arial"/>
                <w:sz w:val="18"/>
                <w:szCs w:val="18"/>
                <w:color w:val="auto"/>
              </w:rPr>
              <w:t>Deferred tax liability</w:t>
            </w: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(4,801)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(1,535)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(1,702)</w:t>
            </w:r>
          </w:p>
        </w:tc>
        <w:tc>
          <w:tcPr>
            <w:tcW w:w="60" w:type="dxa"/>
            <w:vAlign w:val="bottom"/>
          </w:tcPr>
          <w:p>
            <w:pPr>
              <w:spacing w:after="0"/>
              <w:rPr>
                <w:sz w:val="15"/>
                <w:szCs w:val="15"/>
                <w:color w:val="auto"/>
              </w:rPr>
            </w:pPr>
          </w:p>
        </w:tc>
      </w:tr>
      <w:tr>
        <w:trPr>
          <w:trHeight w:val="176"/>
        </w:trPr>
        <w:tc>
          <w:tcPr>
            <w:tcW w:w="4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Debt discount</w:t>
            </w:r>
          </w:p>
        </w:tc>
        <w:tc>
          <w:tcPr>
            <w:tcW w:w="1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5"/>
                <w:szCs w:val="15"/>
                <w:color w:val="auto"/>
              </w:rPr>
            </w:pPr>
          </w:p>
        </w:tc>
      </w:tr>
      <w:tr>
        <w:trPr>
          <w:trHeight w:val="176"/>
        </w:trPr>
        <w:tc>
          <w:tcPr>
            <w:tcW w:w="4920" w:type="dxa"/>
            <w:vAlign w:val="bottom"/>
          </w:tcPr>
          <w:p>
            <w:pPr>
              <w:spacing w:after="0" w:line="176" w:lineRule="exact"/>
              <w:rPr>
                <w:sz w:val="20"/>
                <w:szCs w:val="20"/>
                <w:color w:val="auto"/>
              </w:rPr>
            </w:pPr>
            <w:r>
              <w:rPr>
                <w:rFonts w:ascii="Arial" w:cs="Arial" w:eastAsia="Arial" w:hAnsi="Arial"/>
                <w:sz w:val="18"/>
                <w:szCs w:val="18"/>
                <w:color w:val="auto"/>
              </w:rPr>
              <w:t>Valuation allowance</w:t>
            </w: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w w:val="95"/>
              </w:rPr>
              <w:t>(114,478)</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w w:val="98"/>
              </w:rPr>
              <w:t>(84,053)</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(52,924)</w:t>
            </w:r>
          </w:p>
        </w:tc>
        <w:tc>
          <w:tcPr>
            <w:tcW w:w="60" w:type="dxa"/>
            <w:vAlign w:val="bottom"/>
          </w:tcPr>
          <w:p>
            <w:pPr>
              <w:spacing w:after="0"/>
              <w:rPr>
                <w:sz w:val="15"/>
                <w:szCs w:val="15"/>
                <w:color w:val="auto"/>
              </w:rPr>
            </w:pPr>
          </w:p>
        </w:tc>
      </w:tr>
      <w:tr>
        <w:trPr>
          <w:trHeight w:val="176"/>
        </w:trPr>
        <w:tc>
          <w:tcPr>
            <w:tcW w:w="492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deferred tax asset</w:t>
            </w: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r>
    </w:tbl>
    <w:p>
      <w:pPr>
        <w:spacing w:after="0" w:line="148" w:lineRule="exact"/>
        <w:rPr>
          <w:sz w:val="20"/>
          <w:szCs w:val="20"/>
          <w:color w:val="auto"/>
        </w:rPr>
      </w:pPr>
    </w:p>
    <w:p>
      <w:pPr>
        <w:ind w:right="300" w:firstLine="648"/>
        <w:spacing w:after="0" w:line="239" w:lineRule="auto"/>
        <w:rPr>
          <w:sz w:val="20"/>
          <w:szCs w:val="20"/>
          <w:color w:val="auto"/>
        </w:rPr>
      </w:pPr>
      <w:r>
        <w:rPr>
          <w:rFonts w:ascii="Arial" w:cs="Arial" w:eastAsia="Arial" w:hAnsi="Arial"/>
          <w:sz w:val="16"/>
          <w:szCs w:val="16"/>
          <w:color w:val="auto"/>
        </w:rPr>
        <w:t>Management has evaluated the positive and negative evidence bearing upon the realizability of its deferred tax assets, and has determined that it is more likely than not that the Company will not recognize the benefits of its federal and state deferred tax assets, and as a result, a valuation allowance of $114.5 million, $84.1 million and $52.9 million has been established at December 31, 2017, 2016 and 2015, respectively. The change in the valuation allowance was $30.4 million, $31.1 million and $19.8 million for the years ended December 31, 2017, 2016 and 2015, respectively. The Company has incurred net operating losses (NOL) since inception. At December 31, 2017, the Company had federal and state NOL carryforwards of $288.6 million and $288.5 million, respectively, which expire beginning in 2030. As of</w:t>
      </w:r>
    </w:p>
    <w:p>
      <w:pPr>
        <w:spacing w:after="0" w:line="16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40"/>
          </w:cols>
          <w:pgMar w:left="1420" w:top="111" w:right="1339" w:bottom="1440" w:gutter="0" w:footer="0" w:header="0"/>
        </w:sectPr>
      </w:pPr>
    </w:p>
    <w:bookmarkStart w:id="136" w:name="page137"/>
    <w:bookmarkEnd w:id="1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jc w:val="both"/>
        <w:ind w:right="160"/>
        <w:spacing w:after="0" w:line="219" w:lineRule="auto"/>
        <w:rPr>
          <w:sz w:val="20"/>
          <w:szCs w:val="20"/>
          <w:color w:val="auto"/>
        </w:rPr>
      </w:pPr>
      <w:r>
        <w:rPr>
          <w:rFonts w:ascii="Arial" w:cs="Arial" w:eastAsia="Arial" w:hAnsi="Arial"/>
          <w:sz w:val="18"/>
          <w:szCs w:val="18"/>
          <w:color w:val="auto"/>
        </w:rPr>
        <w:t>December 31, 2017, the Company had federal and state research and development tax credit carryforwards of $4.2 million and $2.1 million, respectively, which expire beginning in 2025. As of December 31, 2017, the Company had federal orphan drug credits of $14.6 million, which expire beginning in 2035 and state investment tax credits of $0.1 million, which expire beginning in 2018.</w:t>
      </w:r>
    </w:p>
    <w:p>
      <w:pPr>
        <w:spacing w:after="0" w:line="163" w:lineRule="exact"/>
        <w:rPr>
          <w:sz w:val="20"/>
          <w:szCs w:val="20"/>
          <w:color w:val="auto"/>
        </w:rPr>
      </w:pPr>
    </w:p>
    <w:p>
      <w:pPr>
        <w:ind w:right="160" w:firstLine="648"/>
        <w:spacing w:after="0" w:line="236" w:lineRule="auto"/>
        <w:rPr>
          <w:sz w:val="20"/>
          <w:szCs w:val="20"/>
          <w:color w:val="auto"/>
        </w:rPr>
      </w:pPr>
      <w:r>
        <w:rPr>
          <w:rFonts w:ascii="Arial" w:cs="Arial" w:eastAsia="Arial" w:hAnsi="Arial"/>
          <w:sz w:val="16"/>
          <w:szCs w:val="16"/>
          <w:color w:val="auto"/>
        </w:rPr>
        <w:t>The Internal Revenue Code of 1986, as amended (the Code), provides for a limitation of the annual use of net operating losses and other tax attributes (such as research and development tax credit carryforwards) following certain ownership changes (as defined by the Code) that could limit the Company’s ability to utilize these carryforwards. At this time, the Company has not completed a study to assess whether an ownership change under Section 382 of the Code has occurred, or whether there have been multiple ownership changes since the Company’s formation. The Company may have experienced ownership changes, as defined by the Code, as a result of past financing transactions. Accordingly, the Company’s ability to utilize the aforementioned carryforwards may be limited. In addition, U.S. tax laws limit the time during which these carryforwards may be applied against future taxes. Therefore, the Company may not be able to take full advantage of these carryforwards for federal or state income tax purposes.</w:t>
      </w:r>
    </w:p>
    <w:p>
      <w:pPr>
        <w:spacing w:after="0" w:line="168"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Interest and penalty charges, if any, related to unrecognized tax benefits would be classified as income tax expense in the accompanying statements of operations and comprehensive loss. As of December 31, 2017 and 2016, the Company has no accrued interest related to uncertain tax positions. In many cases, the Company’s uncertain tax positions are related to years that remain subject to examination by relevant tax authorities. Since the Company is in a loss carryforward position, it is generally subject to examination by the U.S. federal, state, and local income tax authorities for all tax years in which a loss carryforward is available.</w:t>
      </w:r>
    </w:p>
    <w:p>
      <w:pPr>
        <w:spacing w:after="0" w:line="162" w:lineRule="exact"/>
        <w:rPr>
          <w:sz w:val="20"/>
          <w:szCs w:val="20"/>
          <w:color w:val="auto"/>
        </w:rPr>
      </w:pPr>
    </w:p>
    <w:p>
      <w:pPr>
        <w:ind w:right="100" w:firstLine="648"/>
        <w:spacing w:after="0" w:line="212" w:lineRule="auto"/>
        <w:rPr>
          <w:sz w:val="20"/>
          <w:szCs w:val="20"/>
          <w:color w:val="auto"/>
        </w:rPr>
      </w:pPr>
      <w:r>
        <w:rPr>
          <w:rFonts w:ascii="Arial" w:cs="Arial" w:eastAsia="Arial" w:hAnsi="Arial"/>
          <w:sz w:val="18"/>
          <w:szCs w:val="18"/>
          <w:color w:val="auto"/>
        </w:rPr>
        <w:t>For all years through December 31, 2017, the Company generated research credits but has not completed a study to document the qualified activities.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Thus, there would be no impact to the balance sheets or statements of operations and comprehensive loss if an adjustment were required.</w:t>
      </w:r>
    </w:p>
    <w:p>
      <w:pPr>
        <w:spacing w:after="0" w:line="165" w:lineRule="exact"/>
        <w:rPr>
          <w:sz w:val="20"/>
          <w:szCs w:val="20"/>
          <w:color w:val="auto"/>
        </w:rPr>
      </w:pPr>
    </w:p>
    <w:p>
      <w:pPr>
        <w:ind w:right="100" w:firstLine="648"/>
        <w:spacing w:after="0" w:line="225" w:lineRule="auto"/>
        <w:rPr>
          <w:sz w:val="20"/>
          <w:szCs w:val="20"/>
          <w:color w:val="auto"/>
        </w:rPr>
      </w:pPr>
      <w:r>
        <w:rPr>
          <w:rFonts w:ascii="Arial" w:cs="Arial" w:eastAsia="Arial" w:hAnsi="Arial"/>
          <w:sz w:val="17"/>
          <w:szCs w:val="17"/>
          <w:color w:val="auto"/>
        </w:rPr>
        <w:t>On December 22, 2017, H.R.1, known as the Tax Cuts and Jobs Act, was enacted. This new law did not have a significant impact on the Company’s consolidated financial statements for the year ended December 31, 2017 because it maintains a valuation allowance on the majority of its net operating losses and other deferred tax assets. However, the reduction of the U.S. federal corporate tax rate from 35% to 21% resulted in increases to the amounts reflected in “Deferred rate change” in the Company’s tax reconciliation table above for the year ended December 31, 2017 compared to the years ended December 31, 2016 and 2015. The change in the U.S. federal corporate tax rate, which is effective January 1, 2018, is also reflected in the Company’s deferred tax table above.</w:t>
      </w:r>
    </w:p>
    <w:p>
      <w:pPr>
        <w:spacing w:after="0" w:line="122"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On December 22, 2017, the SEC staff issued SAB 118 to address the application of GAAP in situations when a registrant does not have the necessary information available, prepared, or analyzed (including computations) in reasonable detail to complete the accounting for certain income tax effects of H.R.1. The Company has recognized the provisional tax impacts related to the revaluation of deferred tax assets and liabilities and included these amounts in its consolidated financial statements for the year ended December 31, 2017. The ultimate impact may differ from these provisional amounts, possibly materially, due to, among other things, additional analysis, changes in interpretations and assumptions the Company has made, additional regulatory guidance that may be issued, and actions the Company may take as a result of H.R.1. The Company will complete the accounting treatment for H.R.1 by December 22, 2018, which is one year from enactment date of H.R.1.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w:t>
      </w:r>
    </w:p>
    <w:p>
      <w:pPr>
        <w:spacing w:after="0" w:line="189"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On February 12, 2015, the Company entered into a lease for approximately 38,500 rentable square feet of office and laboratory space in Cambridge, Massachusetts, which the Company gained control over on June 15, 2015, and occupancy commenced in October 2015. The lease ends on October 31, 2022. The Company has an option to extend the lease for five additional years. The lease has a total commitment of $17.8 million over the seven year term. The Company has agreed to pay an initial annual base rent of approximately $2.3 million, which rises periodically until it reaches approximately $2.8 million. The Company is recording rent expense on a straight-line basis through the end of the lease term. The Company has recorded deferred rent on the consolidated balance sheet at December 31, 2017,</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37" w:name="page138"/>
    <w:bookmarkEnd w:id="1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20"/>
        <w:spacing w:after="0" w:line="216" w:lineRule="auto"/>
        <w:rPr>
          <w:sz w:val="20"/>
          <w:szCs w:val="20"/>
          <w:color w:val="auto"/>
        </w:rPr>
      </w:pPr>
      <w:r>
        <w:rPr>
          <w:rFonts w:ascii="Arial" w:cs="Arial" w:eastAsia="Arial" w:hAnsi="Arial"/>
          <w:sz w:val="18"/>
          <w:szCs w:val="18"/>
          <w:color w:val="auto"/>
        </w:rPr>
        <w:t>accordingly. The lease provides the Company with an allowance for leasehold improvements of $4.3 million. The Company accounts for leasehold improvement incentives as a reduction to rent expense ratably over the lease term. The balance from the leasehold improvement incentives is included in lease incentive obligations on the balance sheet. The lease agreement required the Company to pay a security deposit of $1.3 million, which is recorded in restricted cash on the Company’s balance sheet.</w:t>
      </w:r>
    </w:p>
    <w:p>
      <w:pPr>
        <w:spacing w:after="0" w:line="162" w:lineRule="exact"/>
        <w:rPr>
          <w:sz w:val="20"/>
          <w:szCs w:val="20"/>
          <w:color w:val="auto"/>
        </w:rPr>
      </w:pPr>
    </w:p>
    <w:p>
      <w:pPr>
        <w:ind w:right="60" w:firstLine="648"/>
        <w:spacing w:after="0" w:line="234" w:lineRule="auto"/>
        <w:rPr>
          <w:sz w:val="20"/>
          <w:szCs w:val="20"/>
          <w:color w:val="auto"/>
        </w:rPr>
      </w:pPr>
      <w:r>
        <w:rPr>
          <w:rFonts w:ascii="Arial" w:cs="Arial" w:eastAsia="Arial" w:hAnsi="Arial"/>
          <w:sz w:val="16"/>
          <w:szCs w:val="16"/>
          <w:color w:val="auto"/>
        </w:rPr>
        <w:t>On April 28, 2017, the Company entered into a lease agreement for approximately 99,833 rentable square feet of office and laboratory space located at 45 Sidney Street in Cambridge, Massachusetts. The initial term of the lease agreement commenced on October 1, 2017 and will expire on November 30, 2029. The lease agreement also provides the Company with an option to extend the lease agreement for two consecutive five-year periods at the then fair market annual rent, as defined in the lease agreement, as well as a right of first offer with respect to leasing additional space adjacent to the existing leased premises. During the initial term of the lease agreement, the Company has agreed to pay an initial annual base rent of approximately $7.7 million, which rises periodically until it reaches approximately $10.6 million in the last year of the initial term. The Company is recording rent expense on a straight-line basis through the end of the lease term. The Company has recorded deferred rent on the consolidated balance sheet at December 31, 2017 accordingly. The landlord has also agreed to provide the Company with a tenant improvement allowance of approximately $14.2 million for improvements to be made to the premises. The Company accounts for leasehold improvement incentives as a reduction to rent expense ratably over the lease term. The lease agreements required the Company to pay a security deposit of $3.5 million, which is recorded in restricted cash on the Company’s balance sheet.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540" w:type="dxa"/>
            <w:vAlign w:val="bottom"/>
          </w:tcPr>
          <w:p>
            <w:pPr>
              <w:ind w:left="640"/>
              <w:spacing w:after="0"/>
              <w:rPr>
                <w:sz w:val="20"/>
                <w:szCs w:val="20"/>
                <w:color w:val="auto"/>
              </w:rPr>
            </w:pPr>
            <w:r>
              <w:rPr>
                <w:rFonts w:ascii="Arial" w:cs="Arial" w:eastAsia="Arial" w:hAnsi="Arial"/>
                <w:sz w:val="18"/>
                <w:szCs w:val="18"/>
                <w:color w:val="auto"/>
                <w:w w:val="95"/>
              </w:rPr>
              <w:t>The future minimum lease payments at December 31, 2017, are as follows (in thousands):</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54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2018</w:t>
            </w:r>
          </w:p>
        </w:tc>
        <w:tc>
          <w:tcPr>
            <w:tcW w:w="13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10,174</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40" w:type="dxa"/>
            <w:vAlign w:val="bottom"/>
          </w:tcPr>
          <w:p>
            <w:pPr>
              <w:ind w:left="100"/>
              <w:spacing w:after="0" w:line="189" w:lineRule="exact"/>
              <w:rPr>
                <w:sz w:val="20"/>
                <w:szCs w:val="20"/>
                <w:color w:val="auto"/>
              </w:rPr>
            </w:pPr>
            <w:r>
              <w:rPr>
                <w:rFonts w:ascii="Arial" w:cs="Arial" w:eastAsia="Arial" w:hAnsi="Arial"/>
                <w:sz w:val="18"/>
                <w:szCs w:val="18"/>
                <w:color w:val="auto"/>
              </w:rPr>
              <w:t>2019</w:t>
            </w:r>
          </w:p>
        </w:tc>
        <w:tc>
          <w:tcPr>
            <w:tcW w:w="13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10,479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4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2020</w:t>
            </w:r>
          </w:p>
        </w:tc>
        <w:tc>
          <w:tcPr>
            <w:tcW w:w="13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10,794</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40" w:type="dxa"/>
            <w:vAlign w:val="bottom"/>
          </w:tcPr>
          <w:p>
            <w:pPr>
              <w:ind w:left="100"/>
              <w:spacing w:after="0" w:line="189" w:lineRule="exact"/>
              <w:rPr>
                <w:sz w:val="20"/>
                <w:szCs w:val="20"/>
                <w:color w:val="auto"/>
              </w:rPr>
            </w:pPr>
            <w:r>
              <w:rPr>
                <w:rFonts w:ascii="Arial" w:cs="Arial" w:eastAsia="Arial" w:hAnsi="Arial"/>
                <w:sz w:val="18"/>
                <w:szCs w:val="18"/>
                <w:color w:val="auto"/>
              </w:rPr>
              <w:t>2021</w:t>
            </w:r>
          </w:p>
        </w:tc>
        <w:tc>
          <w:tcPr>
            <w:tcW w:w="13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11,118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4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2022</w:t>
            </w:r>
          </w:p>
        </w:tc>
        <w:tc>
          <w:tcPr>
            <w:tcW w:w="13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10,977</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40" w:type="dxa"/>
            <w:vAlign w:val="bottom"/>
          </w:tcPr>
          <w:p>
            <w:pPr>
              <w:ind w:left="100"/>
              <w:spacing w:after="0" w:line="189" w:lineRule="exact"/>
              <w:rPr>
                <w:sz w:val="20"/>
                <w:szCs w:val="20"/>
                <w:color w:val="auto"/>
              </w:rPr>
            </w:pPr>
            <w:r>
              <w:rPr>
                <w:rFonts w:ascii="Arial" w:cs="Arial" w:eastAsia="Arial" w:hAnsi="Arial"/>
                <w:sz w:val="18"/>
                <w:szCs w:val="18"/>
                <w:color w:val="auto"/>
              </w:rPr>
              <w:t>Thereafter</w:t>
            </w:r>
          </w:p>
        </w:tc>
        <w:tc>
          <w:tcPr>
            <w:tcW w:w="13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67,541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54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minimum lease payments</w:t>
            </w: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  121,083</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760" w:firstLine="648"/>
        <w:spacing w:after="0" w:line="324" w:lineRule="auto"/>
        <w:rPr>
          <w:sz w:val="20"/>
          <w:szCs w:val="20"/>
          <w:color w:val="auto"/>
        </w:rPr>
      </w:pPr>
      <w:r>
        <w:rPr>
          <w:rFonts w:ascii="Arial" w:cs="Arial" w:eastAsia="Arial" w:hAnsi="Arial"/>
          <w:sz w:val="15"/>
          <w:szCs w:val="15"/>
          <w:color w:val="auto"/>
        </w:rPr>
        <w:t>The Company records rent expense under its lease agreements on a straight line basis. For the years ended December 31, 2017, 2016, and 2015, rent expense was $6.3 million, $1.8 million, and $1.8 million, respectively.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Defined Contribution Benefit Plan</w:t>
      </w:r>
    </w:p>
    <w:p>
      <w:pPr>
        <w:spacing w:after="0" w:line="189"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The Company maintains a 401(k) plan for employees (the 401(k) Plan). The 401(k) Plan is intended to qualify under Section 401(k) of the Internal Revenue Service Code of 1986, as amended, so that contributions to the 401(k) Plan by employees or by the Company, and the investment earnings thereon, are not taxable to the employees until withdrawn from the 401(k) Plan, and so that contributions by the Company, if any, will be deductible by the Company when made. Under the 401(k) Plan, employees may elect to reduce their current compensation by up to the statutorily prescribed annual limit and to have the amount of such reduction contributed to the 401(k) Plan. The 401(k) Plan permits the Company to make contributions up to the limits allowed by law on behalf of all eligible employees. Effective September 1, 2015, the Company instituted an employer match of 50% of eligible contributions up to 6% of employee contributions. For the years ended December 31, 2017, 2016 and 2015, the Company contributed $0.5 million, $0.4 million and $0.1 million, respectively, to the 401(k) Plan.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Selected Quarterly Financial Data (unaudited)</w:t>
      </w:r>
    </w:p>
    <w:p>
      <w:pPr>
        <w:spacing w:after="0" w:line="189" w:lineRule="exact"/>
        <w:rPr>
          <w:sz w:val="20"/>
          <w:szCs w:val="20"/>
          <w:color w:val="auto"/>
        </w:rPr>
      </w:pPr>
    </w:p>
    <w:p>
      <w:pPr>
        <w:ind w:right="20" w:firstLine="648"/>
        <w:spacing w:after="0" w:line="258" w:lineRule="auto"/>
        <w:rPr>
          <w:sz w:val="20"/>
          <w:szCs w:val="20"/>
          <w:color w:val="auto"/>
        </w:rPr>
      </w:pPr>
      <w:r>
        <w:rPr>
          <w:rFonts w:ascii="Arial" w:cs="Arial" w:eastAsia="Arial" w:hAnsi="Arial"/>
          <w:sz w:val="17"/>
          <w:szCs w:val="17"/>
          <w:color w:val="auto"/>
        </w:rPr>
        <w:t>The following table contains selected quarterly financial information for 2017 and 2016. The Company believes that the following information reflects all normal recurring adjustments necessary for a fair statement of the information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38" w:name="page139"/>
    <w:bookmarkEnd w:id="1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for the periods presented. The operating results for any quarter are not necessarily indicative of results for any future period.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33"/>
              <w:spacing w:after="0" w:line="160" w:lineRule="exact"/>
              <w:rPr>
                <w:sz w:val="20"/>
                <w:szCs w:val="20"/>
                <w:color w:val="auto"/>
              </w:rPr>
            </w:pPr>
            <w:r>
              <w:rPr>
                <w:rFonts w:ascii="Arial" w:cs="Arial" w:eastAsia="Arial" w:hAnsi="Arial"/>
                <w:sz w:val="14"/>
                <w:szCs w:val="14"/>
                <w:b w:val="1"/>
                <w:bCs w:val="1"/>
                <w:color w:val="auto"/>
              </w:rPr>
              <w:t>March 31, 2017</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ind w:right="117"/>
              <w:spacing w:after="0" w:line="160" w:lineRule="exact"/>
              <w:rPr>
                <w:sz w:val="20"/>
                <w:szCs w:val="20"/>
                <w:color w:val="auto"/>
              </w:rPr>
            </w:pPr>
            <w:r>
              <w:rPr>
                <w:rFonts w:ascii="Arial" w:cs="Arial" w:eastAsia="Arial" w:hAnsi="Arial"/>
                <w:sz w:val="14"/>
                <w:szCs w:val="14"/>
                <w:b w:val="1"/>
                <w:bCs w:val="1"/>
                <w:color w:val="auto"/>
              </w:rPr>
              <w:t>June 30, 2017</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right"/>
              <w:spacing w:after="0" w:line="160" w:lineRule="exact"/>
              <w:rPr>
                <w:sz w:val="20"/>
                <w:szCs w:val="20"/>
                <w:color w:val="auto"/>
              </w:rPr>
            </w:pPr>
            <w:r>
              <w:rPr>
                <w:rFonts w:ascii="Arial" w:cs="Arial" w:eastAsia="Arial" w:hAnsi="Arial"/>
                <w:sz w:val="14"/>
                <w:szCs w:val="14"/>
                <w:b w:val="1"/>
                <w:bCs w:val="1"/>
                <w:color w:val="auto"/>
                <w:w w:val="94"/>
              </w:rPr>
              <w:t>September 30, 2017</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spacing w:after="0" w:line="160" w:lineRule="exact"/>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(in thousands, except per share data)</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Total revenue</w:t>
            </w:r>
          </w:p>
        </w:tc>
        <w:tc>
          <w:tcPr>
            <w:tcW w:w="360" w:type="dxa"/>
            <w:vAlign w:val="bottom"/>
            <w:gridSpan w:val="2"/>
            <w:shd w:val="clear" w:color="auto" w:fill="CCEEFF"/>
          </w:tcPr>
          <w:p>
            <w:pPr>
              <w:jc w:val="right"/>
              <w:ind w:right="65"/>
              <w:spacing w:after="0" w:line="176"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5,840</w:t>
            </w:r>
          </w:p>
        </w:tc>
        <w:tc>
          <w:tcPr>
            <w:tcW w:w="460" w:type="dxa"/>
            <w:vAlign w:val="bottom"/>
            <w:gridSpan w:val="2"/>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5,890</w:t>
            </w:r>
          </w:p>
        </w:tc>
        <w:tc>
          <w:tcPr>
            <w:tcW w:w="320" w:type="dxa"/>
            <w:vAlign w:val="bottom"/>
            <w:gridSpan w:val="2"/>
            <w:shd w:val="clear" w:color="auto" w:fill="CCEEFF"/>
          </w:tcPr>
          <w:p>
            <w:pPr>
              <w:jc w:val="right"/>
              <w:ind w:right="25"/>
              <w:spacing w:after="0" w:line="176" w:lineRule="exact"/>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8,068</w:t>
            </w:r>
          </w:p>
        </w:tc>
        <w:tc>
          <w:tcPr>
            <w:tcW w:w="340" w:type="dxa"/>
            <w:vAlign w:val="bottom"/>
            <w:gridSpan w:val="2"/>
            <w:shd w:val="clear" w:color="auto" w:fill="CCEEFF"/>
          </w:tcPr>
          <w:p>
            <w:pPr>
              <w:jc w:val="right"/>
              <w:ind w:right="37"/>
              <w:spacing w:after="0" w:line="176"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176"/>
        </w:trPr>
        <w:tc>
          <w:tcPr>
            <w:tcW w:w="2660" w:type="dxa"/>
            <w:vAlign w:val="bottom"/>
          </w:tcPr>
          <w:p>
            <w:pPr>
              <w:spacing w:after="0" w:line="176" w:lineRule="exact"/>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34,170</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8"/>
                <w:szCs w:val="18"/>
                <w:color w:val="auto"/>
              </w:rPr>
              <w:t>40,104</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8"/>
                <w:szCs w:val="18"/>
                <w:color w:val="auto"/>
              </w:rPr>
              <w:t>46,678</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8"/>
                <w:szCs w:val="18"/>
                <w:color w:val="auto"/>
              </w:rPr>
              <w:t>51,721</w:t>
            </w:r>
          </w:p>
        </w:tc>
        <w:tc>
          <w:tcPr>
            <w:tcW w:w="0" w:type="dxa"/>
            <w:vAlign w:val="bottom"/>
          </w:tcPr>
          <w:p>
            <w:pPr>
              <w:spacing w:after="0"/>
              <w:rPr>
                <w:sz w:val="1"/>
                <w:szCs w:val="1"/>
                <w:color w:val="auto"/>
              </w:rPr>
            </w:pPr>
          </w:p>
        </w:tc>
      </w:tr>
      <w:tr>
        <w:trPr>
          <w:trHeight w:val="176"/>
        </w:trPr>
        <w:tc>
          <w:tcPr>
            <w:tcW w:w="2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8"/>
              </w:rPr>
              <w:t>Total other income (expense), net</w:t>
            </w:r>
          </w:p>
        </w:tc>
        <w:tc>
          <w:tcPr>
            <w:tcW w:w="140" w:type="dxa"/>
            <w:vAlign w:val="bottom"/>
            <w:tcBorders>
              <w:right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353</w:t>
            </w:r>
          </w:p>
        </w:tc>
        <w:tc>
          <w:tcPr>
            <w:tcW w:w="1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right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802</w:t>
            </w: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right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907</w:t>
            </w:r>
          </w:p>
        </w:tc>
        <w:tc>
          <w:tcPr>
            <w:tcW w:w="16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176"/>
        </w:trPr>
        <w:tc>
          <w:tcPr>
            <w:tcW w:w="266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Net loss</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65"/>
              <w:spacing w:after="0" w:line="169" w:lineRule="exact"/>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(27,977)</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jc w:val="right"/>
              <w:ind w:right="110"/>
              <w:spacing w:after="0" w:line="170"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(33,412)</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(37,703)</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37"/>
              <w:spacing w:after="0" w:line="169" w:lineRule="exact"/>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(49,027)</w:t>
            </w: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Net loss per share applicable to</w:t>
            </w:r>
          </w:p>
        </w:tc>
        <w:tc>
          <w:tcPr>
            <w:tcW w:w="14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4"/>
              </w:rPr>
              <w:t>common stockholders — basic and</w:t>
            </w:r>
          </w:p>
        </w:tc>
        <w:tc>
          <w:tcPr>
            <w:tcW w:w="140" w:type="dxa"/>
            <w:vAlign w:val="bottom"/>
            <w:tcBorders>
              <w:right w:val="single" w:sz="8" w:color="CCEEFF"/>
            </w:tcBorders>
            <w:vMerge w:val="restart"/>
            <w:shd w:val="clear" w:color="auto" w:fill="CCEEFF"/>
          </w:tcPr>
          <w:p>
            <w:pPr>
              <w:spacing w:after="0"/>
              <w:rPr>
                <w:sz w:val="15"/>
                <w:szCs w:val="15"/>
                <w:color w:val="auto"/>
              </w:rPr>
            </w:pPr>
          </w:p>
        </w:tc>
        <w:tc>
          <w:tcPr>
            <w:tcW w:w="220" w:type="dxa"/>
            <w:vAlign w:val="bottom"/>
            <w:vMerge w:val="restart"/>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60" w:type="dxa"/>
            <w:vAlign w:val="bottom"/>
            <w:vMerge w:val="restart"/>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320" w:type="dxa"/>
            <w:vAlign w:val="bottom"/>
            <w:gridSpan w:val="2"/>
            <w:vMerge w:val="restart"/>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340" w:type="dxa"/>
            <w:vAlign w:val="bottom"/>
            <w:gridSpan w:val="2"/>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diluted</w:t>
            </w:r>
          </w:p>
        </w:tc>
        <w:tc>
          <w:tcPr>
            <w:tcW w:w="140" w:type="dxa"/>
            <w:vAlign w:val="bottom"/>
            <w:tcBorders>
              <w:right w:val="single" w:sz="8" w:color="CCEEFF"/>
            </w:tcBorders>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1180" w:type="dxa"/>
            <w:vAlign w:val="bottom"/>
            <w:tcBorders>
              <w:right w:val="single" w:sz="8" w:color="CCEEFF"/>
            </w:tcBorders>
            <w:vMerge w:val="continue"/>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280" w:type="dxa"/>
            <w:vAlign w:val="bottom"/>
            <w:tcBorders>
              <w:right w:val="single" w:sz="8" w:color="CCEEFF"/>
            </w:tcBorders>
            <w:vMerge w:val="continue"/>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66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8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60" w:type="dxa"/>
            <w:vAlign w:val="bottom"/>
            <w:tcBorders>
              <w:right w:val="single" w:sz="8" w:color="auto"/>
            </w:tcBorders>
            <w:gridSpan w:val="2"/>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5"/>
        </w:trPr>
        <w:tc>
          <w:tcPr>
            <w:tcW w:w="2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33"/>
              <w:spacing w:after="0" w:line="160" w:lineRule="exact"/>
              <w:rPr>
                <w:sz w:val="20"/>
                <w:szCs w:val="20"/>
                <w:color w:val="auto"/>
              </w:rPr>
            </w:pPr>
            <w:r>
              <w:rPr>
                <w:rFonts w:ascii="Arial" w:cs="Arial" w:eastAsia="Arial" w:hAnsi="Arial"/>
                <w:sz w:val="14"/>
                <w:szCs w:val="14"/>
                <w:b w:val="1"/>
                <w:bCs w:val="1"/>
                <w:color w:val="auto"/>
              </w:rPr>
              <w:t>March 31, 2016</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ind w:right="137"/>
              <w:spacing w:after="0" w:line="160" w:lineRule="exact"/>
              <w:rPr>
                <w:sz w:val="20"/>
                <w:szCs w:val="20"/>
                <w:color w:val="auto"/>
              </w:rPr>
            </w:pPr>
            <w:r>
              <w:rPr>
                <w:rFonts w:ascii="Arial" w:cs="Arial" w:eastAsia="Arial" w:hAnsi="Arial"/>
                <w:sz w:val="14"/>
                <w:szCs w:val="14"/>
                <w:b w:val="1"/>
                <w:bCs w:val="1"/>
                <w:color w:val="auto"/>
              </w:rPr>
              <w:t>June 30, 2016</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right"/>
              <w:spacing w:after="0" w:line="160" w:lineRule="exact"/>
              <w:rPr>
                <w:sz w:val="20"/>
                <w:szCs w:val="20"/>
                <w:color w:val="auto"/>
              </w:rPr>
            </w:pPr>
            <w:r>
              <w:rPr>
                <w:rFonts w:ascii="Arial" w:cs="Arial" w:eastAsia="Arial" w:hAnsi="Arial"/>
                <w:sz w:val="14"/>
                <w:szCs w:val="14"/>
                <w:b w:val="1"/>
                <w:bCs w:val="1"/>
                <w:color w:val="auto"/>
                <w:w w:val="94"/>
              </w:rPr>
              <w:t>September 30, 2016</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spacing w:after="0" w:line="160" w:lineRule="exact"/>
              <w:rPr>
                <w:sz w:val="20"/>
                <w:szCs w:val="20"/>
                <w:color w:val="auto"/>
              </w:rPr>
            </w:pPr>
            <w:r>
              <w:rPr>
                <w:rFonts w:ascii="Arial" w:cs="Arial" w:eastAsia="Arial" w:hAnsi="Arial"/>
                <w:sz w:val="14"/>
                <w:szCs w:val="14"/>
                <w:b w:val="1"/>
                <w:bCs w:val="1"/>
                <w:color w:val="auto"/>
                <w:w w:val="95"/>
              </w:rPr>
              <w:t>December 31, 2016</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(in thousands, except per share data)</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Total revenue</w:t>
            </w:r>
          </w:p>
        </w:tc>
        <w:tc>
          <w:tcPr>
            <w:tcW w:w="14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6,856</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right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7,065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right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6,160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7,691</w:t>
            </w:r>
          </w:p>
        </w:tc>
        <w:tc>
          <w:tcPr>
            <w:tcW w:w="0" w:type="dxa"/>
            <w:vAlign w:val="bottom"/>
          </w:tcPr>
          <w:p>
            <w:pPr>
              <w:spacing w:after="0"/>
              <w:rPr>
                <w:sz w:val="1"/>
                <w:szCs w:val="1"/>
                <w:color w:val="auto"/>
              </w:rPr>
            </w:pPr>
          </w:p>
        </w:tc>
      </w:tr>
      <w:tr>
        <w:trPr>
          <w:trHeight w:val="176"/>
        </w:trPr>
        <w:tc>
          <w:tcPr>
            <w:tcW w:w="2660" w:type="dxa"/>
            <w:vAlign w:val="bottom"/>
          </w:tcPr>
          <w:p>
            <w:pPr>
              <w:spacing w:after="0" w:line="176" w:lineRule="exact"/>
              <w:rPr>
                <w:sz w:val="20"/>
                <w:szCs w:val="20"/>
                <w:color w:val="auto"/>
              </w:rPr>
            </w:pPr>
            <w:r>
              <w:rPr>
                <w:rFonts w:ascii="Arial" w:cs="Arial" w:eastAsia="Arial" w:hAnsi="Arial"/>
                <w:sz w:val="18"/>
                <w:szCs w:val="18"/>
                <w:color w:val="auto"/>
              </w:rPr>
              <w:t>Total operating expenses</w:t>
            </w:r>
          </w:p>
        </w:tc>
        <w:tc>
          <w:tcPr>
            <w:tcW w:w="360" w:type="dxa"/>
            <w:vAlign w:val="bottom"/>
            <w:gridSpan w:val="2"/>
          </w:tcPr>
          <w:p>
            <w:pPr>
              <w:jc w:val="right"/>
              <w:ind w:right="65"/>
              <w:spacing w:after="0" w:line="176"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22,281</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8"/>
                <w:szCs w:val="18"/>
                <w:color w:val="auto"/>
              </w:rPr>
              <w:t>25,961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8"/>
                <w:szCs w:val="18"/>
                <w:color w:val="auto"/>
              </w:rPr>
              <w:t>23,043</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8"/>
                <w:szCs w:val="18"/>
                <w:color w:val="auto"/>
              </w:rPr>
              <w:t>29,064</w:t>
            </w:r>
          </w:p>
        </w:tc>
        <w:tc>
          <w:tcPr>
            <w:tcW w:w="0" w:type="dxa"/>
            <w:vAlign w:val="bottom"/>
          </w:tcPr>
          <w:p>
            <w:pPr>
              <w:spacing w:after="0"/>
              <w:rPr>
                <w:sz w:val="1"/>
                <w:szCs w:val="1"/>
                <w:color w:val="auto"/>
              </w:rPr>
            </w:pPr>
          </w:p>
        </w:tc>
      </w:tr>
      <w:tr>
        <w:trPr>
          <w:trHeight w:val="176"/>
        </w:trPr>
        <w:tc>
          <w:tcPr>
            <w:tcW w:w="2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Total other expense, net</w:t>
            </w:r>
          </w:p>
        </w:tc>
        <w:tc>
          <w:tcPr>
            <w:tcW w:w="140" w:type="dxa"/>
            <w:vAlign w:val="bottom"/>
            <w:tcBorders>
              <w:right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right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right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49</w:t>
            </w:r>
          </w:p>
        </w:tc>
        <w:tc>
          <w:tcPr>
            <w:tcW w:w="16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76"/>
        </w:trPr>
        <w:tc>
          <w:tcPr>
            <w:tcW w:w="266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Net loss</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65"/>
              <w:spacing w:after="0" w:line="169" w:lineRule="exact"/>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(15,504)</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jc w:val="right"/>
              <w:ind w:right="110"/>
              <w:spacing w:after="0" w:line="170"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(18,894)</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(16,834)</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57"/>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(21,263)</w:t>
            </w: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Net loss per share applicable to</w:t>
            </w:r>
          </w:p>
        </w:tc>
        <w:tc>
          <w:tcPr>
            <w:tcW w:w="14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4"/>
              </w:rPr>
              <w:t>common stockholders — basic and</w:t>
            </w:r>
          </w:p>
        </w:tc>
        <w:tc>
          <w:tcPr>
            <w:tcW w:w="360" w:type="dxa"/>
            <w:vAlign w:val="bottom"/>
            <w:gridSpan w:val="2"/>
            <w:vMerge w:val="restart"/>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460" w:type="dxa"/>
            <w:vAlign w:val="bottom"/>
            <w:gridSpan w:val="2"/>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320" w:type="dxa"/>
            <w:vAlign w:val="bottom"/>
            <w:gridSpan w:val="2"/>
            <w:vMerge w:val="restart"/>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340" w:type="dxa"/>
            <w:vAlign w:val="bottom"/>
            <w:gridSpan w:val="2"/>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diluted</w:t>
            </w:r>
          </w:p>
        </w:tc>
        <w:tc>
          <w:tcPr>
            <w:tcW w:w="360" w:type="dxa"/>
            <w:vAlign w:val="bottom"/>
            <w:gridSpan w:val="2"/>
            <w:vMerge w:val="continue"/>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1180" w:type="dxa"/>
            <w:vAlign w:val="bottom"/>
            <w:tcBorders>
              <w:right w:val="single" w:sz="8" w:color="CCEEFF"/>
            </w:tcBorders>
            <w:vMerge w:val="continue"/>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280" w:type="dxa"/>
            <w:vAlign w:val="bottom"/>
            <w:tcBorders>
              <w:right w:val="single" w:sz="8" w:color="CCEEFF"/>
            </w:tcBorders>
            <w:vMerge w:val="continue"/>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66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80" w:type="dxa"/>
            <w:vAlign w:val="bottom"/>
            <w:tcBorders>
              <w:right w:val="single" w:sz="8" w:color="CCEEFF"/>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89" w:lineRule="exact"/>
        <w:rPr>
          <w:sz w:val="20"/>
          <w:szCs w:val="20"/>
          <w:color w:val="auto"/>
        </w:rPr>
      </w:pPr>
    </w:p>
    <w:p>
      <w:pPr>
        <w:ind w:right="280" w:firstLine="648"/>
        <w:spacing w:after="0" w:line="216" w:lineRule="auto"/>
        <w:rPr>
          <w:sz w:val="20"/>
          <w:szCs w:val="20"/>
          <w:color w:val="auto"/>
        </w:rPr>
      </w:pPr>
      <w:r>
        <w:rPr>
          <w:rFonts w:ascii="Arial" w:cs="Arial" w:eastAsia="Arial" w:hAnsi="Arial"/>
          <w:sz w:val="18"/>
          <w:szCs w:val="18"/>
          <w:color w:val="auto"/>
        </w:rPr>
        <w:t>In the first quarter of 2018, the Company subleased its former corporate headquarters at 38 Sidney Street, Cambridge, Massachusetts through October 31, 2020. Subject to the terms of the sublease agreement and the master lease agreement, including a right of recapture by the Company, the sublessee has the option to extend the sublease through October 31, 2022. The sublease includes a total commitment of $8.2 million over the 32 month term of the sublease agreement.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39" w:name="page140"/>
    <w:bookmarkEnd w:id="139"/>
    <w:p>
      <w:pPr>
        <w:jc w:val="right"/>
        <w:ind w:right="139"/>
        <w:spacing w:after="0"/>
        <w:rPr>
          <w:sz w:val="20"/>
          <w:szCs w:val="20"/>
          <w:color w:val="auto"/>
        </w:rPr>
      </w:pPr>
      <w:r>
        <w:rPr>
          <w:rFonts w:ascii="Arial" w:cs="Arial" w:eastAsia="Arial" w:hAnsi="Arial"/>
          <w:sz w:val="18"/>
          <w:szCs w:val="18"/>
          <w:b w:val="1"/>
          <w:bCs w:val="1"/>
          <w:color w:val="auto"/>
        </w:rPr>
        <w:t>Exhibit 10.5</w:t>
      </w:r>
    </w:p>
    <w:p>
      <w:pPr>
        <w:spacing w:after="0" w:line="159" w:lineRule="exact"/>
        <w:rPr>
          <w:sz w:val="20"/>
          <w:szCs w:val="20"/>
          <w:color w:val="auto"/>
        </w:rPr>
      </w:pPr>
    </w:p>
    <w:p>
      <w:pPr>
        <w:jc w:val="right"/>
        <w:ind w:right="139"/>
        <w:spacing w:after="0"/>
        <w:rPr>
          <w:sz w:val="20"/>
          <w:szCs w:val="20"/>
          <w:color w:val="auto"/>
        </w:rPr>
      </w:pPr>
      <w:r>
        <w:rPr>
          <w:rFonts w:ascii="Arial" w:cs="Arial" w:eastAsia="Arial" w:hAnsi="Arial"/>
          <w:sz w:val="20"/>
          <w:szCs w:val="20"/>
          <w:b w:val="1"/>
          <w:bCs w:val="1"/>
          <w:i w:val="1"/>
          <w:iCs w:val="1"/>
          <w:u w:val="single" w:color="auto"/>
          <w:color w:val="auto"/>
        </w:rPr>
        <w:t>Execution Version</w:t>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FIRST AMENDMENT OF LEASE</w:t>
      </w:r>
    </w:p>
    <w:p>
      <w:pPr>
        <w:spacing w:after="0" w:line="274" w:lineRule="exact"/>
        <w:rPr>
          <w:sz w:val="20"/>
          <w:szCs w:val="20"/>
          <w:color w:val="auto"/>
        </w:rPr>
      </w:pPr>
    </w:p>
    <w:p>
      <w:pPr>
        <w:jc w:val="both"/>
        <w:ind w:left="160" w:right="139" w:firstLine="648"/>
        <w:spacing w:after="0" w:line="220" w:lineRule="auto"/>
        <w:rPr>
          <w:sz w:val="20"/>
          <w:szCs w:val="20"/>
          <w:color w:val="auto"/>
        </w:rPr>
      </w:pPr>
      <w:r>
        <w:rPr>
          <w:rFonts w:ascii="Arial" w:cs="Arial" w:eastAsia="Arial" w:hAnsi="Arial"/>
          <w:sz w:val="22"/>
          <w:szCs w:val="22"/>
          <w:b w:val="1"/>
          <w:bCs w:val="1"/>
          <w:color w:val="auto"/>
        </w:rPr>
        <w:t xml:space="preserve">THIS FIRST AMENDMENT OF LEASE </w:t>
      </w: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is made and entered into as of</w:t>
      </w:r>
      <w:r>
        <w:rPr>
          <w:rFonts w:ascii="Arial" w:cs="Arial" w:eastAsia="Arial" w:hAnsi="Arial"/>
          <w:sz w:val="22"/>
          <w:szCs w:val="22"/>
          <w:b w:val="1"/>
          <w:bCs w:val="1"/>
          <w:color w:val="auto"/>
        </w:rPr>
        <w:t xml:space="preserve"> </w:t>
      </w:r>
      <w:r>
        <w:rPr>
          <w:rFonts w:ascii="Arial" w:cs="Arial" w:eastAsia="Arial" w:hAnsi="Arial"/>
          <w:sz w:val="22"/>
          <w:szCs w:val="22"/>
          <w:color w:val="auto"/>
        </w:rPr>
        <w:t>January 26, 2018 by and between THIRTY-EIGHT SIDNEY STREET LIMITED PARTNERSHIP, a Delaware limited partnership (“</w:t>
      </w:r>
      <w:r>
        <w:rPr>
          <w:rFonts w:ascii="Arial" w:cs="Arial" w:eastAsia="Arial" w:hAnsi="Arial"/>
          <w:sz w:val="22"/>
          <w:szCs w:val="22"/>
          <w:b w:val="1"/>
          <w:bCs w:val="1"/>
          <w:color w:val="auto"/>
        </w:rPr>
        <w:t>Landlord</w:t>
      </w:r>
      <w:r>
        <w:rPr>
          <w:rFonts w:ascii="Arial" w:cs="Arial" w:eastAsia="Arial" w:hAnsi="Arial"/>
          <w:sz w:val="22"/>
          <w:szCs w:val="22"/>
          <w:color w:val="auto"/>
        </w:rPr>
        <w:t>”), and BLUEPRINT MEDICINES CORPORATION, a Delaware corporation (“</w:t>
      </w:r>
      <w:r>
        <w:rPr>
          <w:rFonts w:ascii="Arial" w:cs="Arial" w:eastAsia="Arial" w:hAnsi="Arial"/>
          <w:sz w:val="22"/>
          <w:szCs w:val="22"/>
          <w:b w:val="1"/>
          <w:bCs w:val="1"/>
          <w:color w:val="auto"/>
        </w:rPr>
        <w:t>Tenant</w:t>
      </w:r>
      <w:r>
        <w:rPr>
          <w:rFonts w:ascii="Arial" w:cs="Arial" w:eastAsia="Arial" w:hAnsi="Arial"/>
          <w:sz w:val="22"/>
          <w:szCs w:val="22"/>
          <w:color w:val="auto"/>
        </w:rPr>
        <w:t>”).</w:t>
      </w:r>
    </w:p>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W I T N E S S E T H</w:t>
      </w:r>
      <w:r>
        <w:rPr>
          <w:rFonts w:ascii="Arial" w:cs="Arial" w:eastAsia="Arial" w:hAnsi="Arial"/>
          <w:sz w:val="22"/>
          <w:szCs w:val="22"/>
          <w:color w:val="auto"/>
        </w:rPr>
        <w:t>:</w:t>
      </w:r>
    </w:p>
    <w:p>
      <w:pPr>
        <w:spacing w:after="0" w:line="274" w:lineRule="exact"/>
        <w:rPr>
          <w:sz w:val="20"/>
          <w:szCs w:val="20"/>
          <w:color w:val="auto"/>
        </w:rPr>
      </w:pPr>
    </w:p>
    <w:p>
      <w:pPr>
        <w:jc w:val="both"/>
        <w:ind w:left="160" w:right="139" w:firstLine="648"/>
        <w:spacing w:after="0" w:line="220"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Landlord and Tenant entered into a Lease dated February 12, 2015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Lease</w:t>
      </w:r>
      <w:r>
        <w:rPr>
          <w:rFonts w:ascii="Arial" w:cs="Arial" w:eastAsia="Arial" w:hAnsi="Arial"/>
          <w:sz w:val="22"/>
          <w:szCs w:val="22"/>
          <w:color w:val="auto"/>
        </w:rPr>
        <w:t>”) regarding space on the second and third floors consisting of 38,536 of rentable square feet (the “</w:t>
      </w:r>
      <w:r>
        <w:rPr>
          <w:rFonts w:ascii="Arial" w:cs="Arial" w:eastAsia="Arial" w:hAnsi="Arial"/>
          <w:sz w:val="22"/>
          <w:szCs w:val="22"/>
          <w:b w:val="1"/>
          <w:bCs w:val="1"/>
          <w:color w:val="auto"/>
        </w:rPr>
        <w:t>Original Premises</w:t>
      </w:r>
      <w:r>
        <w:rPr>
          <w:rFonts w:ascii="Arial" w:cs="Arial" w:eastAsia="Arial" w:hAnsi="Arial"/>
          <w:sz w:val="22"/>
          <w:szCs w:val="22"/>
          <w:color w:val="auto"/>
        </w:rPr>
        <w:t>) in the building located at 38 Sidney Street, Cambridge, Massachusetts 02139 (the “</w:t>
      </w:r>
      <w:r>
        <w:rPr>
          <w:rFonts w:ascii="Arial" w:cs="Arial" w:eastAsia="Arial" w:hAnsi="Arial"/>
          <w:sz w:val="22"/>
          <w:szCs w:val="22"/>
          <w:b w:val="1"/>
          <w:bCs w:val="1"/>
          <w:color w:val="auto"/>
        </w:rPr>
        <w:t>Building</w:t>
      </w:r>
      <w:r>
        <w:rPr>
          <w:rFonts w:ascii="Arial" w:cs="Arial" w:eastAsia="Arial" w:hAnsi="Arial"/>
          <w:sz w:val="22"/>
          <w:szCs w:val="22"/>
          <w:color w:val="auto"/>
        </w:rPr>
        <w:t>”);</w:t>
      </w:r>
    </w:p>
    <w:p>
      <w:pPr>
        <w:spacing w:after="0" w:line="153" w:lineRule="exact"/>
        <w:rPr>
          <w:sz w:val="20"/>
          <w:szCs w:val="20"/>
          <w:color w:val="auto"/>
        </w:rPr>
      </w:pPr>
    </w:p>
    <w:p>
      <w:pPr>
        <w:jc w:val="both"/>
        <w:ind w:left="160" w:right="139" w:firstLine="648"/>
        <w:spacing w:after="0" w:line="21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effective as of December 18, 2017 (the “</w:t>
      </w:r>
      <w:r>
        <w:rPr>
          <w:rFonts w:ascii="Arial" w:cs="Arial" w:eastAsia="Arial" w:hAnsi="Arial"/>
          <w:sz w:val="22"/>
          <w:szCs w:val="22"/>
          <w:b w:val="1"/>
          <w:bCs w:val="1"/>
          <w:color w:val="auto"/>
        </w:rPr>
        <w:t>Effective Date</w:t>
      </w:r>
      <w:r>
        <w:rPr>
          <w:rFonts w:ascii="Arial" w:cs="Arial" w:eastAsia="Arial" w:hAnsi="Arial"/>
          <w:sz w:val="22"/>
          <w:szCs w:val="22"/>
          <w:color w:val="auto"/>
        </w:rPr>
        <w:t>”), the parties desire</w:t>
      </w:r>
      <w:r>
        <w:rPr>
          <w:rFonts w:ascii="Arial" w:cs="Arial" w:eastAsia="Arial" w:hAnsi="Arial"/>
          <w:sz w:val="22"/>
          <w:szCs w:val="22"/>
          <w:b w:val="1"/>
          <w:bCs w:val="1"/>
          <w:color w:val="auto"/>
        </w:rPr>
        <w:t xml:space="preserve"> </w:t>
      </w:r>
      <w:r>
        <w:rPr>
          <w:rFonts w:ascii="Arial" w:cs="Arial" w:eastAsia="Arial" w:hAnsi="Arial"/>
          <w:sz w:val="22"/>
          <w:szCs w:val="22"/>
          <w:color w:val="auto"/>
        </w:rPr>
        <w:t>to expand the Premises to include 578 rentable square feet (“</w:t>
      </w:r>
      <w:r>
        <w:rPr>
          <w:rFonts w:ascii="Arial" w:cs="Arial" w:eastAsia="Arial" w:hAnsi="Arial"/>
          <w:sz w:val="22"/>
          <w:szCs w:val="22"/>
          <w:b w:val="1"/>
          <w:bCs w:val="1"/>
          <w:color w:val="auto"/>
        </w:rPr>
        <w:t>RSF</w:t>
      </w:r>
      <w:r>
        <w:rPr>
          <w:rFonts w:ascii="Arial" w:cs="Arial" w:eastAsia="Arial" w:hAnsi="Arial"/>
          <w:sz w:val="22"/>
          <w:szCs w:val="22"/>
          <w:color w:val="auto"/>
        </w:rPr>
        <w:t>”) of additional floor area located on the second floor of the Building (the “</w:t>
      </w:r>
      <w:r>
        <w:rPr>
          <w:rFonts w:ascii="Arial" w:cs="Arial" w:eastAsia="Arial" w:hAnsi="Arial"/>
          <w:sz w:val="22"/>
          <w:szCs w:val="22"/>
          <w:b w:val="1"/>
          <w:bCs w:val="1"/>
          <w:color w:val="auto"/>
        </w:rPr>
        <w:t>Expansion Area</w:t>
      </w:r>
      <w:r>
        <w:rPr>
          <w:rFonts w:ascii="Arial" w:cs="Arial" w:eastAsia="Arial" w:hAnsi="Arial"/>
          <w:sz w:val="22"/>
          <w:szCs w:val="22"/>
          <w:color w:val="auto"/>
        </w:rPr>
        <w:t xml:space="preserve">”), as more particularly shown on the attached </w:t>
      </w:r>
      <w:r>
        <w:rPr>
          <w:rFonts w:ascii="Arial" w:cs="Arial" w:eastAsia="Arial" w:hAnsi="Arial"/>
          <w:sz w:val="22"/>
          <w:szCs w:val="22"/>
          <w:u w:val="single" w:color="auto"/>
          <w:color w:val="auto"/>
        </w:rPr>
        <w:t>Exhibit A-2</w:t>
      </w:r>
      <w:r>
        <w:rPr>
          <w:rFonts w:ascii="Arial" w:cs="Arial" w:eastAsia="Arial" w:hAnsi="Arial"/>
          <w:sz w:val="22"/>
          <w:szCs w:val="22"/>
          <w:color w:val="auto"/>
        </w:rPr>
        <w:t>, which is hereby incorporated into the Lease; the Original Premises and the Expansion Area are sometimes collectively referred to herein as the “</w:t>
      </w:r>
      <w:r>
        <w:rPr>
          <w:rFonts w:ascii="Arial" w:cs="Arial" w:eastAsia="Arial" w:hAnsi="Arial"/>
          <w:sz w:val="22"/>
          <w:szCs w:val="22"/>
          <w:b w:val="1"/>
          <w:bCs w:val="1"/>
          <w:color w:val="auto"/>
        </w:rPr>
        <w:t>Premises</w:t>
      </w:r>
      <w:r>
        <w:rPr>
          <w:rFonts w:ascii="Arial" w:cs="Arial" w:eastAsia="Arial" w:hAnsi="Arial"/>
          <w:sz w:val="22"/>
          <w:szCs w:val="22"/>
          <w:color w:val="auto"/>
        </w:rPr>
        <w:t>” which shall hereafter contain a total area of 39,114 RSF; and</w:t>
      </w:r>
    </w:p>
    <w:p>
      <w:pPr>
        <w:spacing w:after="0" w:line="153" w:lineRule="exact"/>
        <w:rPr>
          <w:sz w:val="20"/>
          <w:szCs w:val="20"/>
          <w:color w:val="auto"/>
        </w:rPr>
      </w:pPr>
    </w:p>
    <w:p>
      <w:pPr>
        <w:jc w:val="both"/>
        <w:ind w:left="160" w:right="139" w:firstLine="648"/>
        <w:spacing w:after="0" w:line="23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Landlord and Tenant desire to amend and to otherwise modify the Lease as set</w:t>
      </w:r>
      <w:r>
        <w:rPr>
          <w:rFonts w:ascii="Arial" w:cs="Arial" w:eastAsia="Arial" w:hAnsi="Arial"/>
          <w:sz w:val="22"/>
          <w:szCs w:val="22"/>
          <w:b w:val="1"/>
          <w:bCs w:val="1"/>
          <w:color w:val="auto"/>
        </w:rPr>
        <w:t xml:space="preserve"> </w:t>
      </w:r>
      <w:r>
        <w:rPr>
          <w:rFonts w:ascii="Arial" w:cs="Arial" w:eastAsia="Arial" w:hAnsi="Arial"/>
          <w:sz w:val="22"/>
          <w:szCs w:val="22"/>
          <w:color w:val="auto"/>
        </w:rPr>
        <w:t>forth below;</w:t>
      </w:r>
    </w:p>
    <w:p>
      <w:pPr>
        <w:spacing w:after="0" w:line="153" w:lineRule="exact"/>
        <w:rPr>
          <w:sz w:val="20"/>
          <w:szCs w:val="20"/>
          <w:color w:val="auto"/>
        </w:rPr>
      </w:pPr>
    </w:p>
    <w:p>
      <w:pPr>
        <w:jc w:val="both"/>
        <w:ind w:left="160" w:right="139" w:firstLine="648"/>
        <w:spacing w:after="0" w:line="220"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for and in consideration of the mutual covenants and agreements</w:t>
      </w:r>
      <w:r>
        <w:rPr>
          <w:rFonts w:ascii="Arial" w:cs="Arial" w:eastAsia="Arial" w:hAnsi="Arial"/>
          <w:sz w:val="22"/>
          <w:szCs w:val="22"/>
          <w:b w:val="1"/>
          <w:bCs w:val="1"/>
          <w:color w:val="auto"/>
        </w:rPr>
        <w:t xml:space="preserve"> </w:t>
      </w:r>
      <w:r>
        <w:rPr>
          <w:rFonts w:ascii="Arial" w:cs="Arial" w:eastAsia="Arial" w:hAnsi="Arial"/>
          <w:sz w:val="22"/>
          <w:szCs w:val="22"/>
          <w:color w:val="auto"/>
        </w:rPr>
        <w:t>hereinafter set forth and for other good and valuable consideration, the receipt and legal sufficiency of which are hereby mutually acknowledged, Landlord and Tenant hereby agree that the Lease shall be modified and amended as follows:</w:t>
      </w:r>
    </w:p>
    <w:p>
      <w:pPr>
        <w:spacing w:after="0" w:line="159" w:lineRule="exact"/>
        <w:rPr>
          <w:sz w:val="20"/>
          <w:szCs w:val="20"/>
          <w:color w:val="auto"/>
        </w:rPr>
      </w:pPr>
    </w:p>
    <w:p>
      <w:pPr>
        <w:jc w:val="both"/>
        <w:ind w:left="160" w:right="139" w:firstLine="639"/>
        <w:spacing w:after="0" w:line="247" w:lineRule="auto"/>
        <w:tabs>
          <w:tab w:leader="none" w:pos="1483"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Defined Terms</w:t>
      </w:r>
      <w:r>
        <w:rPr>
          <w:rFonts w:ascii="Arial" w:cs="Arial" w:eastAsia="Arial" w:hAnsi="Arial"/>
          <w:sz w:val="19"/>
          <w:szCs w:val="19"/>
          <w:color w:val="auto"/>
        </w:rPr>
        <w:t>. Capitalized terms used in this Agreement which are not defined herein shall have the meanings ascribed thereto in the Lease. The meanings of capitalized terms defined herein which are also defined in the Lease shall supersede the meanings given thereto in the Lease to the extent necessary to give effect to the purpose and intent of this Agreement. On and after the Effective Date, each reference in the Lease to “this Lease,” “hereunder,” “hereof,” “herein” or words of like import, and each similar reference in the other documents entered into in connection with the Lease, shall mean and be a reference to the Lease, as amended by this Agreement.</w:t>
      </w:r>
    </w:p>
    <w:p>
      <w:pPr>
        <w:spacing w:after="0" w:line="154" w:lineRule="exact"/>
        <w:rPr>
          <w:rFonts w:ascii="Arial" w:cs="Arial" w:eastAsia="Arial" w:hAnsi="Arial"/>
          <w:sz w:val="19"/>
          <w:szCs w:val="19"/>
          <w:color w:val="auto"/>
        </w:rPr>
      </w:pPr>
    </w:p>
    <w:p>
      <w:pPr>
        <w:jc w:val="both"/>
        <w:ind w:left="160" w:right="139" w:firstLine="639"/>
        <w:spacing w:after="0" w:line="252" w:lineRule="auto"/>
        <w:tabs>
          <w:tab w:leader="none" w:pos="1619"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Expansion of the Premises and Fixed Rent</w:t>
      </w:r>
      <w:r>
        <w:rPr>
          <w:rFonts w:ascii="Arial" w:cs="Arial" w:eastAsia="Arial" w:hAnsi="Arial"/>
          <w:sz w:val="19"/>
          <w:szCs w:val="19"/>
          <w:color w:val="auto"/>
        </w:rPr>
        <w:t>. The parties acknowledge and agree that the Premises are hereby enlarged by the addition of the Expansion Area in its current condition, “As Is” and “Where Is,” with no representations or warranty by the Landlord as to the condition thereof or suitability thereof for Tenant’s intended use. Tenant acknowledges that Landlord has improved the Expansion Area in accordance with plans mutually agreed to by the parties, and agrees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116840</wp:posOffset>
            </wp:positionV>
            <wp:extent cx="554863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40" w:name="page141"/>
    <w:bookmarkEnd w:id="140"/>
    <w:p>
      <w:pPr>
        <w:jc w:val="both"/>
        <w:ind w:left="160" w:right="139"/>
        <w:spacing w:after="0" w:line="221" w:lineRule="auto"/>
        <w:rPr>
          <w:sz w:val="20"/>
          <w:szCs w:val="20"/>
          <w:color w:val="auto"/>
        </w:rPr>
      </w:pPr>
      <w:r>
        <w:rPr>
          <w:rFonts w:ascii="Arial" w:cs="Arial" w:eastAsia="Arial" w:hAnsi="Arial"/>
          <w:sz w:val="21"/>
          <w:szCs w:val="21"/>
          <w:color w:val="auto"/>
        </w:rPr>
        <w:t xml:space="preserve">reimburse Landlord for the construction of such work in the amount of $66,605.00, which shall be due and payable to Landlord within thirty (30) days after receipt of an invoice from Landlord. From and after the Effective Date, the Expansion Area shall become a portion of the Premises, which shall thereupon contain 39,114 rentable square feet for all purposes including the calculation of Tenant’s Percentage Share of Excess Operating Expenses and Taxes and the payment of Rents, and any reference in the Lease, including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to Premises shall thereupon include and refer to the Expansion Area.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attached to the Lease is hereby modified to delete the definitions of Premises, Annual Fixed Rent and Tenant’s Address for Notices therein, and to substitute the following in their place and stead:</w:t>
      </w:r>
    </w:p>
    <w:p>
      <w:pPr>
        <w:sectPr>
          <w:pgSz w:w="11900" w:h="16838" w:orient="portrait"/>
          <w:cols w:equalWidth="0" w:num="1">
            <w:col w:w="9019"/>
          </w:cols>
          <w:pgMar w:left="1440" w:top="104" w:right="1440" w:bottom="1440" w:gutter="0" w:footer="0" w:header="0"/>
        </w:sectPr>
      </w:pPr>
    </w:p>
    <w:p>
      <w:pPr>
        <w:spacing w:after="0" w:line="165" w:lineRule="exact"/>
        <w:rPr>
          <w:sz w:val="20"/>
          <w:szCs w:val="20"/>
          <w:color w:val="auto"/>
        </w:rPr>
      </w:pPr>
    </w:p>
    <w:p>
      <w:pPr>
        <w:ind w:left="260"/>
        <w:spacing w:after="0"/>
        <w:rPr>
          <w:sz w:val="20"/>
          <w:szCs w:val="20"/>
          <w:color w:val="auto"/>
        </w:rPr>
      </w:pPr>
      <w:r>
        <w:rPr>
          <w:rFonts w:ascii="Arial" w:cs="Arial" w:eastAsia="Arial" w:hAnsi="Arial"/>
          <w:sz w:val="20"/>
          <w:szCs w:val="20"/>
          <w:u w:val="single" w:color="auto"/>
          <w:color w:val="auto"/>
        </w:rPr>
        <w:t>Premises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Annual Fixed Rent for the</w:t>
      </w:r>
    </w:p>
    <w:p>
      <w:pPr>
        <w:ind w:left="260"/>
        <w:spacing w:after="0"/>
        <w:rPr>
          <w:sz w:val="20"/>
          <w:szCs w:val="20"/>
          <w:color w:val="auto"/>
        </w:rPr>
      </w:pPr>
      <w:r>
        <w:rPr>
          <w:rFonts w:ascii="Arial" w:cs="Arial" w:eastAsia="Arial" w:hAnsi="Arial"/>
          <w:sz w:val="20"/>
          <w:szCs w:val="20"/>
          <w:u w:val="single" w:color="auto"/>
          <w:color w:val="auto"/>
        </w:rPr>
        <w:t>Term</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right="1019"/>
        <w:spacing w:after="0" w:line="229" w:lineRule="auto"/>
        <w:rPr>
          <w:sz w:val="20"/>
          <w:szCs w:val="20"/>
          <w:color w:val="auto"/>
        </w:rPr>
      </w:pPr>
      <w:r>
        <w:rPr>
          <w:rFonts w:ascii="Arial" w:cs="Arial" w:eastAsia="Arial" w:hAnsi="Arial"/>
          <w:sz w:val="20"/>
          <w:szCs w:val="20"/>
          <w:color w:val="auto"/>
        </w:rPr>
        <w:t>The Premises shall be comprised of 39,114 rentable square feet as follows:</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color w:val="auto"/>
        </w:rPr>
        <w:t>Floor 2: 25,941 rsf</w:t>
      </w:r>
    </w:p>
    <w:p>
      <w:pPr>
        <w:spacing w:after="0"/>
        <w:rPr>
          <w:sz w:val="20"/>
          <w:szCs w:val="20"/>
          <w:color w:val="auto"/>
        </w:rPr>
      </w:pPr>
      <w:r>
        <w:rPr>
          <w:rFonts w:ascii="Arial" w:cs="Arial" w:eastAsia="Arial" w:hAnsi="Arial"/>
          <w:sz w:val="20"/>
          <w:szCs w:val="20"/>
          <w:color w:val="auto"/>
        </w:rPr>
        <w:t>Floor 3: 13,173 rsf</w:t>
      </w:r>
    </w:p>
    <w:p>
      <w:pPr>
        <w:spacing w:after="0" w:line="132" w:lineRule="exact"/>
        <w:rPr>
          <w:sz w:val="20"/>
          <w:szCs w:val="20"/>
          <w:color w:val="auto"/>
        </w:rPr>
      </w:pPr>
    </w:p>
    <w:p>
      <w:pPr>
        <w:ind w:right="859"/>
        <w:spacing w:after="0" w:line="207" w:lineRule="auto"/>
        <w:rPr>
          <w:sz w:val="20"/>
          <w:szCs w:val="20"/>
          <w:color w:val="auto"/>
        </w:rPr>
      </w:pPr>
      <w:r>
        <w:rPr>
          <w:rFonts w:ascii="Arial" w:cs="Arial" w:eastAsia="Arial" w:hAnsi="Arial"/>
          <w:sz w:val="20"/>
          <w:szCs w:val="20"/>
          <w:color w:val="auto"/>
        </w:rPr>
        <w:t>$60.00 per rentable square foot (rsf) of Premises floor area for and during the first lease year (November 1, 2015 through October 31, 2016), as escalated annually per the terms of Section 3.1 hereof. For the sake of clarity, the Annual Fixed Rent for the third lease year (November 1, 2017 through October 31, 2018) is $63.65 per rsf.</w:t>
      </w:r>
    </w:p>
    <w:p>
      <w:pPr>
        <w:spacing w:after="0" w:line="133" w:lineRule="exact"/>
        <w:rPr>
          <w:sz w:val="20"/>
          <w:szCs w:val="20"/>
          <w:color w:val="auto"/>
        </w:rPr>
      </w:pPr>
    </w:p>
    <w:p>
      <w:pPr>
        <w:sectPr>
          <w:pgSz w:w="11900" w:h="16838" w:orient="portrait"/>
          <w:cols w:equalWidth="0" w:num="2">
            <w:col w:w="2340" w:space="660"/>
            <w:col w:w="6019"/>
          </w:cols>
          <w:pgMar w:left="1440" w:top="104" w:right="1440" w:bottom="1440" w:gutter="0" w:footer="0" w:header="0"/>
          <w:type w:val="continuous"/>
        </w:sectPr>
      </w:pPr>
    </w:p>
    <w:p>
      <w:pPr>
        <w:ind w:left="260"/>
        <w:spacing w:after="0"/>
        <w:tabs>
          <w:tab w:leader="none" w:pos="2980" w:val="left"/>
        </w:tabs>
        <w:rPr>
          <w:sz w:val="20"/>
          <w:szCs w:val="20"/>
          <w:color w:val="auto"/>
        </w:rPr>
      </w:pPr>
      <w:r>
        <w:rPr>
          <w:rFonts w:ascii="Arial" w:cs="Arial" w:eastAsia="Arial" w:hAnsi="Arial"/>
          <w:sz w:val="20"/>
          <w:szCs w:val="20"/>
          <w:u w:val="single" w:color="auto"/>
          <w:color w:val="auto"/>
        </w:rPr>
        <w:t>Tenant’s Address for Notices</w:t>
      </w:r>
      <w:r>
        <w:rPr>
          <w:rFonts w:ascii="Arial" w:cs="Arial" w:eastAsia="Arial" w:hAnsi="Arial"/>
          <w:sz w:val="20"/>
          <w:szCs w:val="20"/>
          <w:color w:val="auto"/>
        </w:rPr>
        <w:t>:</w:t>
      </w:r>
      <w:r>
        <w:rPr>
          <w:sz w:val="20"/>
          <w:szCs w:val="20"/>
          <w:color w:val="auto"/>
        </w:rPr>
        <w:tab/>
      </w:r>
      <w:r>
        <w:rPr>
          <w:rFonts w:ascii="Arial" w:cs="Arial" w:eastAsia="Arial" w:hAnsi="Arial"/>
          <w:sz w:val="18"/>
          <w:szCs w:val="18"/>
          <w:i w:val="1"/>
          <w:iCs w:val="1"/>
          <w:u w:val="single" w:color="auto"/>
          <w:color w:val="auto"/>
        </w:rPr>
        <w:t>Prior to February 1, 2018</w:t>
      </w:r>
    </w:p>
    <w:p>
      <w:pPr>
        <w:spacing w:after="0" w:line="123" w:lineRule="exact"/>
        <w:rPr>
          <w:sz w:val="20"/>
          <w:szCs w:val="20"/>
          <w:color w:val="auto"/>
        </w:rPr>
      </w:pPr>
    </w:p>
    <w:p>
      <w:pPr>
        <w:jc w:val="right"/>
        <w:ind w:right="3399"/>
        <w:spacing w:after="0"/>
        <w:rPr>
          <w:sz w:val="20"/>
          <w:szCs w:val="20"/>
          <w:color w:val="auto"/>
        </w:rPr>
      </w:pPr>
      <w:r>
        <w:rPr>
          <w:rFonts w:ascii="Arial" w:cs="Arial" w:eastAsia="Arial" w:hAnsi="Arial"/>
          <w:sz w:val="20"/>
          <w:szCs w:val="20"/>
          <w:color w:val="auto"/>
        </w:rPr>
        <w:t>Blueprint Medicines Corporation</w:t>
      </w:r>
    </w:p>
    <w:p>
      <w:pPr>
        <w:ind w:left="3000"/>
        <w:spacing w:after="0" w:line="197" w:lineRule="auto"/>
        <w:rPr>
          <w:sz w:val="20"/>
          <w:szCs w:val="20"/>
          <w:color w:val="auto"/>
        </w:rPr>
      </w:pPr>
      <w:r>
        <w:rPr>
          <w:rFonts w:ascii="Arial" w:cs="Arial" w:eastAsia="Arial" w:hAnsi="Arial"/>
          <w:sz w:val="20"/>
          <w:szCs w:val="20"/>
          <w:color w:val="auto"/>
        </w:rPr>
        <w:t>38 Sidney Street, Suite 200</w:t>
      </w:r>
    </w:p>
    <w:p>
      <w:pPr>
        <w:ind w:left="3000"/>
        <w:spacing w:after="0" w:line="197" w:lineRule="auto"/>
        <w:rPr>
          <w:sz w:val="20"/>
          <w:szCs w:val="20"/>
          <w:color w:val="auto"/>
        </w:rPr>
      </w:pPr>
      <w:r>
        <w:rPr>
          <w:rFonts w:ascii="Arial" w:cs="Arial" w:eastAsia="Arial" w:hAnsi="Arial"/>
          <w:sz w:val="20"/>
          <w:szCs w:val="20"/>
          <w:color w:val="auto"/>
        </w:rPr>
        <w:t>Cambridge, MA 02139</w:t>
      </w:r>
    </w:p>
    <w:p>
      <w:pPr>
        <w:spacing w:after="0" w:line="1"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Attention: Legal Department</w:t>
      </w:r>
    </w:p>
    <w:p>
      <w:pPr>
        <w:spacing w:after="0" w:line="132" w:lineRule="exact"/>
        <w:rPr>
          <w:sz w:val="20"/>
          <w:szCs w:val="20"/>
          <w:color w:val="auto"/>
        </w:rPr>
      </w:pPr>
    </w:p>
    <w:p>
      <w:pPr>
        <w:ind w:left="3000"/>
        <w:spacing w:after="0"/>
        <w:rPr>
          <w:sz w:val="20"/>
          <w:szCs w:val="20"/>
          <w:color w:val="auto"/>
        </w:rPr>
      </w:pPr>
      <w:r>
        <w:rPr>
          <w:rFonts w:ascii="Arial" w:cs="Arial" w:eastAsia="Arial" w:hAnsi="Arial"/>
          <w:sz w:val="20"/>
          <w:szCs w:val="20"/>
          <w:i w:val="1"/>
          <w:iCs w:val="1"/>
          <w:u w:val="single" w:color="auto"/>
          <w:color w:val="auto"/>
        </w:rPr>
        <w:t>On or after February 1, 2018</w:t>
      </w:r>
    </w:p>
    <w:p>
      <w:pPr>
        <w:spacing w:after="0" w:line="123" w:lineRule="exact"/>
        <w:rPr>
          <w:sz w:val="20"/>
          <w:szCs w:val="20"/>
          <w:color w:val="auto"/>
        </w:rPr>
      </w:pPr>
    </w:p>
    <w:p>
      <w:pPr>
        <w:jc w:val="right"/>
        <w:ind w:right="3399"/>
        <w:spacing w:after="0"/>
        <w:rPr>
          <w:sz w:val="20"/>
          <w:szCs w:val="20"/>
          <w:color w:val="auto"/>
        </w:rPr>
      </w:pPr>
      <w:r>
        <w:rPr>
          <w:rFonts w:ascii="Arial" w:cs="Arial" w:eastAsia="Arial" w:hAnsi="Arial"/>
          <w:sz w:val="20"/>
          <w:szCs w:val="20"/>
          <w:color w:val="auto"/>
        </w:rPr>
        <w:t>Blueprint Medicines Corporation</w:t>
      </w:r>
    </w:p>
    <w:p>
      <w:pPr>
        <w:ind w:left="3000"/>
        <w:spacing w:after="0" w:line="197" w:lineRule="auto"/>
        <w:rPr>
          <w:sz w:val="20"/>
          <w:szCs w:val="20"/>
          <w:color w:val="auto"/>
        </w:rPr>
      </w:pPr>
      <w:r>
        <w:rPr>
          <w:rFonts w:ascii="Arial" w:cs="Arial" w:eastAsia="Arial" w:hAnsi="Arial"/>
          <w:sz w:val="20"/>
          <w:szCs w:val="20"/>
          <w:color w:val="auto"/>
        </w:rPr>
        <w:t>45 Sidney Street</w:t>
      </w:r>
    </w:p>
    <w:p>
      <w:pPr>
        <w:ind w:left="3000"/>
        <w:spacing w:after="0" w:line="197" w:lineRule="auto"/>
        <w:rPr>
          <w:sz w:val="20"/>
          <w:szCs w:val="20"/>
          <w:color w:val="auto"/>
        </w:rPr>
      </w:pPr>
      <w:r>
        <w:rPr>
          <w:rFonts w:ascii="Arial" w:cs="Arial" w:eastAsia="Arial" w:hAnsi="Arial"/>
          <w:sz w:val="20"/>
          <w:szCs w:val="20"/>
          <w:color w:val="auto"/>
        </w:rPr>
        <w:t>Cambridge, MA 02139</w:t>
      </w:r>
    </w:p>
    <w:p>
      <w:pPr>
        <w:spacing w:after="0" w:line="1"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Attention: Legal Department</w:t>
      </w:r>
    </w:p>
    <w:p>
      <w:pPr>
        <w:spacing w:after="0" w:line="132"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In either case with a copy to:</w:t>
      </w:r>
    </w:p>
    <w:p>
      <w:pPr>
        <w:spacing w:after="0" w:line="123"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Goodwin Procter LLP</w:t>
      </w:r>
    </w:p>
    <w:p>
      <w:pPr>
        <w:ind w:left="3000"/>
        <w:spacing w:after="0" w:line="197" w:lineRule="auto"/>
        <w:rPr>
          <w:sz w:val="20"/>
          <w:szCs w:val="20"/>
          <w:color w:val="auto"/>
        </w:rPr>
      </w:pPr>
      <w:r>
        <w:rPr>
          <w:rFonts w:ascii="Arial" w:cs="Arial" w:eastAsia="Arial" w:hAnsi="Arial"/>
          <w:sz w:val="20"/>
          <w:szCs w:val="20"/>
          <w:color w:val="auto"/>
        </w:rPr>
        <w:t>100 Northern Avenue</w:t>
      </w:r>
    </w:p>
    <w:p>
      <w:pPr>
        <w:ind w:left="3000"/>
        <w:spacing w:after="0" w:line="197" w:lineRule="auto"/>
        <w:rPr>
          <w:sz w:val="20"/>
          <w:szCs w:val="20"/>
          <w:color w:val="auto"/>
        </w:rPr>
      </w:pPr>
      <w:r>
        <w:rPr>
          <w:rFonts w:ascii="Arial" w:cs="Arial" w:eastAsia="Arial" w:hAnsi="Arial"/>
          <w:sz w:val="20"/>
          <w:szCs w:val="20"/>
          <w:color w:val="auto"/>
        </w:rPr>
        <w:t>Boston, MA 02210</w:t>
      </w:r>
    </w:p>
    <w:p>
      <w:pPr>
        <w:spacing w:after="0" w:line="1"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Attention: Kingsley Taft, Esq.</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67310</wp:posOffset>
            </wp:positionV>
            <wp:extent cx="554863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141" w:name="page142"/>
    <w:bookmarkEnd w:id="141"/>
    <w:p>
      <w:pPr>
        <w:jc w:val="both"/>
        <w:ind w:left="160" w:right="139" w:firstLine="639"/>
        <w:spacing w:after="0" w:line="243" w:lineRule="auto"/>
        <w:tabs>
          <w:tab w:leader="none" w:pos="1619" w:val="left"/>
        </w:tabs>
        <w:numPr>
          <w:ilvl w:val="1"/>
          <w:numId w:val="77"/>
        </w:numPr>
        <w:rPr>
          <w:rFonts w:ascii="Arial" w:cs="Arial" w:eastAsia="Arial" w:hAnsi="Arial"/>
          <w:sz w:val="19"/>
          <w:szCs w:val="19"/>
          <w:color w:val="auto"/>
        </w:rPr>
      </w:pPr>
      <w:r>
        <w:rPr>
          <w:rFonts w:ascii="Arial" w:cs="Arial" w:eastAsia="Arial" w:hAnsi="Arial"/>
          <w:sz w:val="19"/>
          <w:szCs w:val="19"/>
          <w:u w:val="single" w:color="auto"/>
          <w:color w:val="auto"/>
        </w:rPr>
        <w:t>Protection of REIT Status</w:t>
      </w:r>
      <w:r>
        <w:rPr>
          <w:rFonts w:ascii="Arial" w:cs="Arial" w:eastAsia="Arial" w:hAnsi="Arial"/>
          <w:sz w:val="19"/>
          <w:szCs w:val="19"/>
          <w:color w:val="auto"/>
        </w:rPr>
        <w:t>. In the event that Landlord determines that any of the financial obligations of Tenant to Landlord as set forth in this Lease might (a) fail to qualify as “rents from real property” within the meaning of Section 856(d) of the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or (b) otherwise jeopardize the status of any of Landlord’s affiliates, including Forest City Realty Trust, Inc., as a “real estate investment trust” (“</w:t>
      </w:r>
      <w:r>
        <w:rPr>
          <w:rFonts w:ascii="Arial" w:cs="Arial" w:eastAsia="Arial" w:hAnsi="Arial"/>
          <w:sz w:val="19"/>
          <w:szCs w:val="19"/>
          <w:b w:val="1"/>
          <w:bCs w:val="1"/>
          <w:color w:val="auto"/>
        </w:rPr>
        <w:t>REIT</w:t>
      </w:r>
      <w:r>
        <w:rPr>
          <w:rFonts w:ascii="Arial" w:cs="Arial" w:eastAsia="Arial" w:hAnsi="Arial"/>
          <w:sz w:val="19"/>
          <w:szCs w:val="19"/>
          <w:color w:val="auto"/>
        </w:rPr>
        <w:t>”) within the meaning of Section 856 of the Code, then, at Landlord’s option, Landlord may, in its sole discretion, assign any of its rights and obligations under this Lease to a designee chosen by Landlord for such purpose (which, in each case, shall be an affiliate of Landlord), or cause one or more such designees (which, in each case, shall be an affiliate of Landlord) to perform such activities to the extent required to maintain such status as a REIT, provided, however, that any assignment permitted pursuant to this Section shall not increase Tenant’s obligations nor decrease Tenant’s rights in this Lease, and shall not result in the imposition of any additional charge or expense upon Tenant.</w:t>
      </w:r>
    </w:p>
    <w:p>
      <w:pPr>
        <w:spacing w:after="0" w:line="155" w:lineRule="exact"/>
        <w:rPr>
          <w:rFonts w:ascii="Arial" w:cs="Arial" w:eastAsia="Arial" w:hAnsi="Arial"/>
          <w:sz w:val="19"/>
          <w:szCs w:val="19"/>
          <w:color w:val="auto"/>
        </w:rPr>
      </w:pPr>
    </w:p>
    <w:p>
      <w:pPr>
        <w:jc w:val="both"/>
        <w:ind w:left="160" w:right="139" w:firstLine="639"/>
        <w:spacing w:after="0" w:line="223" w:lineRule="auto"/>
        <w:tabs>
          <w:tab w:leader="none" w:pos="1619" w:val="left"/>
        </w:tabs>
        <w:numPr>
          <w:ilvl w:val="1"/>
          <w:numId w:val="77"/>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multiple counterparts, each of which shall be deemed an original, but all of which shall constitute one and the same instrument.</w:t>
      </w:r>
    </w:p>
    <w:p>
      <w:pPr>
        <w:spacing w:after="0" w:line="159" w:lineRule="exact"/>
        <w:rPr>
          <w:rFonts w:ascii="Arial" w:cs="Arial" w:eastAsia="Arial" w:hAnsi="Arial"/>
          <w:sz w:val="22"/>
          <w:szCs w:val="22"/>
          <w:color w:val="auto"/>
        </w:rPr>
      </w:pPr>
    </w:p>
    <w:p>
      <w:pPr>
        <w:jc w:val="both"/>
        <w:ind w:left="160" w:right="139" w:firstLine="598"/>
        <w:spacing w:after="0" w:line="222" w:lineRule="auto"/>
        <w:tabs>
          <w:tab w:leader="none" w:pos="997"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Ratification of Lease; Entire Agreement</w:t>
      </w:r>
      <w:r>
        <w:rPr>
          <w:rFonts w:ascii="Arial" w:cs="Arial" w:eastAsia="Arial" w:hAnsi="Arial"/>
          <w:sz w:val="21"/>
          <w:szCs w:val="21"/>
          <w:color w:val="auto"/>
        </w:rPr>
        <w:t>. Except as expressly supplemented, amended or modified by this Agreement, the Lease is hereby ratified and confirmed in all respects, and shall continue in full force and effect. In the event of any inconsistency between the terms of this Agreement and the Lease, the terms of this Agreement shall control. This Agreement (and the exhibits attached hereto) and the Lease, as amended hereby, constitute the entire agreement between the parties with respect to the subject matter hereof and supersede all prior and contemporaneous oral and written agreements and discussions. This Agreement may be amended only by an agreement in writing, signed by the parties hereto.</w:t>
      </w:r>
    </w:p>
    <w:p>
      <w:pPr>
        <w:spacing w:after="0" w:line="157" w:lineRule="exact"/>
        <w:rPr>
          <w:rFonts w:ascii="Arial" w:cs="Arial" w:eastAsia="Arial" w:hAnsi="Arial"/>
          <w:sz w:val="21"/>
          <w:szCs w:val="21"/>
          <w:color w:val="auto"/>
        </w:rPr>
      </w:pPr>
    </w:p>
    <w:p>
      <w:pPr>
        <w:ind w:left="160" w:right="139" w:firstLine="598"/>
        <w:spacing w:after="0" w:line="232" w:lineRule="auto"/>
        <w:tabs>
          <w:tab w:leader="none" w:pos="997"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Agreement shall be binding upon and inure to the benefit of the parties hereto, their respective successors and assigns.</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22"/>
          <w:szCs w:val="22"/>
          <w:i w:val="1"/>
          <w:iCs w:val="1"/>
          <w:color w:val="auto"/>
        </w:rPr>
        <w:t>[Signature page follows.]</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67310</wp:posOffset>
            </wp:positionV>
            <wp:extent cx="554863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42" w:name="page143"/>
    <w:bookmarkEnd w:id="142"/>
    <w:p>
      <w:pPr>
        <w:ind w:left="160" w:right="159" w:firstLine="648"/>
        <w:spacing w:after="0" w:line="23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executed this Agreement the day and</w:t>
      </w:r>
      <w:r>
        <w:rPr>
          <w:rFonts w:ascii="Arial" w:cs="Arial" w:eastAsia="Arial" w:hAnsi="Arial"/>
          <w:sz w:val="22"/>
          <w:szCs w:val="22"/>
          <w:b w:val="1"/>
          <w:bCs w:val="1"/>
          <w:color w:val="auto"/>
        </w:rPr>
        <w:t xml:space="preserve"> </w:t>
      </w:r>
      <w:r>
        <w:rPr>
          <w:rFonts w:ascii="Arial" w:cs="Arial" w:eastAsia="Arial" w:hAnsi="Arial"/>
          <w:sz w:val="22"/>
          <w:szCs w:val="22"/>
          <w:color w:val="auto"/>
        </w:rPr>
        <w:t>year first written above.</w:t>
      </w:r>
    </w:p>
    <w:p>
      <w:pPr>
        <w:spacing w:after="0" w:line="152" w:lineRule="exact"/>
        <w:rPr>
          <w:sz w:val="20"/>
          <w:szCs w:val="20"/>
          <w:color w:val="auto"/>
        </w:rPr>
      </w:pPr>
    </w:p>
    <w:p>
      <w:pPr>
        <w:ind w:left="4680"/>
        <w:spacing w:after="0"/>
        <w:rPr>
          <w:sz w:val="20"/>
          <w:szCs w:val="20"/>
          <w:color w:val="auto"/>
        </w:rPr>
      </w:pPr>
      <w:r>
        <w:rPr>
          <w:rFonts w:ascii="Arial" w:cs="Arial" w:eastAsia="Arial" w:hAnsi="Arial"/>
          <w:sz w:val="22"/>
          <w:szCs w:val="22"/>
          <w:b w:val="1"/>
          <w:bCs w:val="1"/>
          <w:u w:val="single" w:color="auto"/>
          <w:color w:val="auto"/>
        </w:rPr>
        <w:t>LANDLORD</w:t>
      </w:r>
      <w:r>
        <w:rPr>
          <w:rFonts w:ascii="Arial" w:cs="Arial" w:eastAsia="Arial" w:hAnsi="Arial"/>
          <w:sz w:val="22"/>
          <w:szCs w:val="22"/>
          <w:b w:val="1"/>
          <w:bCs w:val="1"/>
          <w:color w:val="auto"/>
        </w:rPr>
        <w:t>:</w:t>
      </w:r>
    </w:p>
    <w:p>
      <w:pPr>
        <w:spacing w:after="0" w:line="166"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THIRTY-EIGHT SIDNEY STREET</w:t>
      </w:r>
    </w:p>
    <w:p>
      <w:pPr>
        <w:ind w:left="4680"/>
        <w:spacing w:after="0" w:line="205" w:lineRule="auto"/>
        <w:rPr>
          <w:sz w:val="20"/>
          <w:szCs w:val="20"/>
          <w:color w:val="auto"/>
        </w:rPr>
      </w:pPr>
      <w:r>
        <w:rPr>
          <w:rFonts w:ascii="Arial" w:cs="Arial" w:eastAsia="Arial" w:hAnsi="Arial"/>
          <w:sz w:val="22"/>
          <w:szCs w:val="22"/>
          <w:color w:val="auto"/>
        </w:rPr>
        <w:t>LIMITED PARTNERSHIP,</w:t>
      </w:r>
    </w:p>
    <w:p>
      <w:pPr>
        <w:ind w:left="4680"/>
        <w:spacing w:after="0"/>
        <w:rPr>
          <w:sz w:val="20"/>
          <w:szCs w:val="20"/>
          <w:color w:val="auto"/>
        </w:rPr>
      </w:pPr>
      <w:r>
        <w:rPr>
          <w:rFonts w:ascii="Arial" w:cs="Arial" w:eastAsia="Arial" w:hAnsi="Arial"/>
          <w:sz w:val="22"/>
          <w:szCs w:val="22"/>
          <w:color w:val="auto"/>
        </w:rPr>
        <w:t>a Delaware limited partnership</w:t>
      </w:r>
    </w:p>
    <w:p>
      <w:pPr>
        <w:spacing w:after="0" w:line="142"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By: Forest City 38 Sidney Street, LLC,</w:t>
      </w:r>
    </w:p>
    <w:p>
      <w:pPr>
        <w:ind w:left="4960"/>
        <w:spacing w:after="0" w:line="205" w:lineRule="auto"/>
        <w:rPr>
          <w:sz w:val="20"/>
          <w:szCs w:val="20"/>
          <w:color w:val="auto"/>
        </w:rPr>
      </w:pPr>
      <w:r>
        <w:rPr>
          <w:rFonts w:ascii="Arial" w:cs="Arial" w:eastAsia="Arial" w:hAnsi="Arial"/>
          <w:sz w:val="22"/>
          <w:szCs w:val="22"/>
          <w:color w:val="auto"/>
        </w:rPr>
        <w:t>an Ohio limited liability company,</w:t>
      </w:r>
    </w:p>
    <w:p>
      <w:pPr>
        <w:ind w:left="4960"/>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37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Michael Farley</w:t>
      </w:r>
    </w:p>
    <w:p>
      <w:pPr>
        <w:ind w:left="4960"/>
        <w:spacing w:after="0"/>
        <w:rPr>
          <w:sz w:val="20"/>
          <w:szCs w:val="20"/>
          <w:color w:val="auto"/>
        </w:rPr>
      </w:pPr>
      <w:r>
        <w:rPr>
          <w:rFonts w:ascii="Arial" w:cs="Arial" w:eastAsia="Arial" w:hAnsi="Arial"/>
          <w:sz w:val="22"/>
          <w:szCs w:val="22"/>
          <w:color w:val="auto"/>
        </w:rPr>
        <w:t>Michael Farley, Vice President</w:t>
      </w:r>
    </w:p>
    <w:p>
      <w:pPr>
        <w:spacing w:after="0" w:line="200" w:lineRule="exact"/>
        <w:rPr>
          <w:sz w:val="20"/>
          <w:szCs w:val="20"/>
          <w:color w:val="auto"/>
        </w:rPr>
      </w:pPr>
    </w:p>
    <w:p>
      <w:pPr>
        <w:spacing w:after="0" w:line="387" w:lineRule="exact"/>
        <w:rPr>
          <w:sz w:val="20"/>
          <w:szCs w:val="20"/>
          <w:color w:val="auto"/>
        </w:rPr>
      </w:pPr>
    </w:p>
    <w:p>
      <w:pPr>
        <w:ind w:left="4680"/>
        <w:spacing w:after="0"/>
        <w:rPr>
          <w:sz w:val="20"/>
          <w:szCs w:val="20"/>
          <w:color w:val="auto"/>
        </w:rPr>
      </w:pPr>
      <w:r>
        <w:rPr>
          <w:rFonts w:ascii="Arial" w:cs="Arial" w:eastAsia="Arial" w:hAnsi="Arial"/>
          <w:sz w:val="22"/>
          <w:szCs w:val="22"/>
          <w:b w:val="1"/>
          <w:bCs w:val="1"/>
          <w:u w:val="single" w:color="auto"/>
          <w:color w:val="auto"/>
        </w:rPr>
        <w:t>TENANT</w:t>
      </w:r>
      <w:r>
        <w:rPr>
          <w:rFonts w:ascii="Arial" w:cs="Arial" w:eastAsia="Arial" w:hAnsi="Arial"/>
          <w:sz w:val="22"/>
          <w:szCs w:val="22"/>
          <w:b w:val="1"/>
          <w:bCs w:val="1"/>
          <w:color w:val="auto"/>
        </w:rPr>
        <w:t>:</w:t>
      </w:r>
    </w:p>
    <w:p>
      <w:pPr>
        <w:spacing w:after="0" w:line="178" w:lineRule="exact"/>
        <w:rPr>
          <w:sz w:val="20"/>
          <w:szCs w:val="20"/>
          <w:color w:val="auto"/>
        </w:rPr>
      </w:pPr>
    </w:p>
    <w:p>
      <w:pPr>
        <w:ind w:left="4680"/>
        <w:spacing w:after="0"/>
        <w:rPr>
          <w:sz w:val="20"/>
          <w:szCs w:val="20"/>
          <w:color w:val="auto"/>
        </w:rPr>
      </w:pPr>
      <w:r>
        <w:rPr>
          <w:rFonts w:ascii="Arial" w:cs="Arial" w:eastAsia="Arial" w:hAnsi="Arial"/>
          <w:sz w:val="21"/>
          <w:szCs w:val="21"/>
          <w:color w:val="auto"/>
        </w:rPr>
        <w:t>BLUEPRINT MEDICINES CORPORATION,</w:t>
      </w:r>
    </w:p>
    <w:p>
      <w:pPr>
        <w:ind w:left="4680"/>
        <w:spacing w:after="0"/>
        <w:rPr>
          <w:sz w:val="20"/>
          <w:szCs w:val="20"/>
          <w:color w:val="auto"/>
        </w:rPr>
      </w:pPr>
      <w:r>
        <w:rPr>
          <w:rFonts w:ascii="Arial" w:cs="Arial" w:eastAsia="Arial" w:hAnsi="Arial"/>
          <w:sz w:val="22"/>
          <w:szCs w:val="22"/>
          <w:color w:val="auto"/>
        </w:rPr>
        <w:t>a Delaware corporation</w:t>
      </w:r>
    </w:p>
    <w:p>
      <w:pPr>
        <w:spacing w:after="0" w:line="200" w:lineRule="exact"/>
        <w:rPr>
          <w:sz w:val="20"/>
          <w:szCs w:val="20"/>
          <w:color w:val="auto"/>
        </w:rPr>
      </w:pPr>
    </w:p>
    <w:p>
      <w:pPr>
        <w:spacing w:after="0" w:line="37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Jeffrey Albers</w:t>
      </w:r>
    </w:p>
    <w:p>
      <w:pPr>
        <w:ind w:left="4960"/>
        <w:spacing w:after="0"/>
        <w:rPr>
          <w:sz w:val="20"/>
          <w:szCs w:val="20"/>
          <w:color w:val="auto"/>
        </w:rPr>
      </w:pPr>
      <w:r>
        <w:rPr>
          <w:rFonts w:ascii="Arial" w:cs="Arial" w:eastAsia="Arial" w:hAnsi="Arial"/>
          <w:sz w:val="22"/>
          <w:szCs w:val="22"/>
          <w:color w:val="auto"/>
        </w:rPr>
        <w:t>Jeffrey Albers, Chief Executive Officer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67310</wp:posOffset>
            </wp:positionV>
            <wp:extent cx="554863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3" w:name="page144"/>
    <w:bookmarkEnd w:id="143"/>
    <w:p>
      <w:pPr>
        <w:jc w:val="center"/>
        <w:ind w:right="-20"/>
        <w:spacing w:after="0"/>
        <w:rPr>
          <w:sz w:val="20"/>
          <w:szCs w:val="20"/>
          <w:color w:val="auto"/>
        </w:rPr>
      </w:pPr>
      <w:r>
        <w:rPr>
          <w:rFonts w:ascii="Arial" w:cs="Arial" w:eastAsia="Arial" w:hAnsi="Arial"/>
          <w:sz w:val="22"/>
          <w:szCs w:val="22"/>
          <w:b w:val="1"/>
          <w:bCs w:val="1"/>
          <w:color w:val="auto"/>
        </w:rPr>
        <w:t>EXHIBIT A-2</w:t>
      </w:r>
    </w:p>
    <w:p>
      <w:pPr>
        <w:jc w:val="center"/>
        <w:ind w:right="19"/>
        <w:spacing w:after="0" w:line="237" w:lineRule="auto"/>
        <w:rPr>
          <w:sz w:val="20"/>
          <w:szCs w:val="20"/>
          <w:color w:val="auto"/>
        </w:rPr>
      </w:pPr>
      <w:r>
        <w:rPr>
          <w:rFonts w:ascii="Arial" w:cs="Arial" w:eastAsia="Arial" w:hAnsi="Arial"/>
          <w:sz w:val="19"/>
          <w:szCs w:val="19"/>
          <w:color w:val="auto"/>
        </w:rPr>
        <w:t>FLOOR PLAN OF EXPANSION AREA</w:t>
      </w:r>
    </w:p>
    <w:p>
      <w:pPr>
        <w:jc w:val="center"/>
        <w:ind w:right="-20"/>
        <w:spacing w:after="0"/>
        <w:rPr>
          <w:sz w:val="20"/>
          <w:szCs w:val="20"/>
          <w:color w:val="auto"/>
        </w:rPr>
      </w:pPr>
      <w:r>
        <w:rPr>
          <w:rFonts w:ascii="Arial" w:cs="Arial" w:eastAsia="Arial" w:hAnsi="Arial"/>
          <w:sz w:val="22"/>
          <w:szCs w:val="22"/>
          <w:color w:val="auto"/>
        </w:rPr>
        <w:t>(Second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124460</wp:posOffset>
            </wp:positionV>
            <wp:extent cx="5351145" cy="34905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6">
                      <a:extLst>
                        <a:ext uri="{28A0092B-C50C-407E-A947-70E740481C1C}"/>
                      </a:extLst>
                    </a:blip>
                    <a:srcRect/>
                    <a:stretch>
                      <a:fillRect/>
                    </a:stretch>
                  </pic:blipFill>
                  <pic:spPr bwMode="auto">
                    <a:xfrm>
                      <a:off x="0" y="0"/>
                      <a:ext cx="5351145" cy="349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67310</wp:posOffset>
            </wp:positionV>
            <wp:extent cx="554863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7">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86" w:right="1440" w:bottom="1440" w:gutter="0" w:footer="0" w:header="0"/>
        </w:sectPr>
      </w:pPr>
    </w:p>
    <w:bookmarkStart w:id="144" w:name="page145"/>
    <w:bookmarkEnd w:id="144"/>
    <w:p>
      <w:pPr>
        <w:ind w:left="7940"/>
        <w:spacing w:after="0"/>
        <w:rPr>
          <w:sz w:val="20"/>
          <w:szCs w:val="20"/>
          <w:color w:val="auto"/>
        </w:rPr>
      </w:pPr>
      <w:r>
        <w:rPr>
          <w:rFonts w:ascii="Arial" w:cs="Arial" w:eastAsia="Arial" w:hAnsi="Arial"/>
          <w:sz w:val="16"/>
          <w:szCs w:val="16"/>
          <w:b w:val="1"/>
          <w:bCs w:val="1"/>
          <w:color w:val="auto"/>
        </w:rPr>
        <w:t>Exhibit 21.1</w:t>
      </w:r>
    </w:p>
    <w:p>
      <w:pPr>
        <w:spacing w:after="0" w:line="167"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3360" w:type="dxa"/>
            <w:vAlign w:val="bottom"/>
            <w:gridSpan w:val="3"/>
          </w:tcPr>
          <w:p>
            <w:pPr>
              <w:ind w:left="40"/>
              <w:spacing w:after="0"/>
              <w:rPr>
                <w:sz w:val="20"/>
                <w:szCs w:val="20"/>
                <w:color w:val="auto"/>
              </w:rPr>
            </w:pPr>
            <w:r>
              <w:rPr>
                <w:rFonts w:ascii="Arial" w:cs="Arial" w:eastAsia="Arial" w:hAnsi="Arial"/>
                <w:sz w:val="18"/>
                <w:szCs w:val="18"/>
                <w:b w:val="1"/>
                <w:bCs w:val="1"/>
                <w:color w:val="auto"/>
              </w:rPr>
              <w:t>Subsidiaries of the Registrant</w:t>
            </w:r>
          </w:p>
        </w:tc>
        <w:tc>
          <w:tcPr>
            <w:tcW w:w="2180" w:type="dxa"/>
            <w:vAlign w:val="bottom"/>
          </w:tcPr>
          <w:p>
            <w:pPr>
              <w:spacing w:after="0"/>
              <w:rPr>
                <w:sz w:val="20"/>
                <w:szCs w:val="20"/>
                <w:color w:val="auto"/>
              </w:rPr>
            </w:pPr>
          </w:p>
        </w:tc>
      </w:tr>
      <w:tr>
        <w:trPr>
          <w:trHeight w:val="378"/>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Entity</w:t>
            </w:r>
          </w:p>
        </w:tc>
        <w:tc>
          <w:tcPr>
            <w:tcW w:w="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State of Incorporation or Organization</w:t>
            </w:r>
          </w:p>
        </w:tc>
        <w:tc>
          <w:tcPr>
            <w:tcW w:w="2180" w:type="dxa"/>
            <w:vAlign w:val="bottom"/>
          </w:tcPr>
          <w:p>
            <w:pPr>
              <w:spacing w:after="0"/>
              <w:rPr>
                <w:sz w:val="24"/>
                <w:szCs w:val="24"/>
                <w:color w:val="auto"/>
              </w:rPr>
            </w:pPr>
          </w:p>
        </w:tc>
      </w:tr>
      <w:tr>
        <w:trPr>
          <w:trHeight w:val="304"/>
        </w:trPr>
        <w:tc>
          <w:tcPr>
            <w:tcW w:w="3200" w:type="dxa"/>
            <w:vAlign w:val="bottom"/>
          </w:tcPr>
          <w:p>
            <w:pPr>
              <w:jc w:val="center"/>
              <w:spacing w:after="0"/>
              <w:rPr>
                <w:sz w:val="20"/>
                <w:szCs w:val="20"/>
                <w:color w:val="auto"/>
              </w:rPr>
            </w:pPr>
            <w:r>
              <w:rPr>
                <w:rFonts w:ascii="Arial" w:cs="Arial" w:eastAsia="Arial" w:hAnsi="Arial"/>
                <w:sz w:val="18"/>
                <w:szCs w:val="18"/>
                <w:color w:val="auto"/>
                <w:w w:val="93"/>
              </w:rPr>
              <w:t>Blueprint Medicines Security Corporation</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86"/>
              </w:rPr>
              <w:t>Massachusetts</w:t>
            </w:r>
          </w:p>
        </w:tc>
        <w:tc>
          <w:tcPr>
            <w:tcW w:w="2180" w:type="dxa"/>
            <w:vAlign w:val="bottom"/>
          </w:tcPr>
          <w:p>
            <w:pPr>
              <w:spacing w:after="0"/>
              <w:rPr>
                <w:sz w:val="24"/>
                <w:szCs w:val="24"/>
                <w:color w:val="auto"/>
              </w:rPr>
            </w:pPr>
          </w:p>
        </w:tc>
      </w:tr>
      <w:tr>
        <w:trPr>
          <w:trHeight w:val="952"/>
        </w:trPr>
        <w:tc>
          <w:tcPr>
            <w:tcW w:w="3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8" w:right="1440" w:bottom="1440" w:gutter="0" w:footer="0" w:header="0"/>
        </w:sectPr>
      </w:pPr>
    </w:p>
    <w:bookmarkStart w:id="145" w:name="page146"/>
    <w:bookmarkEnd w:id="145"/>
    <w:p>
      <w:pPr>
        <w:jc w:val="right"/>
        <w:ind w:right="139"/>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1120" w:hanging="321"/>
        <w:spacing w:after="0"/>
        <w:tabs>
          <w:tab w:leader="none" w:pos="11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Registration Statement (Form S-3 No. 333-216573) of Blueprint Medicines Corporation,</w:t>
      </w:r>
    </w:p>
    <w:p>
      <w:pPr>
        <w:spacing w:after="0" w:line="225" w:lineRule="exact"/>
        <w:rPr>
          <w:rFonts w:ascii="Arial" w:cs="Arial" w:eastAsia="Arial" w:hAnsi="Arial"/>
          <w:sz w:val="18"/>
          <w:szCs w:val="18"/>
          <w:color w:val="auto"/>
        </w:rPr>
      </w:pPr>
    </w:p>
    <w:p>
      <w:pPr>
        <w:jc w:val="both"/>
        <w:ind w:left="1120" w:right="379" w:hanging="321"/>
        <w:spacing w:after="0" w:line="264" w:lineRule="auto"/>
        <w:tabs>
          <w:tab w:leader="none" w:pos="11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Registration Statement (Form S-8 No. 333-203749) pertaining to the 2011 Stock Option and Grant Plan, 2015 Stock Option and Incentive Plan, and 2015 Employee Stock Purchase Plan of Blueprint Medicines Corporation, and</w:t>
      </w:r>
    </w:p>
    <w:p>
      <w:pPr>
        <w:spacing w:after="0" w:line="181" w:lineRule="exact"/>
        <w:rPr>
          <w:rFonts w:ascii="Arial" w:cs="Arial" w:eastAsia="Arial" w:hAnsi="Arial"/>
          <w:sz w:val="18"/>
          <w:szCs w:val="18"/>
          <w:color w:val="auto"/>
        </w:rPr>
      </w:pPr>
    </w:p>
    <w:p>
      <w:pPr>
        <w:ind w:left="1120" w:right="179" w:hanging="321"/>
        <w:spacing w:after="0" w:line="342" w:lineRule="auto"/>
        <w:tabs>
          <w:tab w:leader="none" w:pos="11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Registration Statements (Form S-8 Nos. 333-210125 and 333-216575) pertaining to the 2015 Stock Option and Incentive Plan and 2015 Employee Stock Purchase Plan of Blueprint Medicines Corporation;</w:t>
      </w:r>
    </w:p>
    <w:p>
      <w:pPr>
        <w:spacing w:after="0" w:line="124" w:lineRule="exact"/>
        <w:rPr>
          <w:sz w:val="20"/>
          <w:szCs w:val="20"/>
          <w:color w:val="auto"/>
        </w:rPr>
      </w:pPr>
    </w:p>
    <w:p>
      <w:pPr>
        <w:ind w:left="160" w:right="199"/>
        <w:spacing w:after="0" w:line="312" w:lineRule="auto"/>
        <w:rPr>
          <w:sz w:val="20"/>
          <w:szCs w:val="20"/>
          <w:color w:val="auto"/>
        </w:rPr>
      </w:pPr>
      <w:r>
        <w:rPr>
          <w:rFonts w:ascii="Arial" w:cs="Arial" w:eastAsia="Arial" w:hAnsi="Arial"/>
          <w:sz w:val="16"/>
          <w:szCs w:val="16"/>
          <w:color w:val="auto"/>
        </w:rPr>
        <w:t>of our reports dated February 21, 2018, with respect to the consolidated financial statements of Blueprint Medicines Corporation and the effectiveness of internal control over financial reporting of Blueprint Medicines Corporation included in this Annual Report (Form 10-K) of Blueprint Medicines Corporation for the year ended December 31, 2017.</w:t>
      </w:r>
    </w:p>
    <w:p>
      <w:pPr>
        <w:spacing w:after="0" w:line="14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February 21,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142875</wp:posOffset>
            </wp:positionV>
            <wp:extent cx="554863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6" w:name="page147"/>
    <w:bookmarkEnd w:id="146"/>
    <w:p>
      <w:pPr>
        <w:jc w:val="right"/>
        <w:ind w:right="139"/>
        <w:spacing w:after="0"/>
        <w:rPr>
          <w:sz w:val="20"/>
          <w:szCs w:val="20"/>
          <w:color w:val="auto"/>
        </w:rPr>
      </w:pPr>
      <w:r>
        <w:rPr>
          <w:rFonts w:ascii="Arial" w:cs="Arial" w:eastAsia="Arial" w:hAnsi="Arial"/>
          <w:sz w:val="18"/>
          <w:szCs w:val="18"/>
          <w:b w:val="1"/>
          <w:bCs w:val="1"/>
          <w:color w:val="auto"/>
        </w:rPr>
        <w:t>Exhibit 31.1</w:t>
      </w: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Jeffrey W. Albers, certify that:</w:t>
      </w:r>
    </w:p>
    <w:p>
      <w:pPr>
        <w:spacing w:after="0" w:line="185" w:lineRule="exact"/>
        <w:rPr>
          <w:sz w:val="20"/>
          <w:szCs w:val="20"/>
          <w:color w:val="auto"/>
        </w:rPr>
      </w:pPr>
    </w:p>
    <w:p>
      <w:pPr>
        <w:ind w:left="1460" w:hanging="661"/>
        <w:spacing w:after="0"/>
        <w:tabs>
          <w:tab w:leader="none" w:pos="1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Blueprint Medicines Corporation;</w:t>
      </w:r>
    </w:p>
    <w:p>
      <w:pPr>
        <w:spacing w:after="0" w:line="184" w:lineRule="exact"/>
        <w:rPr>
          <w:rFonts w:ascii="Arial" w:cs="Arial" w:eastAsia="Arial" w:hAnsi="Arial"/>
          <w:sz w:val="18"/>
          <w:szCs w:val="18"/>
          <w:color w:val="auto"/>
        </w:rPr>
      </w:pPr>
    </w:p>
    <w:p>
      <w:pPr>
        <w:ind w:left="160" w:right="159" w:firstLine="639"/>
        <w:spacing w:after="0" w:line="224" w:lineRule="auto"/>
        <w:tabs>
          <w:tab w:leader="none" w:pos="1474"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160" w:right="219" w:firstLine="639"/>
        <w:spacing w:after="0" w:line="224" w:lineRule="auto"/>
        <w:tabs>
          <w:tab w:leader="none" w:pos="1474"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160" w:right="419" w:firstLine="639"/>
        <w:spacing w:after="0" w:line="224" w:lineRule="auto"/>
        <w:tabs>
          <w:tab w:leader="none" w:pos="1474"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3" w:lineRule="exact"/>
        <w:rPr>
          <w:rFonts w:ascii="Arial" w:cs="Arial" w:eastAsia="Arial" w:hAnsi="Arial"/>
          <w:sz w:val="18"/>
          <w:szCs w:val="18"/>
          <w:color w:val="auto"/>
        </w:rPr>
      </w:pPr>
    </w:p>
    <w:p>
      <w:pPr>
        <w:ind w:left="800" w:right="259" w:firstLine="647"/>
        <w:spacing w:after="0" w:line="219" w:lineRule="auto"/>
        <w:tabs>
          <w:tab w:leader="none" w:pos="2098"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800" w:right="239" w:firstLine="647"/>
        <w:spacing w:after="0" w:line="219" w:lineRule="auto"/>
        <w:tabs>
          <w:tab w:leader="none" w:pos="2108"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800" w:right="259" w:firstLine="647"/>
        <w:spacing w:after="0" w:line="224" w:lineRule="auto"/>
        <w:tabs>
          <w:tab w:leader="none" w:pos="2125" w:val="left"/>
        </w:tabs>
        <w:numPr>
          <w:ilvl w:val="1"/>
          <w:numId w:val="8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800" w:right="199" w:firstLine="647"/>
        <w:spacing w:after="0" w:line="219" w:lineRule="auto"/>
        <w:tabs>
          <w:tab w:leader="none" w:pos="2108"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160" w:right="319" w:firstLine="639"/>
        <w:spacing w:after="0" w:line="224" w:lineRule="auto"/>
        <w:tabs>
          <w:tab w:leader="none" w:pos="1474"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800" w:right="219" w:firstLine="647"/>
        <w:spacing w:after="0" w:line="224" w:lineRule="auto"/>
        <w:tabs>
          <w:tab w:leader="none" w:pos="2098" w:val="left"/>
        </w:tabs>
        <w:numPr>
          <w:ilvl w:val="1"/>
          <w:numId w:val="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800" w:right="259" w:firstLine="647"/>
        <w:spacing w:after="0" w:line="235" w:lineRule="auto"/>
        <w:tabs>
          <w:tab w:leader="none" w:pos="2108"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9" w:lineRule="exact"/>
        <w:rPr>
          <w:sz w:val="20"/>
          <w:szCs w:val="20"/>
          <w:color w:val="auto"/>
        </w:rPr>
      </w:pPr>
    </w:p>
    <w:p>
      <w:pPr>
        <w:ind w:left="160"/>
        <w:spacing w:after="0"/>
        <w:tabs>
          <w:tab w:leader="none" w:pos="4500" w:val="left"/>
        </w:tabs>
        <w:rPr>
          <w:sz w:val="20"/>
          <w:szCs w:val="20"/>
          <w:color w:val="auto"/>
        </w:rPr>
      </w:pPr>
      <w:r>
        <w:rPr>
          <w:rFonts w:ascii="Arial" w:cs="Arial" w:eastAsia="Arial" w:hAnsi="Arial"/>
          <w:sz w:val="18"/>
          <w:szCs w:val="18"/>
          <w:color w:val="auto"/>
        </w:rPr>
        <w:t>Date: February 21, 2018</w:t>
      </w:r>
      <w:r>
        <w:rPr>
          <w:sz w:val="20"/>
          <w:szCs w:val="20"/>
          <w:color w:val="auto"/>
        </w:rPr>
        <w:tab/>
      </w:r>
      <w:r>
        <w:rPr>
          <w:rFonts w:ascii="Arial" w:cs="Arial" w:eastAsia="Arial" w:hAnsi="Arial"/>
          <w:sz w:val="16"/>
          <w:szCs w:val="16"/>
          <w:color w:val="auto"/>
        </w:rPr>
        <w:t>By:/s/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-635</wp:posOffset>
            </wp:positionV>
            <wp:extent cx="25984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4780"/>
        <w:spacing w:after="0" w:line="203" w:lineRule="auto"/>
        <w:rPr>
          <w:sz w:val="20"/>
          <w:szCs w:val="20"/>
          <w:color w:val="auto"/>
        </w:rPr>
      </w:pPr>
      <w:r>
        <w:rPr>
          <w:rFonts w:ascii="Arial" w:cs="Arial" w:eastAsia="Arial" w:hAnsi="Arial"/>
          <w:sz w:val="18"/>
          <w:szCs w:val="18"/>
          <w:color w:val="auto"/>
        </w:rPr>
        <w:t>Jeffrey W. Albers</w:t>
      </w:r>
    </w:p>
    <w:p>
      <w:pPr>
        <w:ind w:left="4780"/>
        <w:spacing w:after="0" w:line="204" w:lineRule="auto"/>
        <w:rPr>
          <w:sz w:val="20"/>
          <w:szCs w:val="20"/>
          <w:color w:val="auto"/>
        </w:rPr>
      </w:pPr>
      <w:r>
        <w:rPr>
          <w:rFonts w:ascii="Arial" w:cs="Arial" w:eastAsia="Arial" w:hAnsi="Arial"/>
          <w:sz w:val="18"/>
          <w:szCs w:val="18"/>
          <w:color w:val="auto"/>
        </w:rPr>
        <w:t>President and Chief Executive Officer</w:t>
      </w:r>
    </w:p>
    <w:p>
      <w:pPr>
        <w:ind w:left="47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96" w:right="1440" w:bottom="1440" w:gutter="0" w:footer="0" w:header="0"/>
        </w:sectPr>
      </w:pPr>
    </w:p>
    <w:bookmarkStart w:id="147" w:name="page148"/>
    <w:bookmarkEnd w:id="147"/>
    <w:p>
      <w:pPr>
        <w:jc w:val="right"/>
        <w:ind w:right="139"/>
        <w:spacing w:after="0"/>
        <w:rPr>
          <w:sz w:val="20"/>
          <w:szCs w:val="20"/>
          <w:color w:val="auto"/>
        </w:rPr>
      </w:pPr>
      <w:r>
        <w:rPr>
          <w:rFonts w:ascii="Arial" w:cs="Arial" w:eastAsia="Arial" w:hAnsi="Arial"/>
          <w:sz w:val="18"/>
          <w:szCs w:val="18"/>
          <w:b w:val="1"/>
          <w:bCs w:val="1"/>
          <w:color w:val="auto"/>
        </w:rPr>
        <w:t>Exhibit 31.2</w:t>
      </w: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Michael Landsittel, certify that:</w:t>
      </w:r>
    </w:p>
    <w:p>
      <w:pPr>
        <w:spacing w:after="0" w:line="185" w:lineRule="exact"/>
        <w:rPr>
          <w:sz w:val="20"/>
          <w:szCs w:val="20"/>
          <w:color w:val="auto"/>
        </w:rPr>
      </w:pPr>
    </w:p>
    <w:p>
      <w:pPr>
        <w:ind w:left="1460" w:hanging="661"/>
        <w:spacing w:after="0"/>
        <w:tabs>
          <w:tab w:leader="none" w:pos="1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Blueprint Medicines Corporation;</w:t>
      </w:r>
    </w:p>
    <w:p>
      <w:pPr>
        <w:spacing w:after="0" w:line="184" w:lineRule="exact"/>
        <w:rPr>
          <w:rFonts w:ascii="Arial" w:cs="Arial" w:eastAsia="Arial" w:hAnsi="Arial"/>
          <w:sz w:val="18"/>
          <w:szCs w:val="18"/>
          <w:color w:val="auto"/>
        </w:rPr>
      </w:pPr>
    </w:p>
    <w:p>
      <w:pPr>
        <w:ind w:left="160" w:right="159" w:firstLine="639"/>
        <w:spacing w:after="0" w:line="224" w:lineRule="auto"/>
        <w:tabs>
          <w:tab w:leader="none" w:pos="1474"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160" w:right="219" w:firstLine="639"/>
        <w:spacing w:after="0" w:line="224" w:lineRule="auto"/>
        <w:tabs>
          <w:tab w:leader="none" w:pos="1474"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160" w:right="419" w:firstLine="639"/>
        <w:spacing w:after="0" w:line="224" w:lineRule="auto"/>
        <w:tabs>
          <w:tab w:leader="none" w:pos="1474"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3" w:lineRule="exact"/>
        <w:rPr>
          <w:rFonts w:ascii="Arial" w:cs="Arial" w:eastAsia="Arial" w:hAnsi="Arial"/>
          <w:sz w:val="18"/>
          <w:szCs w:val="18"/>
          <w:color w:val="auto"/>
        </w:rPr>
      </w:pPr>
    </w:p>
    <w:p>
      <w:pPr>
        <w:ind w:left="800" w:right="259" w:firstLine="647"/>
        <w:spacing w:after="0" w:line="219" w:lineRule="auto"/>
        <w:tabs>
          <w:tab w:leader="none" w:pos="2098"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800" w:right="239" w:firstLine="647"/>
        <w:spacing w:after="0" w:line="219" w:lineRule="auto"/>
        <w:tabs>
          <w:tab w:leader="none" w:pos="2108"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800" w:right="259" w:firstLine="647"/>
        <w:spacing w:after="0" w:line="224" w:lineRule="auto"/>
        <w:tabs>
          <w:tab w:leader="none" w:pos="2125" w:val="left"/>
        </w:tabs>
        <w:numPr>
          <w:ilvl w:val="1"/>
          <w:numId w:val="8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800" w:right="199" w:firstLine="647"/>
        <w:spacing w:after="0" w:line="219" w:lineRule="auto"/>
        <w:tabs>
          <w:tab w:leader="none" w:pos="2108"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160" w:right="319" w:firstLine="639"/>
        <w:spacing w:after="0" w:line="224" w:lineRule="auto"/>
        <w:tabs>
          <w:tab w:leader="none" w:pos="1474"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800" w:right="219" w:firstLine="647"/>
        <w:spacing w:after="0" w:line="224" w:lineRule="auto"/>
        <w:tabs>
          <w:tab w:leader="none" w:pos="2098" w:val="left"/>
        </w:tabs>
        <w:numPr>
          <w:ilvl w:val="1"/>
          <w:numId w:val="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800" w:right="259" w:firstLine="647"/>
        <w:spacing w:after="0" w:line="235" w:lineRule="auto"/>
        <w:tabs>
          <w:tab w:leader="none" w:pos="2108"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9" w:lineRule="exact"/>
        <w:rPr>
          <w:sz w:val="20"/>
          <w:szCs w:val="20"/>
          <w:color w:val="auto"/>
        </w:rPr>
      </w:pPr>
    </w:p>
    <w:p>
      <w:pPr>
        <w:ind w:left="160"/>
        <w:spacing w:after="0"/>
        <w:tabs>
          <w:tab w:leader="none" w:pos="4500" w:val="left"/>
        </w:tabs>
        <w:rPr>
          <w:sz w:val="20"/>
          <w:szCs w:val="20"/>
          <w:color w:val="auto"/>
        </w:rPr>
      </w:pPr>
      <w:r>
        <w:rPr>
          <w:rFonts w:ascii="Arial" w:cs="Arial" w:eastAsia="Arial" w:hAnsi="Arial"/>
          <w:sz w:val="18"/>
          <w:szCs w:val="18"/>
          <w:color w:val="auto"/>
        </w:rPr>
        <w:t>Date: February 21, 2018</w:t>
      </w:r>
      <w:r>
        <w:rPr>
          <w:sz w:val="20"/>
          <w:szCs w:val="20"/>
          <w:color w:val="auto"/>
        </w:rPr>
        <w:tab/>
      </w:r>
      <w:r>
        <w:rPr>
          <w:rFonts w:ascii="Arial" w:cs="Arial" w:eastAsia="Arial" w:hAnsi="Arial"/>
          <w:sz w:val="17"/>
          <w:szCs w:val="17"/>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-635</wp:posOffset>
            </wp:positionV>
            <wp:extent cx="25984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4780"/>
        <w:spacing w:after="0" w:line="203" w:lineRule="auto"/>
        <w:rPr>
          <w:sz w:val="20"/>
          <w:szCs w:val="20"/>
          <w:color w:val="auto"/>
        </w:rPr>
      </w:pPr>
      <w:r>
        <w:rPr>
          <w:rFonts w:ascii="Arial" w:cs="Arial" w:eastAsia="Arial" w:hAnsi="Arial"/>
          <w:sz w:val="18"/>
          <w:szCs w:val="18"/>
          <w:color w:val="auto"/>
        </w:rPr>
        <w:t>Michael Landsittel</w:t>
      </w:r>
    </w:p>
    <w:p>
      <w:pPr>
        <w:ind w:left="4780"/>
        <w:spacing w:after="0" w:line="204" w:lineRule="auto"/>
        <w:rPr>
          <w:sz w:val="20"/>
          <w:szCs w:val="20"/>
          <w:color w:val="auto"/>
        </w:rPr>
      </w:pPr>
      <w:r>
        <w:rPr>
          <w:rFonts w:ascii="Arial" w:cs="Arial" w:eastAsia="Arial" w:hAnsi="Arial"/>
          <w:sz w:val="18"/>
          <w:szCs w:val="18"/>
          <w:color w:val="auto"/>
        </w:rPr>
        <w:t>Vice President of Finance</w:t>
      </w:r>
    </w:p>
    <w:p>
      <w:pPr>
        <w:ind w:left="47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96" w:right="1440" w:bottom="1440" w:gutter="0" w:footer="0" w:header="0"/>
        </w:sectPr>
      </w:pPr>
    </w:p>
    <w:bookmarkStart w:id="148" w:name="page149"/>
    <w:bookmarkEnd w:id="148"/>
    <w:p>
      <w:pPr>
        <w:jc w:val="right"/>
        <w:ind w:right="139"/>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ind w:left="160" w:right="139"/>
        <w:spacing w:after="0" w:line="22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2" w:lineRule="exact"/>
        <w:rPr>
          <w:sz w:val="20"/>
          <w:szCs w:val="20"/>
          <w:color w:val="auto"/>
        </w:rPr>
      </w:pPr>
    </w:p>
    <w:p>
      <w:pPr>
        <w:ind w:left="160" w:right="219" w:firstLine="648"/>
        <w:spacing w:after="0" w:line="219" w:lineRule="auto"/>
        <w:rPr>
          <w:sz w:val="20"/>
          <w:szCs w:val="20"/>
          <w:color w:val="auto"/>
        </w:rPr>
      </w:pPr>
      <w:r>
        <w:rPr>
          <w:rFonts w:ascii="Arial" w:cs="Arial" w:eastAsia="Arial" w:hAnsi="Arial"/>
          <w:sz w:val="18"/>
          <w:szCs w:val="18"/>
          <w:color w:val="auto"/>
        </w:rPr>
        <w:t>In connection with the Annual Report on Form 10-K of Blueprint Medicines Corporation (the “Company”) for the year ended December 31, 2017 as filed with the Securities and Exchange Commission on the date hereof (the “Report”), each of the undersigned officers of the Company hereby certifies, pursuant to 18 U.S.C. Section 1350, that to his knowledge:</w:t>
      </w:r>
    </w:p>
    <w:p>
      <w:pPr>
        <w:spacing w:after="0" w:line="163" w:lineRule="exact"/>
        <w:rPr>
          <w:sz w:val="20"/>
          <w:szCs w:val="20"/>
          <w:color w:val="auto"/>
        </w:rPr>
      </w:pPr>
    </w:p>
    <w:p>
      <w:pPr>
        <w:ind w:left="1440" w:right="299" w:hanging="560"/>
        <w:spacing w:after="0" w:line="235" w:lineRule="auto"/>
        <w:tabs>
          <w:tab w:leader="none" w:pos="146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1" w:lineRule="exact"/>
        <w:rPr>
          <w:rFonts w:ascii="Arial" w:cs="Arial" w:eastAsia="Arial" w:hAnsi="Arial"/>
          <w:sz w:val="18"/>
          <w:szCs w:val="18"/>
          <w:color w:val="auto"/>
        </w:rPr>
      </w:pPr>
    </w:p>
    <w:p>
      <w:pPr>
        <w:ind w:left="1440" w:right="219" w:hanging="560"/>
        <w:spacing w:after="0" w:line="235" w:lineRule="auto"/>
        <w:tabs>
          <w:tab w:leader="none" w:pos="146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6" w:lineRule="exact"/>
        <w:rPr>
          <w:sz w:val="20"/>
          <w:szCs w:val="20"/>
          <w:color w:val="auto"/>
        </w:rPr>
      </w:pPr>
    </w:p>
    <w:p>
      <w:pPr>
        <w:ind w:left="160"/>
        <w:spacing w:after="0"/>
        <w:tabs>
          <w:tab w:leader="none" w:pos="4580" w:val="left"/>
        </w:tabs>
        <w:rPr>
          <w:sz w:val="20"/>
          <w:szCs w:val="20"/>
          <w:color w:val="auto"/>
        </w:rPr>
      </w:pPr>
      <w:r>
        <w:rPr>
          <w:rFonts w:ascii="Arial" w:cs="Arial" w:eastAsia="Arial" w:hAnsi="Arial"/>
          <w:sz w:val="18"/>
          <w:szCs w:val="18"/>
          <w:color w:val="auto"/>
        </w:rPr>
        <w:t>Date: February 21, 2018</w:t>
      </w:r>
      <w:r>
        <w:rPr>
          <w:sz w:val="20"/>
          <w:szCs w:val="20"/>
          <w:color w:val="auto"/>
        </w:rPr>
        <w:tab/>
      </w:r>
      <w:r>
        <w:rPr>
          <w:rFonts w:ascii="Arial" w:cs="Arial" w:eastAsia="Arial" w:hAnsi="Arial"/>
          <w:sz w:val="16"/>
          <w:szCs w:val="16"/>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-635</wp:posOffset>
            </wp:positionV>
            <wp:extent cx="251269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3">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ind w:left="4920"/>
        <w:spacing w:after="0" w:line="203" w:lineRule="auto"/>
        <w:rPr>
          <w:sz w:val="20"/>
          <w:szCs w:val="20"/>
          <w:color w:val="auto"/>
        </w:rPr>
      </w:pPr>
      <w:r>
        <w:rPr>
          <w:rFonts w:ascii="Arial" w:cs="Arial" w:eastAsia="Arial" w:hAnsi="Arial"/>
          <w:sz w:val="18"/>
          <w:szCs w:val="18"/>
          <w:color w:val="auto"/>
        </w:rPr>
        <w:t>Jeffrey W. Albers</w:t>
      </w:r>
    </w:p>
    <w:p>
      <w:pPr>
        <w:ind w:left="4920"/>
        <w:spacing w:after="0" w:line="204" w:lineRule="auto"/>
        <w:rPr>
          <w:sz w:val="20"/>
          <w:szCs w:val="20"/>
          <w:color w:val="auto"/>
        </w:rPr>
      </w:pPr>
      <w:r>
        <w:rPr>
          <w:rFonts w:ascii="Arial" w:cs="Arial" w:eastAsia="Arial" w:hAnsi="Arial"/>
          <w:sz w:val="18"/>
          <w:szCs w:val="18"/>
          <w:color w:val="auto"/>
        </w:rPr>
        <w:t>President and Chief Executive Officer</w:t>
      </w:r>
    </w:p>
    <w:p>
      <w:pPr>
        <w:ind w:left="4920"/>
        <w:spacing w:after="0"/>
        <w:rPr>
          <w:sz w:val="20"/>
          <w:szCs w:val="20"/>
          <w:color w:val="auto"/>
        </w:rPr>
      </w:pPr>
      <w:r>
        <w:rPr>
          <w:rFonts w:ascii="Arial" w:cs="Arial" w:eastAsia="Arial" w:hAnsi="Arial"/>
          <w:sz w:val="18"/>
          <w:szCs w:val="18"/>
          <w:i w:val="1"/>
          <w:iCs w:val="1"/>
          <w:color w:val="auto"/>
        </w:rPr>
        <w:t>(Principal Executive Officer)</w:t>
      </w:r>
    </w:p>
    <w:p>
      <w:pPr>
        <w:spacing w:after="0" w:line="126" w:lineRule="exact"/>
        <w:rPr>
          <w:sz w:val="20"/>
          <w:szCs w:val="20"/>
          <w:color w:val="auto"/>
        </w:rPr>
      </w:pPr>
    </w:p>
    <w:p>
      <w:pPr>
        <w:ind w:left="160"/>
        <w:spacing w:after="0"/>
        <w:tabs>
          <w:tab w:leader="none" w:pos="4580" w:val="left"/>
        </w:tabs>
        <w:rPr>
          <w:sz w:val="20"/>
          <w:szCs w:val="20"/>
          <w:color w:val="auto"/>
        </w:rPr>
      </w:pPr>
      <w:r>
        <w:rPr>
          <w:rFonts w:ascii="Arial" w:cs="Arial" w:eastAsia="Arial" w:hAnsi="Arial"/>
          <w:sz w:val="18"/>
          <w:szCs w:val="18"/>
          <w:color w:val="auto"/>
        </w:rPr>
        <w:t>Date: February 21, 2018</w:t>
      </w:r>
      <w:r>
        <w:rPr>
          <w:sz w:val="20"/>
          <w:szCs w:val="20"/>
          <w:color w:val="auto"/>
        </w:rPr>
        <w:tab/>
      </w:r>
      <w:r>
        <w:rPr>
          <w:rFonts w:ascii="Arial" w:cs="Arial" w:eastAsia="Arial" w:hAnsi="Arial"/>
          <w:sz w:val="16"/>
          <w:szCs w:val="16"/>
          <w:color w:val="auto"/>
        </w:rPr>
        <w:t>By: /s/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-635</wp:posOffset>
            </wp:positionV>
            <wp:extent cx="251269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4">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ind w:left="4920"/>
        <w:spacing w:after="0" w:line="203" w:lineRule="auto"/>
        <w:rPr>
          <w:sz w:val="20"/>
          <w:szCs w:val="20"/>
          <w:color w:val="auto"/>
        </w:rPr>
      </w:pPr>
      <w:r>
        <w:rPr>
          <w:rFonts w:ascii="Arial" w:cs="Arial" w:eastAsia="Arial" w:hAnsi="Arial"/>
          <w:sz w:val="18"/>
          <w:szCs w:val="18"/>
          <w:color w:val="auto"/>
        </w:rPr>
        <w:t>Michael Landsittel</w:t>
      </w:r>
    </w:p>
    <w:p>
      <w:pPr>
        <w:ind w:left="4920"/>
        <w:spacing w:after="0" w:line="204" w:lineRule="auto"/>
        <w:rPr>
          <w:sz w:val="20"/>
          <w:szCs w:val="20"/>
          <w:color w:val="auto"/>
        </w:rPr>
      </w:pPr>
      <w:r>
        <w:rPr>
          <w:rFonts w:ascii="Arial" w:cs="Arial" w:eastAsia="Arial" w:hAnsi="Arial"/>
          <w:sz w:val="18"/>
          <w:szCs w:val="18"/>
          <w:color w:val="auto"/>
        </w:rPr>
        <w:t>Vice President of Finance</w:t>
      </w:r>
    </w:p>
    <w:p>
      <w:pPr>
        <w:ind w:left="49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1."/>
      <w:numFmt w:val="upperLetter"/>
      <w:start w:val="1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1)"/>
      <w:numFmt w:val="decimal"/>
      <w:start w:val="3"/>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1)"/>
      <w:numFmt w:val="decimal"/>
      <w:start w:val="1"/>
    </w:lvl>
  </w:abstractNum>
  <w:abstractNum w:abstractNumId="11">
    <w:nsid w:val="6DE91B18"/>
    <w:multiLevelType w:val="hybridMultilevel"/>
    <w:lvl w:ilvl="0">
      <w:lvlJc w:val="left"/>
      <w:lvlText w:val="(%1)"/>
      <w:numFmt w:val="decimal"/>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1."/>
      <w:numFmt w:val="decimal"/>
      <w:start w:val="2"/>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1)"/>
      <w:numFmt w:val="lowerRoman"/>
      <w:start w:val="3"/>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1)"/>
      <w:numFmt w:val="lowerRoman"/>
      <w:start w:val="5"/>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1)"/>
      <w:numFmt w:val="decimal"/>
      <w:start w:val="1"/>
    </w:lvl>
  </w:abstractNum>
  <w:abstractNum w:abstractNumId="49">
    <w:nsid w:val="1DBABF00"/>
    <w:multiLevelType w:val="hybridMultilevel"/>
    <w:lvl w:ilvl="0">
      <w:lvlJc w:val="left"/>
      <w:lvlText w:val="(%1)"/>
      <w:numFmt w:val="decimal"/>
      <w:start w:val="1"/>
    </w:lvl>
  </w:abstractNum>
  <w:abstractNum w:abstractNumId="50">
    <w:nsid w:val="4AD084E9"/>
    <w:multiLevelType w:val="hybridMultilevel"/>
    <w:lvl w:ilvl="0">
      <w:lvlJc w:val="left"/>
      <w:lvlText w:val="·"/>
      <w:numFmt w:val="bullet"/>
      <w:start w:val="1"/>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
      <w:numFmt w:val="bullet"/>
      <w:start w:val="1"/>
    </w:lvl>
  </w:abstractNum>
  <w:abstractNum w:abstractNumId="53">
    <w:nsid w:val="5DB70AE5"/>
    <w:multiLevelType w:val="hybridMultilevel"/>
    <w:lvl w:ilvl="0">
      <w:lvlJc w:val="left"/>
      <w:lvlText w:val="·"/>
      <w:numFmt w:val="bullet"/>
      <w:start w:val="1"/>
    </w:lvl>
  </w:abstractNum>
  <w:abstractNum w:abstractNumId="54">
    <w:nsid w:val="100F8FCA"/>
    <w:multiLevelType w:val="hybridMultilevel"/>
    <w:lvl w:ilvl="0">
      <w:lvlJc w:val="left"/>
      <w:lvlText w:val="·"/>
      <w:numFmt w:val="bullet"/>
      <w:start w:val="1"/>
    </w:lvl>
  </w:abstractNum>
  <w:abstractNum w:abstractNumId="55">
    <w:nsid w:val="6590700B"/>
    <w:multiLevelType w:val="hybridMultilevel"/>
    <w:lvl w:ilvl="0">
      <w:lvlJc w:val="left"/>
      <w:lvlText w:val="·"/>
      <w:numFmt w:val="bullet"/>
      <w:start w:val="1"/>
    </w:lvl>
  </w:abstractNum>
  <w:abstractNum w:abstractNumId="56">
    <w:nsid w:val="15014ACB"/>
    <w:multiLevelType w:val="hybridMultilevel"/>
    <w:lvl w:ilvl="0">
      <w:lvlJc w:val="left"/>
      <w:lvlText w:val="·"/>
      <w:numFmt w:val="bullet"/>
      <w:start w:val="1"/>
    </w:lvl>
  </w:abstractNum>
  <w:abstractNum w:abstractNumId="57">
    <w:nsid w:val="5F5E7FD0"/>
    <w:multiLevelType w:val="hybridMultilevel"/>
    <w:lvl w:ilvl="0">
      <w:lvlJc w:val="left"/>
      <w:lvlText w:val="·"/>
      <w:numFmt w:val="bullet"/>
      <w:start w:val="1"/>
    </w:lvl>
  </w:abstractNum>
  <w:abstractNum w:abstractNumId="58">
    <w:nsid w:val="98A3148"/>
    <w:multiLevelType w:val="hybridMultilevel"/>
    <w:lvl w:ilvl="0">
      <w:lvlJc w:val="left"/>
      <w:lvlText w:val="·"/>
      <w:numFmt w:val="bullet"/>
      <w:start w:val="1"/>
    </w:lvl>
  </w:abstractNum>
  <w:abstractNum w:abstractNumId="59">
    <w:nsid w:val="799D0247"/>
    <w:multiLevelType w:val="hybridMultilevel"/>
    <w:lvl w:ilvl="0">
      <w:lvlJc w:val="left"/>
      <w:lvlText w:val="·"/>
      <w:numFmt w:val="bullet"/>
      <w:start w:val="1"/>
    </w:lvl>
  </w:abstractNum>
  <w:abstractNum w:abstractNumId="60">
    <w:nsid w:val="6B94764"/>
    <w:multiLevelType w:val="hybridMultilevel"/>
    <w:lvl w:ilvl="0">
      <w:lvlJc w:val="left"/>
      <w:lvlText w:val="·"/>
      <w:numFmt w:val="bullet"/>
      <w:start w:val="1"/>
    </w:lvl>
  </w:abstractNum>
  <w:abstractNum w:abstractNumId="61">
    <w:nsid w:val="42C296BD"/>
    <w:multiLevelType w:val="hybridMultilevel"/>
    <w:lvl w:ilvl="0">
      <w:lvlJc w:val="left"/>
      <w:lvlText w:val="·"/>
      <w:numFmt w:val="bullet"/>
      <w:start w:val="1"/>
    </w:lvl>
  </w:abstractNum>
  <w:abstractNum w:abstractNumId="62">
    <w:nsid w:val="168E121F"/>
    <w:multiLevelType w:val="hybridMultilevel"/>
    <w:lvl w:ilvl="0">
      <w:lvlJc w:val="left"/>
      <w:lvlText w:val="·"/>
      <w:numFmt w:val="bullet"/>
      <w:start w:val="1"/>
    </w:lvl>
  </w:abstractNum>
  <w:abstractNum w:abstractNumId="63">
    <w:nsid w:val="1EBA5D23"/>
    <w:multiLevelType w:val="hybridMultilevel"/>
    <w:lvl w:ilvl="0">
      <w:lvlJc w:val="left"/>
      <w:lvlText w:val="(%1)"/>
      <w:numFmt w:val="decimal"/>
      <w:start w:val="1"/>
    </w:lvl>
  </w:abstractNum>
  <w:abstractNum w:abstractNumId="64">
    <w:nsid w:val="661E3F1E"/>
    <w:multiLevelType w:val="hybridMultilevel"/>
    <w:lvl w:ilvl="0">
      <w:lvlJc w:val="left"/>
      <w:lvlText w:val="·"/>
      <w:numFmt w:val="bullet"/>
      <w:start w:val="1"/>
    </w:lvl>
  </w:abstractNum>
  <w:abstractNum w:abstractNumId="65">
    <w:nsid w:val="5DC79EA8"/>
    <w:multiLevelType w:val="hybridMultilevel"/>
    <w:lvl w:ilvl="0">
      <w:lvlJc w:val="left"/>
      <w:lvlText w:val="(%1)"/>
      <w:numFmt w:val="decimal"/>
      <w:start w:val="1"/>
    </w:lvl>
  </w:abstractNum>
  <w:abstractNum w:abstractNumId="66">
    <w:nsid w:val="540A471C"/>
    <w:multiLevelType w:val="hybridMultilevel"/>
    <w:lvl w:ilvl="0">
      <w:lvlJc w:val="left"/>
      <w:lvlText w:val="(%1)"/>
      <w:numFmt w:val="decimal"/>
      <w:start w:val="3"/>
    </w:lvl>
  </w:abstractNum>
  <w:abstractNum w:abstractNumId="67">
    <w:nsid w:val="7BD3EE7B"/>
    <w:multiLevelType w:val="hybridMultilevel"/>
    <w:lvl w:ilvl="0">
      <w:lvlJc w:val="left"/>
      <w:lvlText w:val="†"/>
      <w:numFmt w:val="bullet"/>
      <w:start w:val="1"/>
    </w:lvl>
  </w:abstractNum>
  <w:abstractNum w:abstractNumId="68">
    <w:nsid w:val="51D9C564"/>
    <w:multiLevelType w:val="hybridMultilevel"/>
    <w:lvl w:ilvl="0">
      <w:lvlJc w:val="left"/>
      <w:lvlText w:val="+"/>
      <w:numFmt w:val="bullet"/>
      <w:start w:val="1"/>
    </w:lvl>
  </w:abstractNum>
  <w:abstractNum w:abstractNumId="69">
    <w:nsid w:val="613EFDC5"/>
    <w:multiLevelType w:val="hybridMultilevel"/>
    <w:lvl w:ilvl="0">
      <w:lvlJc w:val="left"/>
      <w:lvlText w:val="·"/>
      <w:numFmt w:val="bullet"/>
      <w:start w:val="1"/>
    </w:lvl>
  </w:abstractNum>
  <w:abstractNum w:abstractNumId="70">
    <w:nsid w:val="BF72B14"/>
    <w:multiLevelType w:val="hybridMultilevel"/>
    <w:lvl w:ilvl="0">
      <w:lvlJc w:val="left"/>
      <w:lvlText w:val="·"/>
      <w:numFmt w:val="bullet"/>
      <w:start w:val="1"/>
    </w:lvl>
  </w:abstractNum>
  <w:abstractNum w:abstractNumId="71">
    <w:nsid w:val="11447B73"/>
    <w:multiLevelType w:val="hybridMultilevel"/>
    <w:lvl w:ilvl="0">
      <w:lvlJc w:val="left"/>
      <w:lvlText w:val="·"/>
      <w:numFmt w:val="bullet"/>
      <w:start w:val="1"/>
    </w:lvl>
  </w:abstractNum>
  <w:abstractNum w:abstractNumId="72">
    <w:nsid w:val="42963E5A"/>
    <w:multiLevelType w:val="hybridMultilevel"/>
    <w:lvl w:ilvl="0">
      <w:lvlJc w:val="left"/>
      <w:lvlText w:val="·"/>
      <w:numFmt w:val="bullet"/>
      <w:start w:val="1"/>
    </w:lvl>
  </w:abstractNum>
  <w:abstractNum w:abstractNumId="73">
    <w:nsid w:val="A0382C5"/>
    <w:multiLevelType w:val="hybridMultilevel"/>
    <w:lvl w:ilvl="0">
      <w:lvlJc w:val="left"/>
      <w:lvlText w:val="(%1)"/>
      <w:numFmt w:val="lowerRoman"/>
      <w:start w:val="3"/>
    </w:lvl>
  </w:abstractNum>
  <w:abstractNum w:abstractNumId="74">
    <w:nsid w:val="8F2B15E"/>
    <w:multiLevelType w:val="hybridMultilevel"/>
    <w:lvl w:ilvl="0">
      <w:lvlJc w:val="left"/>
      <w:lvlText w:val="(%1)"/>
      <w:numFmt w:val="decimal"/>
      <w:start w:val="1"/>
    </w:lvl>
  </w:abstractNum>
  <w:abstractNum w:abstractNumId="75">
    <w:nsid w:val="1A32234B"/>
    <w:multiLevelType w:val="hybridMultilevel"/>
    <w:lvl w:ilvl="0">
      <w:lvlJc w:val="left"/>
      <w:lvlText w:val="%1."/>
      <w:numFmt w:val="decimal"/>
      <w:start w:val="1"/>
    </w:lvl>
  </w:abstractNum>
  <w:abstractNum w:abstractNumId="76">
    <w:nsid w:val="3B0FD379"/>
    <w:multiLevelType w:val="hybridMultilevel"/>
    <w:lvl w:ilvl="0">
      <w:lvlJc w:val="left"/>
      <w:lvlText w:val="%1"/>
      <w:numFmt w:val="decimal"/>
      <w:start w:val="1"/>
    </w:lvl>
    <w:lvl w:ilvl="1">
      <w:lvlJc w:val="left"/>
      <w:lvlText w:val="%2."/>
      <w:numFmt w:val="decimal"/>
      <w:start w:val="3"/>
    </w:lvl>
  </w:abstractNum>
  <w:abstractNum w:abstractNumId="77">
    <w:nsid w:val="68EB2F63"/>
    <w:multiLevelType w:val="hybridMultilevel"/>
    <w:lvl w:ilvl="0">
      <w:lvlJc w:val="left"/>
      <w:lvlText w:val="%1."/>
      <w:numFmt w:val="decimal"/>
      <w:start w:val="5"/>
    </w:lvl>
    <w:lvl w:ilvl="1">
      <w:lvlJc w:val="left"/>
      <w:lvlText w:val="%2"/>
      <w:numFmt w:val="decimal"/>
      <w:start w:val="1"/>
    </w:lvl>
  </w:abstractNum>
  <w:abstractNum w:abstractNumId="78">
    <w:nsid w:val="4962813B"/>
    <w:multiLevelType w:val="hybridMultilevel"/>
    <w:lvl w:ilvl="0">
      <w:lvlJc w:val="left"/>
      <w:lvlText w:val="(%1)"/>
      <w:numFmt w:val="decimal"/>
      <w:start w:val="1"/>
    </w:lvl>
  </w:abstractNum>
  <w:abstractNum w:abstractNumId="79">
    <w:nsid w:val="60B6DF70"/>
    <w:multiLevelType w:val="hybridMultilevel"/>
    <w:lvl w:ilvl="0">
      <w:lvlJc w:val="left"/>
      <w:lvlText w:val="%1."/>
      <w:numFmt w:val="decimal"/>
      <w:start w:val="1"/>
    </w:lvl>
    <w:lvl w:ilvl="1">
      <w:lvlJc w:val="left"/>
      <w:lvlText w:val="(%2)"/>
      <w:numFmt w:val="lowerLetter"/>
      <w:start w:val="1"/>
    </w:lvl>
  </w:abstractNum>
  <w:abstractNum w:abstractNumId="80">
    <w:nsid w:val="6A5EE64"/>
    <w:multiLevelType w:val="hybridMultilevel"/>
    <w:lvl w:ilvl="0">
      <w:lvlJc w:val="left"/>
      <w:lvlText w:val="%1."/>
      <w:numFmt w:val="decimal"/>
      <w:start w:val="1"/>
    </w:lvl>
    <w:lvl w:ilvl="1">
      <w:lvlJc w:val="left"/>
      <w:lvlText w:val="(%2)"/>
      <w:numFmt w:val="lowerLetter"/>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61" Type="http://schemas.openxmlformats.org/officeDocument/2006/relationships/image" Target="media/image131.png"/><Relationship Id="rId162" Type="http://schemas.openxmlformats.org/officeDocument/2006/relationships/image" Target="media/image132.png"/><Relationship Id="rId163" Type="http://schemas.openxmlformats.org/officeDocument/2006/relationships/image" Target="media/image133.png"/><Relationship Id="rId164" Type="http://schemas.openxmlformats.org/officeDocument/2006/relationships/image" Target="media/image134.png"/><Relationship Id="rId165" Type="http://schemas.openxmlformats.org/officeDocument/2006/relationships/image" Target="media/image135.png"/><Relationship Id="rId166" Type="http://schemas.openxmlformats.org/officeDocument/2006/relationships/image" Target="media/image136.png"/><Relationship Id="rId167" Type="http://schemas.openxmlformats.org/officeDocument/2006/relationships/image" Target="media/image137.png"/><Relationship Id="rId168" Type="http://schemas.openxmlformats.org/officeDocument/2006/relationships/image" Target="media/image138.png"/><Relationship Id="rId169" Type="http://schemas.openxmlformats.org/officeDocument/2006/relationships/image" Target="media/image139.png"/><Relationship Id="rId170" Type="http://schemas.openxmlformats.org/officeDocument/2006/relationships/image" Target="media/image140.png"/><Relationship Id="rId171" Type="http://schemas.openxmlformats.org/officeDocument/2006/relationships/image" Target="media/image141.png"/><Relationship Id="rId172" Type="http://schemas.openxmlformats.org/officeDocument/2006/relationships/image" Target="media/image142.png"/><Relationship Id="rId173" Type="http://schemas.openxmlformats.org/officeDocument/2006/relationships/image" Target="media/image143.png"/><Relationship Id="rId174" Type="http://schemas.openxmlformats.org/officeDocument/2006/relationships/image" Target="media/image144.png"/><Relationship Id="rId175" Type="http://schemas.openxmlformats.org/officeDocument/2006/relationships/image" Target="media/image145.png"/><Relationship Id="rId176" Type="http://schemas.openxmlformats.org/officeDocument/2006/relationships/image" Target="media/image146.png"/><Relationship Id="rId177" Type="http://schemas.openxmlformats.org/officeDocument/2006/relationships/image" Target="media/image147.png"/><Relationship Id="rId178" Type="http://schemas.openxmlformats.org/officeDocument/2006/relationships/image" Target="media/image148.png"/><Relationship Id="rId179" Type="http://schemas.openxmlformats.org/officeDocument/2006/relationships/image" Target="media/image149.png"/><Relationship Id="rId180" Type="http://schemas.openxmlformats.org/officeDocument/2006/relationships/image" Target="media/image150.png"/><Relationship Id="rId181" Type="http://schemas.openxmlformats.org/officeDocument/2006/relationships/image" Target="media/image151.png"/><Relationship Id="rId182" Type="http://schemas.openxmlformats.org/officeDocument/2006/relationships/image" Target="media/image152.png"/><Relationship Id="rId183" Type="http://schemas.openxmlformats.org/officeDocument/2006/relationships/image" Target="media/image153.png"/><Relationship Id="rId184" Type="http://schemas.openxmlformats.org/officeDocument/2006/relationships/image" Target="media/image154.png"/><Relationship Id="rId185" Type="http://schemas.openxmlformats.org/officeDocument/2006/relationships/image" Target="media/image155.png"/><Relationship Id="rId186" Type="http://schemas.openxmlformats.org/officeDocument/2006/relationships/image" Target="media/image156.png"/><Relationship Id="rId187" Type="http://schemas.openxmlformats.org/officeDocument/2006/relationships/image" Target="media/image157.png"/><Relationship Id="rId188" Type="http://schemas.openxmlformats.org/officeDocument/2006/relationships/image" Target="media/image158.png"/><Relationship Id="rId189" Type="http://schemas.openxmlformats.org/officeDocument/2006/relationships/image" Target="media/image159.png"/><Relationship Id="rId190" Type="http://schemas.openxmlformats.org/officeDocument/2006/relationships/image" Target="media/image160.png"/><Relationship Id="rId191" Type="http://schemas.openxmlformats.org/officeDocument/2006/relationships/image" Target="media/image161.png"/><Relationship Id="rId192" Type="http://schemas.openxmlformats.org/officeDocument/2006/relationships/image" Target="media/image162.png"/><Relationship Id="rId193" Type="http://schemas.openxmlformats.org/officeDocument/2006/relationships/image" Target="media/image163.png"/><Relationship Id="rId194" Type="http://schemas.openxmlformats.org/officeDocument/2006/relationships/image" Target="media/image164.png"/><Relationship Id="rId195" Type="http://schemas.openxmlformats.org/officeDocument/2006/relationships/image" Target="media/image165.png"/><Relationship Id="rId196" Type="http://schemas.openxmlformats.org/officeDocument/2006/relationships/image" Target="media/image166.jpeg"/><Relationship Id="rId197" Type="http://schemas.openxmlformats.org/officeDocument/2006/relationships/image" Target="media/image167.png"/><Relationship Id="rId198" Type="http://schemas.openxmlformats.org/officeDocument/2006/relationships/image" Target="media/image168.png"/><Relationship Id="rId199" Type="http://schemas.openxmlformats.org/officeDocument/2006/relationships/image" Target="media/image169.png"/><Relationship Id="rId200" Type="http://schemas.openxmlformats.org/officeDocument/2006/relationships/image" Target="media/image170.png"/><Relationship Id="rId201" Type="http://schemas.openxmlformats.org/officeDocument/2006/relationships/image" Target="media/image171.png"/><Relationship Id="rId202" Type="http://schemas.openxmlformats.org/officeDocument/2006/relationships/image" Target="media/image172.png"/><Relationship Id="rId203" Type="http://schemas.openxmlformats.org/officeDocument/2006/relationships/image" Target="media/image173.png"/><Relationship Id="rId204" Type="http://schemas.openxmlformats.org/officeDocument/2006/relationships/image" Target="media/image174.png"/><Relationship Id="rId205" Type="http://schemas.openxmlformats.org/officeDocument/2006/relationships/image" Target="media/image175.png"/><Relationship Id="rId138" Type="http://schemas.openxmlformats.org/officeDocument/2006/relationships/hyperlink" Target="http://www.sec.gov/Archives/edgar/data/1597264/000155837015002529/bpmc-20150930ex3100367a3.htm" TargetMode="External"/><Relationship Id="rId139" Type="http://schemas.openxmlformats.org/officeDocument/2006/relationships/hyperlink" Target="http://www.sec.gov/Archives/edgar/data/1597264/000155837015002529/bpmc-20150930ex32d28c430.htm" TargetMode="External"/><Relationship Id="rId140" Type="http://schemas.openxmlformats.org/officeDocument/2006/relationships/hyperlink" Target="http://www.sec.gov/Archives/edgar/data/1597264/000104746915003668/a2224211zex-4_1.htm" TargetMode="External"/><Relationship Id="rId141" Type="http://schemas.openxmlformats.org/officeDocument/2006/relationships/hyperlink" Target="http://www.sec.gov/Archives/edgar/data/1597264/000104746915002608/a2223883zex-4_4.htm" TargetMode="External"/><Relationship Id="rId142" Type="http://schemas.openxmlformats.org/officeDocument/2006/relationships/hyperlink" Target="http://www.sec.gov/Archives/edgar/data/1597264/000104746915002608/a2223883zex-10_1.htm" TargetMode="External"/><Relationship Id="rId143" Type="http://schemas.openxmlformats.org/officeDocument/2006/relationships/hyperlink" Target="http://www.sec.gov/Archives/edgar/data/1597264/000155837016004066/bpmc-20151231ex102677f1d.htm" TargetMode="External"/><Relationship Id="rId144" Type="http://schemas.openxmlformats.org/officeDocument/2006/relationships/hyperlink" Target="http://www.sec.gov/Archives/edgar/data/1597264/000110465915032381/a15-10041_1ex99d3.htm" TargetMode="External"/><Relationship Id="rId145" Type="http://schemas.openxmlformats.org/officeDocument/2006/relationships/hyperlink" Target="http://www.sec.gov/Archives/edgar/data/1597264/000104746915002608/a2223883zex-10_4.htm" TargetMode="External"/><Relationship Id="rId146" Type="http://schemas.openxmlformats.org/officeDocument/2006/relationships/hyperlink" Target="http://www.sec.gov/Archives/edgar/data/1597264/000155837017003397/bpmc-20170331ex1015d322c.htm" TargetMode="External"/><Relationship Id="rId147" Type="http://schemas.openxmlformats.org/officeDocument/2006/relationships/hyperlink" Target="http://www.sec.gov/Archives/edgar/data/1597264/000155837015002529/bpmc-20150930ex10257b824.htm" TargetMode="External"/><Relationship Id="rId148" Type="http://schemas.openxmlformats.org/officeDocument/2006/relationships/hyperlink" Target="http://www.sec.gov/Archives/edgar/data/1597264/000155837015002529/bpmc-20150930ex1044ce742.htm" TargetMode="External"/><Relationship Id="rId149" Type="http://schemas.openxmlformats.org/officeDocument/2006/relationships/hyperlink" Target="http://www.sec.gov/Archives/edgar/data/1597264/000155837016004066/bpmc-20151231ex109ea407e.htm" TargetMode="External"/><Relationship Id="rId150" Type="http://schemas.openxmlformats.org/officeDocument/2006/relationships/hyperlink" Target="http://www.sec.gov/Archives/edgar/data/1597264/000155837016009951/bpmc-20160930ex1035083d6.htm" TargetMode="External"/><Relationship Id="rId151" Type="http://schemas.openxmlformats.org/officeDocument/2006/relationships/hyperlink" Target="http://www.sec.gov/Archives/edgar/data/1597264/000155837016010074/bpmc_ex101marion-employmen.htm" TargetMode="External"/><Relationship Id="rId152" Type="http://schemas.openxmlformats.org/officeDocument/2006/relationships/hyperlink" Target="http://www.sec.gov/Archives/edgar/data/1597264/000155837017007829/bpmc-20170930ex101a9a4c6.htm" TargetMode="External"/><Relationship Id="rId153" Type="http://schemas.openxmlformats.org/officeDocument/2006/relationships/hyperlink" Target="http://www.sec.gov/Archives/edgar/data/1597264/000155837017009050/ex-10d1.htm" TargetMode="External"/><Relationship Id="rId154" Type="http://schemas.openxmlformats.org/officeDocument/2006/relationships/hyperlink" Target="http://www.sec.gov/Archives/edgar/data/1597264/000155837016004066/bpmc-20151231ex10114f00f.htm" TargetMode="External"/><Relationship Id="rId155" Type="http://schemas.openxmlformats.org/officeDocument/2006/relationships/hyperlink" Target="http://www.sec.gov/Archives/edgar/data/1597264/000155837016006732/bpmc-20160331ex1025287b1.htm" TargetMode="External"/><Relationship Id="rId156" Type="http://schemas.openxmlformats.org/officeDocument/2006/relationships/hyperlink" Target="http://www.sec.gov/Archives/edgar/data/1597264/000155837016007817/bpmc-20160630ex10190ad0c.htm" TargetMode="External"/><Relationship Id="rId157" Type="http://schemas.openxmlformats.org/officeDocument/2006/relationships/hyperlink" Target="http://www.sec.gov/Archives/edgar/data/1597264/000155837016009951/bpmc-20160930ex101983993.htm" TargetMode="External"/><Relationship Id="rId158" Type="http://schemas.openxmlformats.org/officeDocument/2006/relationships/hyperlink" Target="http://www.sec.gov/Archives/edgar/data/1597264/000104746915002608/a2223883zex-10_11.htm" TargetMode="External"/><Relationship Id="rId159" Type="http://schemas.openxmlformats.org/officeDocument/2006/relationships/hyperlink" Target="http://www.sec.gov/Archives/edgar/data/1597264/000104746915002608/a2223883zex-10_12.htm" TargetMode="External"/><Relationship Id="rId160" Type="http://schemas.openxmlformats.org/officeDocument/2006/relationships/hyperlink" Target="http://www.sec.gov/Archives/edgar/data/1597264/000155837016004066/bpmc-20151231ex101559e5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2019-12-29T01:21:20Z</dcterms:created>
  <dcterms:modified xsi:type="dcterms:W3CDTF">2019-12-29T01:21:20Z</dcterms:modified>
</cp:coreProperties>
</file>