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Landsittel Michael</w:t>
              </w:r>
            </w:hyperlink>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4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Arial" w:cs="Arial" w:eastAsia="Arial" w:hAnsi="Arial"/>
                <w:sz w:val="17"/>
                <w:szCs w:val="17"/>
                <w:color w:val="0000FF"/>
              </w:rPr>
              <w:t>03/03/2022</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65"/>
        <w:spacing w:after="0"/>
        <w:rPr>
          <w:sz w:val="20"/>
          <w:szCs w:val="20"/>
          <w:color w:val="auto"/>
        </w:rPr>
      </w:pPr>
      <w:r>
        <w:rPr>
          <w:rFonts w:ascii="Arial" w:cs="Arial" w:eastAsia="Arial" w:hAnsi="Arial"/>
          <w:sz w:val="17"/>
          <w:szCs w:val="17"/>
          <w:color w:val="0000FF"/>
        </w:rPr>
        <w:t>CHIEF FINANCIAL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03/03/2022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1,328</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right="5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60.27</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40,077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03/07/2022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1,047</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56.19</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39,030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ind w:left="40" w:right="3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ranging from $56.18 to $57.13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19"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7"/>
              </w:rPr>
              <w:t>/s/ Ariel Hurley,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03/08/2022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1036"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2022-03-08T15:12:16Z</dcterms:created>
  <dcterms:modified xsi:type="dcterms:W3CDTF">2022-03-08T15:12:16Z</dcterms:modified>
</cp:coreProperties>
</file>