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auto"/>
        </w:rPr>
        <w:t>VIA EDGAR AND FACSIMILE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April 27, 2015</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Jeffrey P. Riedler</w:t>
      </w:r>
    </w:p>
    <w:p>
      <w:pPr>
        <w:sectPr>
          <w:pgSz w:w="11900" w:h="16838" w:orient="portrait"/>
          <w:cols w:equalWidth="0" w:num="1">
            <w:col w:w="11420"/>
          </w:cols>
          <w:pgMar w:left="240" w:top="445" w:right="2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Acceleration Request for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333-202398</w:t>
      </w:r>
    </w:p>
    <w:p>
      <w:pPr>
        <w:spacing w:after="0" w:line="200" w:lineRule="exact"/>
        <w:rPr>
          <w:sz w:val="24"/>
          <w:szCs w:val="24"/>
          <w:color w:val="auto"/>
        </w:rPr>
      </w:pPr>
    </w:p>
    <w:p>
      <w:pPr>
        <w:sectPr>
          <w:pgSz w:w="11900" w:h="16838" w:orient="portrait"/>
          <w:cols w:equalWidth="0" w:num="2">
            <w:col w:w="280" w:space="420"/>
            <w:col w:w="10720"/>
          </w:cols>
          <w:pgMar w:left="240" w:top="445"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Riedler:</w:t>
      </w:r>
    </w:p>
    <w:p>
      <w:pPr>
        <w:spacing w:after="0" w:line="221" w:lineRule="exact"/>
        <w:rPr>
          <w:sz w:val="24"/>
          <w:szCs w:val="24"/>
          <w:color w:val="auto"/>
        </w:rPr>
      </w:pPr>
    </w:p>
    <w:p>
      <w:pPr>
        <w:ind w:firstLine="648"/>
        <w:spacing w:after="0" w:line="303" w:lineRule="auto"/>
        <w:rPr>
          <w:sz w:val="20"/>
          <w:szCs w:val="20"/>
          <w:color w:val="auto"/>
        </w:rPr>
      </w:pPr>
      <w:r>
        <w:rPr>
          <w:rFonts w:ascii="Arial" w:cs="Arial" w:eastAsia="Arial" w:hAnsi="Arial"/>
          <w:sz w:val="16"/>
          <w:szCs w:val="16"/>
          <w:color w:val="auto"/>
        </w:rPr>
        <w:t>Pursuant to Rule 461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Blueprint Medicines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requests that the effective date of the above-referenced registration statement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be accelerated to April 29, at 4:30 p.m., Eastern Time, or as soon 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155" w:lineRule="exact"/>
        <w:rPr>
          <w:sz w:val="24"/>
          <w:szCs w:val="24"/>
          <w:color w:val="auto"/>
        </w:rPr>
      </w:pPr>
    </w:p>
    <w:p>
      <w:pPr>
        <w:ind w:right="40" w:firstLine="648"/>
        <w:spacing w:after="0" w:line="259" w:lineRule="auto"/>
        <w:rPr>
          <w:sz w:val="20"/>
          <w:szCs w:val="20"/>
          <w:color w:val="auto"/>
        </w:rPr>
      </w:pPr>
      <w:r>
        <w:rPr>
          <w:rFonts w:ascii="Arial" w:cs="Arial" w:eastAsia="Arial" w:hAnsi="Arial"/>
          <w:sz w:val="18"/>
          <w:szCs w:val="18"/>
          <w:color w:val="auto"/>
        </w:rPr>
        <w:t>Once the Registration Statement is effective, please orally confirm the event with our counsel, Goodwin Procter LLP by calling Michael J. Minahan at (617) 570-1021. We also respectfully request that a copy of the written order from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verifying the effective time and date of the Registration Statement be sent to our counsel, Goodwin Procter LLP, Attention: Michael J. Minahan, by facsimile to (617) 523-1231.</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connection with the foregoing, the Company hereby acknowledges the following:</w:t>
      </w:r>
    </w:p>
    <w:p>
      <w:pPr>
        <w:spacing w:after="0" w:line="225" w:lineRule="exact"/>
        <w:rPr>
          <w:sz w:val="24"/>
          <w:szCs w:val="24"/>
          <w:color w:val="auto"/>
        </w:rPr>
      </w:pPr>
    </w:p>
    <w:p>
      <w:pPr>
        <w:ind w:left="340" w:right="320" w:hanging="332"/>
        <w:spacing w:after="0" w:line="277"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of the Commission, acting pursuant to delegated authority, declare the Registration Statement effective, it does not foreclose the Commission from taking any action with respect to the Registration Statement;</w:t>
      </w:r>
    </w:p>
    <w:p>
      <w:pPr>
        <w:spacing w:after="0" w:line="170" w:lineRule="exact"/>
        <w:rPr>
          <w:rFonts w:ascii="Arial" w:cs="Arial" w:eastAsia="Arial" w:hAnsi="Arial"/>
          <w:sz w:val="18"/>
          <w:szCs w:val="18"/>
          <w:color w:val="auto"/>
        </w:rPr>
      </w:pPr>
    </w:p>
    <w:p>
      <w:pPr>
        <w:ind w:left="340" w:right="360" w:hanging="332"/>
        <w:spacing w:after="0" w:line="342" w:lineRule="auto"/>
        <w:tabs>
          <w:tab w:leader="none" w:pos="304"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of the Commission, acting pursuant to delegated authority, in declaring the Registration Statement effective, does not relieve the Company from its full responsibility for the adequacy and accuracy of the disclosure in the Registration Statement; and</w:t>
      </w:r>
    </w:p>
    <w:p>
      <w:pPr>
        <w:spacing w:after="0" w:line="123" w:lineRule="exact"/>
        <w:rPr>
          <w:rFonts w:ascii="Arial" w:cs="Arial" w:eastAsia="Arial" w:hAnsi="Arial"/>
          <w:sz w:val="16"/>
          <w:szCs w:val="16"/>
          <w:color w:val="auto"/>
        </w:rPr>
      </w:pPr>
    </w:p>
    <w:p>
      <w:pPr>
        <w:ind w:left="340" w:right="500" w:hanging="332"/>
        <w:spacing w:after="0" w:line="277"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you have any questions regarding this request, please contact Michael J. Minahan of Goodwin Procter LLP at (617) 570-1021.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BLUEPRINT MEDICINES CORPORATION</w:t>
      </w:r>
    </w:p>
    <w:p>
      <w:pPr>
        <w:spacing w:after="0" w:line="200" w:lineRule="exact"/>
        <w:rPr>
          <w:sz w:val="24"/>
          <w:szCs w:val="24"/>
          <w:color w:val="auto"/>
        </w:rPr>
      </w:pPr>
    </w:p>
    <w:p>
      <w:pPr>
        <w:spacing w:after="0" w:line="24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Jeffrey W. Albers</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Jeffrey W. Albers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4"/>
          <w:szCs w:val="24"/>
          <w:color w:val="auto"/>
        </w:rPr>
      </w:pPr>
    </w:p>
    <w:p>
      <w:pPr>
        <w:spacing w:after="0" w:line="227" w:lineRule="exact"/>
        <w:rPr>
          <w:sz w:val="24"/>
          <w:szCs w:val="24"/>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6"/>
          <w:szCs w:val="16"/>
          <w:color w:val="auto"/>
        </w:rPr>
        <w:t xml:space="preserve">Christine Bellon, </w:t>
      </w:r>
      <w:r>
        <w:rPr>
          <w:rFonts w:ascii="Arial" w:cs="Arial" w:eastAsia="Arial" w:hAnsi="Arial"/>
          <w:sz w:val="16"/>
          <w:szCs w:val="16"/>
          <w:i w:val="1"/>
          <w:iCs w:val="1"/>
          <w:color w:val="auto"/>
        </w:rPr>
        <w:t>Blueprint Medicines Corporation</w:t>
      </w:r>
    </w:p>
    <w:p>
      <w:pPr>
        <w:spacing w:after="0" w:line="23" w:lineRule="exact"/>
        <w:rPr>
          <w:sz w:val="24"/>
          <w:szCs w:val="24"/>
          <w:color w:val="auto"/>
        </w:rPr>
      </w:pPr>
    </w:p>
    <w:p>
      <w:pPr>
        <w:ind w:left="6100"/>
        <w:spacing w:after="0"/>
        <w:rPr>
          <w:sz w:val="20"/>
          <w:szCs w:val="20"/>
          <w:color w:val="auto"/>
        </w:rPr>
      </w:pPr>
      <w:r>
        <w:rPr>
          <w:rFonts w:ascii="Arial" w:cs="Arial" w:eastAsia="Arial" w:hAnsi="Arial"/>
          <w:sz w:val="18"/>
          <w:szCs w:val="18"/>
          <w:color w:val="auto"/>
        </w:rPr>
        <w:t xml:space="preserve">Kingsley L. Taft, </w:t>
      </w:r>
      <w:r>
        <w:rPr>
          <w:rFonts w:ascii="Arial" w:cs="Arial" w:eastAsia="Arial" w:hAnsi="Arial"/>
          <w:sz w:val="18"/>
          <w:szCs w:val="18"/>
          <w:i w:val="1"/>
          <w:iCs w:val="1"/>
          <w:color w:val="auto"/>
        </w:rPr>
        <w:t>Goodwin Procter LLP</w:t>
      </w:r>
    </w:p>
    <w:p>
      <w:pPr>
        <w:spacing w:after="0" w:line="9" w:lineRule="exact"/>
        <w:rPr>
          <w:sz w:val="24"/>
          <w:szCs w:val="24"/>
          <w:color w:val="auto"/>
        </w:rPr>
      </w:pPr>
    </w:p>
    <w:p>
      <w:pPr>
        <w:ind w:left="6100"/>
        <w:spacing w:after="0"/>
        <w:rPr>
          <w:sz w:val="20"/>
          <w:szCs w:val="20"/>
          <w:color w:val="auto"/>
        </w:rPr>
      </w:pPr>
      <w:r>
        <w:rPr>
          <w:rFonts w:ascii="Arial" w:cs="Arial" w:eastAsia="Arial" w:hAnsi="Arial"/>
          <w:sz w:val="18"/>
          <w:szCs w:val="18"/>
          <w:color w:val="auto"/>
        </w:rPr>
        <w:t xml:space="preserve">Michael J. Minahan, </w:t>
      </w:r>
      <w:r>
        <w:rPr>
          <w:rFonts w:ascii="Arial" w:cs="Arial" w:eastAsia="Arial" w:hAnsi="Arial"/>
          <w:sz w:val="18"/>
          <w:szCs w:val="18"/>
          <w:i w:val="1"/>
          <w:iCs w:val="1"/>
          <w:color w:val="auto"/>
        </w:rPr>
        <w:t>Goodwin Procter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2019-12-09T04:01:47Z</dcterms:created>
  <dcterms:modified xsi:type="dcterms:W3CDTF">2019-12-09T04:01:47Z</dcterms:modified>
</cp:coreProperties>
</file>