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17, 2021</w:t>
      </w:r>
    </w:p>
    <w:p>
      <w:pPr>
        <w:spacing w:after="0" w:line="28"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109855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39370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48895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Blueprint Medicines Corporation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8"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2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24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460" w:type="dxa"/>
            <w:vAlign w:val="bottom"/>
          </w:tcPr>
          <w:p>
            <w:pPr>
              <w:jc w:val="center"/>
              <w:ind w:left="33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of incorporation)</w:t>
            </w:r>
          </w:p>
        </w:tc>
        <w:tc>
          <w:tcPr>
            <w:tcW w:w="4460" w:type="dxa"/>
            <w:vAlign w:val="bottom"/>
          </w:tcPr>
          <w:p>
            <w:pPr>
              <w:jc w:val="center"/>
              <w:ind w:left="33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5"/>
        </w:trPr>
        <w:tc>
          <w:tcPr>
            <w:tcW w:w="2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45 Sidney Street</w:t>
            </w:r>
          </w:p>
        </w:tc>
        <w:tc>
          <w:tcPr>
            <w:tcW w:w="4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51"/>
        </w:trPr>
        <w:tc>
          <w:tcPr>
            <w:tcW w:w="2420" w:type="dxa"/>
            <w:vAlign w:val="bottom"/>
          </w:tcPr>
          <w:p>
            <w:pPr>
              <w:jc w:val="center"/>
              <w:ind w:right="68"/>
              <w:spacing w:after="0" w:line="151" w:lineRule="exact"/>
              <w:rPr>
                <w:sz w:val="20"/>
                <w:szCs w:val="20"/>
                <w:color w:val="auto"/>
              </w:rPr>
            </w:pPr>
            <w:r>
              <w:rPr>
                <w:rFonts w:ascii="Times New Roman" w:cs="Times New Roman" w:eastAsia="Times New Roman" w:hAnsi="Times New Roman"/>
                <w:sz w:val="14"/>
                <w:szCs w:val="14"/>
                <w:b w:val="1"/>
                <w:bCs w:val="1"/>
                <w:color w:val="auto"/>
              </w:rPr>
              <w:t>Cambridge, Massachusetts</w:t>
            </w:r>
          </w:p>
        </w:tc>
        <w:tc>
          <w:tcPr>
            <w:tcW w:w="4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60" w:type="dxa"/>
            <w:vAlign w:val="bottom"/>
          </w:tcPr>
          <w:p>
            <w:pPr>
              <w:jc w:val="center"/>
              <w:ind w:left="33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2015 Stock Option and Incentive Plan</w:t>
            </w: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460" w:type="dxa"/>
            <w:vAlign w:val="bottom"/>
          </w:tcPr>
          <w:p>
            <w:pPr>
              <w:jc w:val="center"/>
              <w:ind w:right="1728"/>
              <w:spacing w:after="0" w:line="151" w:lineRule="exact"/>
              <w:rPr>
                <w:sz w:val="20"/>
                <w:szCs w:val="20"/>
                <w:color w:val="auto"/>
              </w:rPr>
            </w:pPr>
            <w:r>
              <w:rPr>
                <w:rFonts w:ascii="Times New Roman" w:cs="Times New Roman" w:eastAsia="Times New Roman" w:hAnsi="Times New Roman"/>
                <w:sz w:val="14"/>
                <w:szCs w:val="14"/>
                <w:b w:val="1"/>
                <w:bCs w:val="1"/>
                <w:color w:val="auto"/>
              </w:rPr>
              <w:t>2015 Employee Stock Purchase Plan</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4460" w:type="dxa"/>
            <w:vAlign w:val="bottom"/>
          </w:tcPr>
          <w:p>
            <w:pPr>
              <w:jc w:val="center"/>
              <w:ind w:right="1748"/>
              <w:spacing w:after="0"/>
              <w:rPr>
                <w:sz w:val="20"/>
                <w:szCs w:val="20"/>
                <w:color w:val="auto"/>
              </w:rPr>
            </w:pPr>
            <w:r>
              <w:rPr>
                <w:rFonts w:ascii="Times New Roman" w:cs="Times New Roman" w:eastAsia="Times New Roman" w:hAnsi="Times New Roman"/>
                <w:sz w:val="14"/>
                <w:szCs w:val="14"/>
                <w:color w:val="auto"/>
              </w:rPr>
              <w:t>(Full titles of the plans)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Jeffrey W. Albers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28"/>
              <w:spacing w:after="0" w:line="149" w:lineRule="exact"/>
              <w:rPr>
                <w:sz w:val="20"/>
                <w:szCs w:val="20"/>
                <w:color w:val="auto"/>
              </w:rPr>
            </w:pPr>
            <w:r>
              <w:rPr>
                <w:rFonts w:ascii="Times New Roman" w:cs="Times New Roman" w:eastAsia="Times New Roman" w:hAnsi="Times New Roman"/>
                <w:sz w:val="14"/>
                <w:szCs w:val="14"/>
                <w:b w:val="1"/>
                <w:bCs w:val="1"/>
                <w:color w:val="auto"/>
              </w:rPr>
              <w:t>Blueprint Medicines Corporation</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460" w:type="dxa"/>
            <w:vAlign w:val="bottom"/>
          </w:tcPr>
          <w:p>
            <w:pPr>
              <w:jc w:val="center"/>
              <w:ind w:right="1748"/>
              <w:spacing w:after="0" w:line="149" w:lineRule="exact"/>
              <w:rPr>
                <w:sz w:val="20"/>
                <w:szCs w:val="20"/>
                <w:color w:val="auto"/>
              </w:rPr>
            </w:pPr>
            <w:r>
              <w:rPr>
                <w:rFonts w:ascii="Times New Roman" w:cs="Times New Roman" w:eastAsia="Times New Roman" w:hAnsi="Times New Roman"/>
                <w:sz w:val="14"/>
                <w:szCs w:val="14"/>
                <w:b w:val="1"/>
                <w:bCs w:val="1"/>
                <w:color w:val="auto"/>
              </w:rPr>
              <w:t>45 Sidney Street</w:t>
            </w: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460" w:type="dxa"/>
            <w:vAlign w:val="bottom"/>
          </w:tcPr>
          <w:p>
            <w:pPr>
              <w:jc w:val="center"/>
              <w:ind w:right="1748"/>
              <w:spacing w:after="0" w:line="151" w:lineRule="exact"/>
              <w:rPr>
                <w:sz w:val="20"/>
                <w:szCs w:val="20"/>
                <w:color w:val="auto"/>
              </w:rPr>
            </w:pPr>
            <w:r>
              <w:rPr>
                <w:rFonts w:ascii="Times New Roman" w:cs="Times New Roman" w:eastAsia="Times New Roman" w:hAnsi="Times New Roman"/>
                <w:sz w:val="14"/>
                <w:szCs w:val="14"/>
                <w:b w:val="1"/>
                <w:bCs w:val="1"/>
                <w:color w:val="auto"/>
              </w:rPr>
              <w:t>Cambridge, Massachusetts 02139</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446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(Name and address of agent for service)</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(617) 374-7580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send copies of all communications to:</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Kingsley L. Taft, Esq.</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Danielle M. Lauzon, Esq.</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Goodwin Procter LLP</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100 Northern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Boston, Massachusetts 02210</w:t>
      </w:r>
    </w:p>
    <w:p>
      <w:pPr>
        <w:jc w:val="center"/>
        <w:spacing w:after="0"/>
        <w:rPr>
          <w:sz w:val="20"/>
          <w:szCs w:val="20"/>
          <w:color w:val="auto"/>
        </w:rPr>
      </w:pPr>
      <w:r>
        <w:rPr>
          <w:rFonts w:ascii="Times New Roman" w:cs="Times New Roman" w:eastAsia="Times New Roman" w:hAnsi="Times New Roman"/>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22225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0" w:lineRule="exact"/>
        <w:rPr>
          <w:sz w:val="24"/>
          <w:szCs w:val="24"/>
          <w:color w:val="auto"/>
        </w:rPr>
      </w:pPr>
    </w:p>
    <w:p>
      <w:pPr>
        <w:ind w:right="30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jc w:val="center"/>
              <w:ind w:left="1728"/>
              <w:spacing w:after="0"/>
              <w:rPr>
                <w:sz w:val="20"/>
                <w:szCs w:val="20"/>
                <w:color w:val="auto"/>
              </w:rPr>
            </w:pPr>
            <w:r>
              <w:rPr>
                <w:rFonts w:ascii="Times New Roman" w:cs="Times New Roman" w:eastAsia="Times New Roman" w:hAnsi="Times New Roman"/>
                <w:sz w:val="14"/>
                <w:szCs w:val="14"/>
                <w:color w:val="auto"/>
              </w:rPr>
              <w:t>Large accelerated filer</w:t>
            </w:r>
          </w:p>
        </w:tc>
        <w:tc>
          <w:tcPr>
            <w:tcW w:w="1840" w:type="dxa"/>
            <w:vAlign w:val="bottom"/>
            <w:gridSpan w:val="3"/>
          </w:tcPr>
          <w:p>
            <w:pPr>
              <w:jc w:val="right"/>
              <w:ind w:right="1588"/>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ind w:right="309"/>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jc w:val="center"/>
              <w:ind w:left="1708"/>
              <w:spacing w:after="0"/>
              <w:rPr>
                <w:sz w:val="20"/>
                <w:szCs w:val="20"/>
                <w:color w:val="auto"/>
              </w:rPr>
            </w:pPr>
            <w:r>
              <w:rPr>
                <w:rFonts w:ascii="Times New Roman" w:cs="Times New Roman" w:eastAsia="Times New Roman" w:hAnsi="Times New Roman"/>
                <w:sz w:val="14"/>
                <w:szCs w:val="14"/>
                <w:color w:val="auto"/>
              </w:rPr>
              <w:t>Non-accelerated filer</w:t>
            </w:r>
          </w:p>
        </w:tc>
        <w:tc>
          <w:tcPr>
            <w:tcW w:w="1840" w:type="dxa"/>
            <w:vAlign w:val="bottom"/>
            <w:gridSpan w:val="3"/>
          </w:tcPr>
          <w:p>
            <w:pPr>
              <w:jc w:val="right"/>
              <w:ind w:right="1628"/>
              <w:spacing w:after="0" w:line="141" w:lineRule="exact"/>
              <w:rPr>
                <w:sz w:val="20"/>
                <w:szCs w:val="20"/>
                <w:color w:val="auto"/>
              </w:rPr>
            </w:pPr>
            <w:r>
              <w:rPr>
                <w:rFonts w:ascii="MS PGothic" w:cs="MS PGothic" w:eastAsia="MS PGothic" w:hAnsi="MS PGothic"/>
                <w:sz w:val="14"/>
                <w:szCs w:val="14"/>
                <w:color w:val="auto"/>
                <w:w w:val="85"/>
              </w:rPr>
              <w: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0" w:type="dxa"/>
            <w:vAlign w:val="bottom"/>
            <w:gridSpan w:val="10"/>
          </w:tcPr>
          <w:p>
            <w:pPr>
              <w:jc w:val="right"/>
              <w:ind w:right="48"/>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26"/>
        </w:trPr>
        <w:tc>
          <w:tcPr>
            <w:tcW w:w="650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financial accounting standards provided pursuant to Section 7(a)(2)(B) of the Securities Act.</w:t>
            </w:r>
            <w:r>
              <w:rPr>
                <w:rFonts w:ascii="MS PGothic" w:cs="MS PGothic" w:eastAsia="MS PGothic" w:hAnsi="MS PGothic"/>
                <w:sz w:val="14"/>
                <w:szCs w:val="14"/>
                <w:color w:val="auto"/>
              </w:rPr>
              <w:t>☐</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right w:val="single" w:sz="8" w:color="auto"/>
            </w:tcBorders>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2"/>
          </w:tcPr>
          <w:p>
            <w:pPr>
              <w:jc w:val="center"/>
              <w:ind w:left="90"/>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200" w:type="dxa"/>
            <w:vAlign w:val="bottom"/>
            <w:tcBorders>
              <w:right w:val="single" w:sz="8" w:color="auto"/>
            </w:tcBorders>
          </w:tcPr>
          <w:p>
            <w:pPr>
              <w:spacing w:after="0"/>
              <w:rPr>
                <w:sz w:val="9"/>
                <w:szCs w:val="9"/>
                <w:color w:val="auto"/>
              </w:rPr>
            </w:pPr>
          </w:p>
        </w:tc>
        <w:tc>
          <w:tcPr>
            <w:tcW w:w="1880" w:type="dxa"/>
            <w:vAlign w:val="bottom"/>
          </w:tcPr>
          <w:p>
            <w:pPr>
              <w:jc w:val="center"/>
              <w:ind w:left="149"/>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260" w:type="dxa"/>
            <w:vAlign w:val="bottom"/>
            <w:tcBorders>
              <w:right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2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520" w:type="dxa"/>
            <w:vAlign w:val="bottom"/>
            <w:gridSpan w:val="2"/>
          </w:tcPr>
          <w:p>
            <w:pPr>
              <w:jc w:val="center"/>
              <w:ind w:left="90"/>
              <w:spacing w:after="0" w:line="146"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00" w:type="dxa"/>
            <w:vAlign w:val="bottom"/>
            <w:tcBorders>
              <w:right w:val="single" w:sz="8" w:color="auto"/>
            </w:tcBorders>
          </w:tcPr>
          <w:p>
            <w:pPr>
              <w:spacing w:after="0"/>
              <w:rPr>
                <w:sz w:val="12"/>
                <w:szCs w:val="12"/>
                <w:color w:val="auto"/>
              </w:rPr>
            </w:pPr>
          </w:p>
        </w:tc>
        <w:tc>
          <w:tcPr>
            <w:tcW w:w="1880" w:type="dxa"/>
            <w:vAlign w:val="bottom"/>
          </w:tcPr>
          <w:p>
            <w:pPr>
              <w:jc w:val="center"/>
              <w:ind w:left="149"/>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260" w:type="dxa"/>
            <w:vAlign w:val="bottom"/>
            <w:tcBorders>
              <w:right w:val="single" w:sz="8" w:color="auto"/>
            </w:tcBorders>
          </w:tcPr>
          <w:p>
            <w:pPr>
              <w:spacing w:after="0"/>
              <w:rPr>
                <w:sz w:val="12"/>
                <w:szCs w:val="12"/>
                <w:color w:val="auto"/>
              </w:rPr>
            </w:pPr>
          </w:p>
        </w:tc>
        <w:tc>
          <w:tcPr>
            <w:tcW w:w="13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20" w:type="dxa"/>
            <w:vAlign w:val="bottom"/>
            <w:gridSpan w:val="2"/>
          </w:tcPr>
          <w:p>
            <w:pPr>
              <w:jc w:val="center"/>
              <w:ind w:left="90"/>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200" w:type="dxa"/>
            <w:vAlign w:val="bottom"/>
            <w:tcBorders>
              <w:right w:val="single" w:sz="8" w:color="auto"/>
            </w:tcBorders>
          </w:tcPr>
          <w:p>
            <w:pPr>
              <w:spacing w:after="0"/>
              <w:rPr>
                <w:sz w:val="12"/>
                <w:szCs w:val="12"/>
                <w:color w:val="auto"/>
              </w:rPr>
            </w:pPr>
          </w:p>
        </w:tc>
        <w:tc>
          <w:tcPr>
            <w:tcW w:w="188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Borders>
              <w:right w:val="single" w:sz="8" w:color="auto"/>
            </w:tcBorders>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4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52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26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$0.001 par value per share</w:t>
            </w:r>
          </w:p>
        </w:tc>
        <w:tc>
          <w:tcPr>
            <w:tcW w:w="4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2,311,741</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$100.11</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(2)</w:t>
            </w:r>
          </w:p>
        </w:tc>
        <w:tc>
          <w:tcPr>
            <w:tcW w:w="1880" w:type="dxa"/>
            <w:vAlign w:val="bottom"/>
            <w:tcBorders>
              <w:bottom w:val="single" w:sz="8" w:color="auto"/>
            </w:tcBorders>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$231,428,391.51</w:t>
            </w:r>
          </w:p>
        </w:tc>
        <w:tc>
          <w:tcPr>
            <w:tcW w:w="26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$25,248.84</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Common Stock, $0.001 par value per share</w:t>
            </w:r>
          </w:p>
        </w:tc>
        <w:tc>
          <w:tcPr>
            <w:tcW w:w="4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577,935</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$85.09</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1880" w:type="dxa"/>
            <w:vAlign w:val="bottom"/>
            <w:tcBorders>
              <w:bottom w:val="single" w:sz="8" w:color="auto"/>
            </w:tcBorders>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$49,176,489.15</w:t>
            </w:r>
          </w:p>
        </w:tc>
        <w:tc>
          <w:tcPr>
            <w:tcW w:w="260" w:type="dxa"/>
            <w:vAlign w:val="bottom"/>
            <w:tcBorders>
              <w:bottom w:val="single" w:sz="8" w:color="auto"/>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$5,365.15</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2,889,676</w:t>
            </w:r>
          </w:p>
        </w:tc>
        <w:tc>
          <w:tcPr>
            <w:tcW w:w="1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tcBorders>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rPr>
              <w:t>$280,604,880.66</w:t>
            </w:r>
          </w:p>
        </w:tc>
        <w:tc>
          <w:tcPr>
            <w:tcW w:w="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$30,613.99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4"/>
          <w:szCs w:val="24"/>
          <w:color w:val="auto"/>
        </w:rPr>
      </w:pPr>
    </w:p>
    <w:p>
      <w:pPr>
        <w:ind w:left="640" w:right="40" w:hanging="326"/>
        <w:spacing w:after="0" w:line="233"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5" w:lineRule="exact"/>
        <w:rPr>
          <w:rFonts w:ascii="Times New Roman" w:cs="Times New Roman" w:eastAsia="Times New Roman" w:hAnsi="Times New Roman"/>
          <w:sz w:val="14"/>
          <w:szCs w:val="14"/>
          <w:color w:val="auto"/>
        </w:rPr>
      </w:pPr>
    </w:p>
    <w:p>
      <w:pPr>
        <w:ind w:left="640" w:right="160" w:hanging="326"/>
        <w:spacing w:after="0" w:line="261"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11, 2021.</w:t>
      </w:r>
    </w:p>
    <w:p>
      <w:pPr>
        <w:ind w:left="640" w:right="40" w:hanging="326"/>
        <w:spacing w:after="0" w:line="241"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11, 2021, multiplied by 85%, which is the percentage of the price per share applicable to purchasers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23495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4" w:right="8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79"/>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S-8 relating to the 2015 Stock Option and Incentive Plan (as amended, the “2015 Plan”) and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Accordingly, this Registration </w:t>
      </w:r>
      <w:hyperlink r:id="rId17">
        <w:r>
          <w:rPr>
            <w:rFonts w:ascii="Times New Roman" w:cs="Times New Roman" w:eastAsia="Times New Roman" w:hAnsi="Times New Roman"/>
            <w:sz w:val="18"/>
            <w:szCs w:val="18"/>
            <w:color w:val="auto"/>
          </w:rPr>
          <w:t xml:space="preserve">Statement on Form S-8 incorporates by reference the contents of (i) the </w:t>
        </w:r>
        <w:r>
          <w:rPr>
            <w:rFonts w:ascii="Times New Roman" w:cs="Times New Roman" w:eastAsia="Times New Roman" w:hAnsi="Times New Roman"/>
            <w:sz w:val="18"/>
            <w:szCs w:val="18"/>
            <w:u w:val="single" w:color="auto"/>
            <w:color w:val="0000EE"/>
          </w:rPr>
          <w:t>Registration Statement on Form S-8 (File No. 333-</w:t>
        </w:r>
      </w:hyperlink>
      <w:hyperlink r:id="rId17">
        <w:r>
          <w:rPr>
            <w:rFonts w:ascii="Times New Roman" w:cs="Times New Roman" w:eastAsia="Times New Roman" w:hAnsi="Times New Roman"/>
            <w:sz w:val="18"/>
            <w:szCs w:val="18"/>
            <w:u w:val="single" w:color="auto"/>
            <w:color w:val="0000EE"/>
          </w:rPr>
          <w:t>203749)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Securities and Exchange Commission (the “SEC”) on April 30, 2015 by the Registrant, relating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the 2015 Plan and the 2015 ESPP, (ii) the </w:t>
      </w:r>
      <w:hyperlink r:id="rId18">
        <w:r>
          <w:rPr>
            <w:rFonts w:ascii="Times New Roman" w:cs="Times New Roman" w:eastAsia="Times New Roman" w:hAnsi="Times New Roman"/>
            <w:sz w:val="18"/>
            <w:szCs w:val="18"/>
            <w:u w:val="single" w:color="auto"/>
            <w:color w:val="0000EE"/>
          </w:rPr>
          <w:t>Registration Statement on Form S-8 (File No. 333-210125)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with the SEC on </w:t>
      </w:r>
      <w:hyperlink r:id="rId19">
        <w:r>
          <w:rPr>
            <w:rFonts w:ascii="Times New Roman" w:cs="Times New Roman" w:eastAsia="Times New Roman" w:hAnsi="Times New Roman"/>
            <w:sz w:val="18"/>
            <w:szCs w:val="18"/>
            <w:color w:val="000000"/>
          </w:rPr>
          <w:t xml:space="preserve">March 11, 2016 by the Registrant, relating to the 2015 Plan and the 2015 ESPP, (iii) the </w:t>
        </w:r>
        <w:r>
          <w:rPr>
            <w:rFonts w:ascii="Times New Roman" w:cs="Times New Roman" w:eastAsia="Times New Roman" w:hAnsi="Times New Roman"/>
            <w:sz w:val="18"/>
            <w:szCs w:val="18"/>
            <w:u w:val="single" w:color="auto"/>
            <w:color w:val="0000EE"/>
          </w:rPr>
          <w:t>Registration Statement on Form S-</w:t>
        </w:r>
      </w:hyperlink>
      <w:hyperlink r:id="rId19">
        <w:r>
          <w:rPr>
            <w:rFonts w:ascii="Times New Roman" w:cs="Times New Roman" w:eastAsia="Times New Roman" w:hAnsi="Times New Roman"/>
            <w:sz w:val="18"/>
            <w:szCs w:val="18"/>
            <w:u w:val="single" w:color="auto"/>
            <w:color w:val="0000EE"/>
          </w:rPr>
          <w:t>8 (File No. 333-216575)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March 9, 2017 by the Registrant, relating to the 2015 Plan and the 2015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ESPP, (iv) the </w:t>
      </w:r>
      <w:hyperlink r:id="rId20">
        <w:r>
          <w:rPr>
            <w:rFonts w:ascii="Times New Roman" w:cs="Times New Roman" w:eastAsia="Times New Roman" w:hAnsi="Times New Roman"/>
            <w:sz w:val="18"/>
            <w:szCs w:val="18"/>
            <w:u w:val="single" w:color="auto"/>
            <w:color w:val="0000EE"/>
          </w:rPr>
          <w:t>Registration Statement on Form S-8 (File No. 333-223131)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with the SEC on February 21, 2018 by the Registrant, relating to the 2015 Plan and the 2015 ESPP, (v) the </w:t>
      </w:r>
      <w:hyperlink r:id="rId21">
        <w:r>
          <w:rPr>
            <w:rFonts w:ascii="Times New Roman" w:cs="Times New Roman" w:eastAsia="Times New Roman" w:hAnsi="Times New Roman"/>
            <w:sz w:val="18"/>
            <w:szCs w:val="18"/>
            <w:u w:val="single" w:color="auto"/>
            <w:color w:val="0000EE"/>
          </w:rPr>
          <w:t>Registration Statement on Form S-8 (File No. 333-229885)</w:t>
        </w:r>
      </w:hyperlink>
      <w:r>
        <w:rPr>
          <w:rFonts w:ascii="Times New Roman" w:cs="Times New Roman" w:eastAsia="Times New Roman" w:hAnsi="Times New Roman"/>
          <w:sz w:val="18"/>
          <w:szCs w:val="18"/>
          <w:color w:val="000000"/>
        </w:rPr>
        <w:t xml:space="preserve"> filed with the SEC on February 26, 2019 by the Registrant, relating to the 2015 Plan and the 2015 ESPP, and (vi) the </w:t>
      </w:r>
      <w:hyperlink r:id="rId22">
        <w:r>
          <w:rPr>
            <w:rFonts w:ascii="Times New Roman" w:cs="Times New Roman" w:eastAsia="Times New Roman" w:hAnsi="Times New Roman"/>
            <w:sz w:val="18"/>
            <w:szCs w:val="18"/>
            <w:u w:val="single" w:color="auto"/>
            <w:color w:val="0000EE"/>
          </w:rPr>
          <w:t>Registration Statement on Form S-8 (File No. 333-236421)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February 13, 2020 by the Registrant,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2015 Plan and the 2015 ESPP in each case, except for “Item 8. Exhibits” with respect to which the Exhibit Index set forth below is incorporated herein by reference.</w:t>
      </w:r>
    </w:p>
    <w:p>
      <w:pPr>
        <w:spacing w:after="0" w:line="192" w:lineRule="exact"/>
        <w:rPr>
          <w:rFonts w:ascii="Times New Roman" w:cs="Times New Roman" w:eastAsia="Times New Roman" w:hAnsi="Times New Roman"/>
          <w:sz w:val="18"/>
          <w:szCs w:val="18"/>
          <w:color w:val="000000"/>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7" w:lineRule="exact"/>
        <w:rPr>
          <w:rFonts w:ascii="Times New Roman" w:cs="Times New Roman" w:eastAsia="Times New Roman" w:hAnsi="Times New Roman"/>
          <w:sz w:val="18"/>
          <w:szCs w:val="18"/>
          <w:color w:val="000000"/>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40" w:type="dxa"/>
            <w:vAlign w:val="bottom"/>
            <w:gridSpan w:val="12"/>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6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Fifth Amended and Restated Certificate of Incorporation of</w:t>
              </w:r>
            </w:hyperlink>
          </w:p>
        </w:tc>
        <w:tc>
          <w:tcPr>
            <w:tcW w:w="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9,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the Registrant</w:t>
              </w:r>
            </w:hyperlink>
          </w:p>
        </w:tc>
        <w:tc>
          <w:tcPr>
            <w:tcW w:w="354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4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Amended and Restated Bylaws, as amended on April 30,</w:t>
              </w:r>
            </w:hyperlink>
          </w:p>
        </w:tc>
        <w:tc>
          <w:tcPr>
            <w:tcW w:w="440" w:type="dxa"/>
            <w:vAlign w:val="bottom"/>
            <w:gridSpan w:val="6"/>
          </w:tcPr>
          <w:p>
            <w:pPr>
              <w:spacing w:after="0"/>
              <w:rPr>
                <w:sz w:val="24"/>
                <w:szCs w:val="2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2020, of the Registrant</w:t>
              </w:r>
            </w:hyperlink>
          </w:p>
        </w:tc>
        <w:tc>
          <w:tcPr>
            <w:tcW w:w="28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4540" w:type="dxa"/>
            <w:vAlign w:val="bottom"/>
            <w:gridSpan w:val="14"/>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Specimen Common Stock Certificate</w:t>
              </w:r>
            </w:hyperlink>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333-202938</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 2015</w:t>
            </w: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3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Second Amended and Restated Investors’ Rights</w:t>
              </w:r>
            </w:hyperlink>
          </w:p>
        </w:tc>
        <w:tc>
          <w:tcPr>
            <w:tcW w:w="1020" w:type="dxa"/>
            <w:vAlign w:val="bottom"/>
            <w:gridSpan w:val="7"/>
          </w:tcPr>
          <w:p>
            <w:pPr>
              <w:spacing w:after="0"/>
              <w:rPr>
                <w:sz w:val="24"/>
                <w:szCs w:val="24"/>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333-202938</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Agreement, dated as of November 7, 2014, by and among</w:t>
              </w:r>
            </w:hyperlink>
          </w:p>
        </w:tc>
        <w:tc>
          <w:tcPr>
            <w:tcW w:w="3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40" w:type="dxa"/>
            <w:vAlign w:val="bottom"/>
            <w:gridSpan w:val="14"/>
          </w:tcPr>
          <w:p>
            <w:pPr>
              <w:spacing w:after="0"/>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the Registrant and the Investors listed therein</w:t>
              </w:r>
            </w:hyperlink>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4"/>
                <w:szCs w:val="24"/>
                <w:color w:val="auto"/>
              </w:rPr>
            </w:pPr>
          </w:p>
        </w:tc>
        <w:tc>
          <w:tcPr>
            <w:tcW w:w="4540" w:type="dxa"/>
            <w:vAlign w:val="bottom"/>
            <w:gridSpan w:val="14"/>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Opinion of Goodwin Procter LLP, counsel to the Registrant</w:t>
              </w:r>
            </w:hyperlink>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4"/>
                <w:szCs w:val="24"/>
                <w:color w:val="auto"/>
              </w:rPr>
            </w:pPr>
          </w:p>
        </w:tc>
        <w:tc>
          <w:tcPr>
            <w:tcW w:w="4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Consent of Ernst &amp; Young LLP, an independent registered</w:t>
              </w:r>
            </w:hyperlink>
          </w:p>
        </w:tc>
        <w:tc>
          <w:tcPr>
            <w:tcW w:w="34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public accounting firm</w:t>
              </w:r>
            </w:hyperlink>
          </w:p>
        </w:tc>
        <w:tc>
          <w:tcPr>
            <w:tcW w:w="290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4"/>
                <w:szCs w:val="24"/>
                <w:color w:val="auto"/>
              </w:rPr>
            </w:pPr>
          </w:p>
        </w:tc>
        <w:tc>
          <w:tcPr>
            <w:tcW w:w="4540" w:type="dxa"/>
            <w:vAlign w:val="bottom"/>
            <w:gridSpan w:val="14"/>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Consent of Goodwin Procter LLP (included in Exhibit 5.1)</w:t>
              </w:r>
            </w:hyperlink>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24"/>
                <w:szCs w:val="24"/>
                <w:color w:val="auto"/>
              </w:rPr>
            </w:pPr>
          </w:p>
        </w:tc>
        <w:tc>
          <w:tcPr>
            <w:tcW w:w="41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Power of attorney (included on the signature pages of this</w:t>
              </w:r>
            </w:hyperlink>
          </w:p>
        </w:tc>
        <w:tc>
          <w:tcPr>
            <w:tcW w:w="38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40" w:type="dxa"/>
            <w:vAlign w:val="bottom"/>
            <w:gridSpan w:val="14"/>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registration statement)</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24"/>
                <w:szCs w:val="24"/>
                <w:color w:val="auto"/>
              </w:rPr>
            </w:pPr>
          </w:p>
        </w:tc>
        <w:tc>
          <w:tcPr>
            <w:tcW w:w="4540" w:type="dxa"/>
            <w:vAlign w:val="bottom"/>
            <w:gridSpan w:val="1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2015 Stock Option and Incentive Plan and forms of award</w:t>
              </w:r>
            </w:hyperlink>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agreements thereunder</w:t>
              </w:r>
            </w:hyperlink>
          </w:p>
        </w:tc>
        <w:tc>
          <w:tcPr>
            <w:tcW w:w="3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tcPr>
          <w:p>
            <w:pPr>
              <w:spacing w:after="0"/>
              <w:rPr>
                <w:sz w:val="24"/>
                <w:szCs w:val="24"/>
                <w:color w:val="auto"/>
              </w:rPr>
            </w:pPr>
          </w:p>
        </w:tc>
        <w:tc>
          <w:tcPr>
            <w:tcW w:w="4540" w:type="dxa"/>
            <w:vAlign w:val="bottom"/>
            <w:gridSpan w:val="14"/>
          </w:tcPr>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2015 Employee Stock Purchase Plan</w:t>
              </w:r>
            </w:hyperlink>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13,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414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45" w:lineRule="exact"/>
        <w:rPr>
          <w:sz w:val="20"/>
          <w:szCs w:val="20"/>
          <w:color w:val="auto"/>
        </w:rPr>
      </w:pPr>
    </w:p>
    <w:p>
      <w:pPr>
        <w:ind w:left="220"/>
        <w:spacing w:after="0"/>
        <w:tabs>
          <w:tab w:leader="none" w:pos="42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17th day of February, 2021.</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wp:posOffset>
            </wp:positionV>
            <wp:extent cx="2407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40792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8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36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President, Finance and Controller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 Lynch</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Daniel S. Lynch</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A. Rowland, Jr.</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Charles A. Rowland, Jr.</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Demetri</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George Demetri,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4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17, 2021</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7" w:lineRule="exact"/>
        <w:rPr>
          <w:sz w:val="20"/>
          <w:szCs w:val="20"/>
          <w:color w:val="auto"/>
        </w:rPr>
      </w:pPr>
    </w:p>
    <w:p>
      <w:pPr>
        <w:ind w:left="20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Securities Being Registered under Registration Statement on Form S-8</w:t>
      </w:r>
    </w:p>
    <w:p>
      <w:pPr>
        <w:spacing w:after="0" w:line="225"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2,889,676 shares (the “Shares”) of Common Stock, $0.001 par value per share (“Common Stock”), of Blueprint Medicines Corporation, a Delaware corporation (the “Company”), that may be issued pursuant to the Company’s 2015 Stock Option and Incentive Plan and 2015 Employee Stock Purchase Plan (collectively, the “Plans”).</w:t>
      </w:r>
    </w:p>
    <w:p>
      <w:pPr>
        <w:spacing w:after="0" w:line="187" w:lineRule="exact"/>
        <w:rPr>
          <w:sz w:val="20"/>
          <w:szCs w:val="20"/>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left="200" w:right="879"/>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6" w:lineRule="exact"/>
        <w:rPr>
          <w:sz w:val="20"/>
          <w:szCs w:val="20"/>
          <w:color w:val="auto"/>
        </w:rPr>
      </w:pPr>
    </w:p>
    <w:p>
      <w:pPr>
        <w:ind w:left="200" w:right="659"/>
        <w:spacing w:after="0" w:line="266"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6" w:lineRule="exact"/>
        <w:rPr>
          <w:sz w:val="20"/>
          <w:szCs w:val="20"/>
          <w:color w:val="auto"/>
        </w:rPr>
      </w:pPr>
    </w:p>
    <w:p>
      <w:pPr>
        <w:jc w:val="both"/>
        <w:ind w:left="200" w:right="299"/>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771525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Consent of Independent Registered Public Accounting Firm</w:t>
      </w:r>
    </w:p>
    <w:p>
      <w:pPr>
        <w:spacing w:after="0" w:line="227" w:lineRule="exact"/>
        <w:rPr>
          <w:sz w:val="20"/>
          <w:szCs w:val="20"/>
          <w:color w:val="auto"/>
        </w:rPr>
      </w:pPr>
    </w:p>
    <w:p>
      <w:pPr>
        <w:ind w:left="860" w:right="239"/>
        <w:spacing w:after="0" w:line="242" w:lineRule="auto"/>
        <w:rPr>
          <w:sz w:val="20"/>
          <w:szCs w:val="20"/>
          <w:color w:val="auto"/>
        </w:rPr>
      </w:pPr>
      <w:r>
        <w:rPr>
          <w:rFonts w:ascii="Times New Roman" w:cs="Times New Roman" w:eastAsia="Times New Roman" w:hAnsi="Times New Roman"/>
          <w:sz w:val="19"/>
          <w:szCs w:val="19"/>
          <w:color w:val="auto"/>
        </w:rPr>
        <w:t>We consent to the incorporation by reference in the Registration Statement (Form S-8) pertaining to the 2015 Stock Option and Incentive Plan and the 2015 Employee Stock Purchase Plan of Blueprint Medicines Corporation of our reports dated February 17, 2021, with respect to the consolidated financial statements of Blueprint Medicines Corporation and the effectiveness of internal control over financial reporting of Blueprint Medicines Corporation included in its Annual Report (Form 10-K) for the year ended December 31, 2020, filed with the Securities and Exchange Commission.</w:t>
      </w:r>
    </w:p>
    <w:p>
      <w:pPr>
        <w:spacing w:after="0" w:line="204"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Boston, Massachusetts</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345440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17" Type="http://schemas.openxmlformats.org/officeDocument/2006/relationships/hyperlink" Target="http://www.sec.gov/Archives/edgar/data/1597264/000110465915032381/a15-10041_1s8.htm" TargetMode="External"/><Relationship Id="rId18" Type="http://schemas.openxmlformats.org/officeDocument/2006/relationships/hyperlink" Target="http://www.sec.gov/Archives/edgar/data/1597264/000155837016004067/bpmc-20160311xs8.htm" TargetMode="External"/><Relationship Id="rId19" Type="http://schemas.openxmlformats.org/officeDocument/2006/relationships/hyperlink" Target="http://www.sec.gov/Archives/edgar/data/1597264/000155837017001552/bpmc_currentfolios8.htm" TargetMode="External"/><Relationship Id="rId20" Type="http://schemas.openxmlformats.org/officeDocument/2006/relationships/hyperlink" Target="http://www.sec.gov/Archives/edgar/data/1597264/000155837018000868/s-8.htm" TargetMode="External"/><Relationship Id="rId21" Type="http://schemas.openxmlformats.org/officeDocument/2006/relationships/hyperlink" Target="http://www.sec.gov/Archives/edgar/data/1597264/000155837019001099/s-8.htm" TargetMode="External"/><Relationship Id="rId22" Type="http://schemas.openxmlformats.org/officeDocument/2006/relationships/hyperlink" Target="https://www.sec.gov/Archives/edgar/data/1597264/000155837020000787/s-8.htm" TargetMode="External"/><Relationship Id="rId23" Type="http://schemas.openxmlformats.org/officeDocument/2006/relationships/hyperlink" Target="http://www.sec.gov/Archives/edgar/data/1597264/000155837015002529/bpmc-20150930ex3100367a3.htm" TargetMode="External"/><Relationship Id="rId24" Type="http://schemas.openxmlformats.org/officeDocument/2006/relationships/hyperlink" Target="https://www.sec.gov/Archives/edgar/data/1597264/000155837020005307/bpmc-20200331xex3d1.htm" TargetMode="External"/><Relationship Id="rId25" Type="http://schemas.openxmlformats.org/officeDocument/2006/relationships/hyperlink" Target="http://www.sec.gov/Archives/edgar/data/1597264/000104746915003668/a2224211zex-4_1.htm" TargetMode="External"/><Relationship Id="rId26" Type="http://schemas.openxmlformats.org/officeDocument/2006/relationships/hyperlink" Target="http://www.sec.gov/Archives/edgar/data/1597264/000104746915002608/a2223883zex-4_4.htm" TargetMode="External"/><Relationship Id="rId27" Type="http://schemas.openxmlformats.org/officeDocument/2006/relationships/hyperlink" Target="http://www.sec.gov/Archives/edgar/data/1597264/000155837020000784/ex-10d2.htm" TargetMode="External"/><Relationship Id="rId28" Type="http://schemas.openxmlformats.org/officeDocument/2006/relationships/hyperlink" Target="http://www.sec.gov/Archives/edgar/data/1597264/000155837020000784/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2021-02-17T15:53:03Z</dcterms:created>
  <dcterms:modified xsi:type="dcterms:W3CDTF">2021-02-17T15:53:03Z</dcterms:modified>
</cp:coreProperties>
</file>