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22, 2016</w:t>
      </w:r>
    </w:p>
    <w:p>
      <w:pPr>
        <w:spacing w:after="0" w:line="17" w:lineRule="exact"/>
        <w:rPr>
          <w:sz w:val="24"/>
          <w:szCs w:val="24"/>
          <w:color w:val="auto"/>
        </w:rPr>
      </w:pPr>
    </w:p>
    <w:p>
      <w:pPr>
        <w:ind w:left="7080"/>
        <w:spacing w:after="0"/>
        <w:rPr>
          <w:sz w:val="20"/>
          <w:szCs w:val="20"/>
          <w:color w:val="auto"/>
        </w:rPr>
      </w:pPr>
      <w:r>
        <w:rPr>
          <w:rFonts w:ascii="Arial" w:cs="Arial" w:eastAsia="Arial" w:hAnsi="Arial"/>
          <w:sz w:val="14"/>
          <w:szCs w:val="14"/>
          <w:b w:val="1"/>
          <w:bCs w:val="1"/>
          <w:color w:val="auto"/>
        </w:rPr>
        <w:t>Registration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56515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15"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rPr>
              <w:t>UNITED STATES</w:t>
            </w:r>
          </w:p>
        </w:tc>
      </w:tr>
      <w:tr>
        <w:trPr>
          <w:trHeight w:val="149"/>
        </w:trPr>
        <w:tc>
          <w:tcPr>
            <w:tcW w:w="1960" w:type="dxa"/>
            <w:vAlign w:val="bottom"/>
          </w:tcPr>
          <w:p>
            <w:pPr>
              <w:spacing w:after="0"/>
              <w:rPr>
                <w:sz w:val="12"/>
                <w:szCs w:val="12"/>
                <w:color w:val="auto"/>
              </w:rPr>
            </w:pPr>
          </w:p>
        </w:tc>
        <w:tc>
          <w:tcPr>
            <w:tcW w:w="3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SECURITIES AND EXCHANGE COMMISSION</w:t>
            </w:r>
          </w:p>
        </w:tc>
      </w:tr>
      <w:tr>
        <w:trPr>
          <w:trHeight w:val="186"/>
        </w:trPr>
        <w:tc>
          <w:tcPr>
            <w:tcW w:w="1960" w:type="dxa"/>
            <w:vAlign w:val="bottom"/>
          </w:tcPr>
          <w:p>
            <w:pPr>
              <w:spacing w:after="0"/>
              <w:rPr>
                <w:sz w:val="16"/>
                <w:szCs w:val="16"/>
                <w:color w:val="auto"/>
              </w:rPr>
            </w:pPr>
          </w:p>
        </w:tc>
        <w:tc>
          <w:tcPr>
            <w:tcW w:w="320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Washington, D.C. 20549</w:t>
            </w:r>
          </w:p>
        </w:tc>
      </w:tr>
      <w:tr>
        <w:trPr>
          <w:trHeight w:val="178"/>
        </w:trPr>
        <w:tc>
          <w:tcPr>
            <w:tcW w:w="1960" w:type="dxa"/>
            <w:vAlign w:val="bottom"/>
          </w:tcPr>
          <w:p>
            <w:pPr>
              <w:spacing w:after="0"/>
              <w:rPr>
                <w:sz w:val="15"/>
                <w:szCs w:val="15"/>
                <w:color w:val="auto"/>
              </w:rPr>
            </w:pPr>
          </w:p>
        </w:tc>
        <w:tc>
          <w:tcPr>
            <w:tcW w:w="3200" w:type="dxa"/>
            <w:vAlign w:val="bottom"/>
          </w:tcPr>
          <w:p>
            <w:pPr>
              <w:jc w:val="center"/>
              <w:ind w:left="8"/>
              <w:spacing w:after="0"/>
              <w:rPr>
                <w:sz w:val="20"/>
                <w:szCs w:val="20"/>
                <w:color w:val="auto"/>
              </w:rPr>
            </w:pPr>
            <w:r>
              <w:rPr>
                <w:rFonts w:ascii="Arial" w:cs="Arial" w:eastAsia="Arial" w:hAnsi="Arial"/>
                <w:sz w:val="14"/>
                <w:szCs w:val="14"/>
                <w:b w:val="1"/>
                <w:bCs w:val="1"/>
                <w:color w:val="auto"/>
              </w:rPr>
              <w:t>PRE-EFFECTIVE AMENDMENT NO. 1 TO</w:t>
            </w:r>
          </w:p>
        </w:tc>
      </w:tr>
      <w:tr>
        <w:trPr>
          <w:trHeight w:val="153"/>
        </w:trPr>
        <w:tc>
          <w:tcPr>
            <w:tcW w:w="1960" w:type="dxa"/>
            <w:vAlign w:val="bottom"/>
          </w:tcPr>
          <w:p>
            <w:pPr>
              <w:spacing w:after="0"/>
              <w:rPr>
                <w:sz w:val="13"/>
                <w:szCs w:val="13"/>
                <w:color w:val="auto"/>
              </w:rPr>
            </w:pPr>
          </w:p>
        </w:tc>
        <w:tc>
          <w:tcPr>
            <w:tcW w:w="3200" w:type="dxa"/>
            <w:vAlign w:val="bottom"/>
          </w:tcPr>
          <w:p>
            <w:pPr>
              <w:jc w:val="center"/>
              <w:ind w:left="8"/>
              <w:spacing w:after="0" w:line="153" w:lineRule="exact"/>
              <w:rPr>
                <w:sz w:val="20"/>
                <w:szCs w:val="20"/>
                <w:color w:val="auto"/>
              </w:rPr>
            </w:pPr>
            <w:r>
              <w:rPr>
                <w:rFonts w:ascii="Arial" w:cs="Arial" w:eastAsia="Arial" w:hAnsi="Arial"/>
                <w:sz w:val="14"/>
                <w:szCs w:val="14"/>
                <w:b w:val="1"/>
                <w:bCs w:val="1"/>
                <w:color w:val="auto"/>
              </w:rPr>
              <w:t>FORM S-3</w:t>
            </w:r>
          </w:p>
        </w:tc>
      </w:tr>
      <w:tr>
        <w:trPr>
          <w:trHeight w:val="149"/>
        </w:trPr>
        <w:tc>
          <w:tcPr>
            <w:tcW w:w="1960" w:type="dxa"/>
            <w:vAlign w:val="bottom"/>
          </w:tcPr>
          <w:p>
            <w:pPr>
              <w:spacing w:after="0"/>
              <w:rPr>
                <w:sz w:val="12"/>
                <w:szCs w:val="12"/>
                <w:color w:val="auto"/>
              </w:rPr>
            </w:pPr>
          </w:p>
        </w:tc>
        <w:tc>
          <w:tcPr>
            <w:tcW w:w="32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9"/>
              </w:rPr>
              <w:t>REGISTRATION STATEMENT</w:t>
            </w:r>
          </w:p>
        </w:tc>
      </w:tr>
      <w:tr>
        <w:trPr>
          <w:trHeight w:val="145"/>
        </w:trPr>
        <w:tc>
          <w:tcPr>
            <w:tcW w:w="1960" w:type="dxa"/>
            <w:vAlign w:val="bottom"/>
          </w:tcPr>
          <w:p>
            <w:pPr>
              <w:spacing w:after="0"/>
              <w:rPr>
                <w:sz w:val="12"/>
                <w:szCs w:val="12"/>
                <w:color w:val="auto"/>
              </w:rPr>
            </w:pPr>
          </w:p>
        </w:tc>
        <w:tc>
          <w:tcPr>
            <w:tcW w:w="3200" w:type="dxa"/>
            <w:vAlign w:val="bottom"/>
          </w:tcPr>
          <w:p>
            <w:pPr>
              <w:jc w:val="center"/>
              <w:ind w:left="8"/>
              <w:spacing w:after="0" w:line="145" w:lineRule="exact"/>
              <w:rPr>
                <w:sz w:val="20"/>
                <w:szCs w:val="20"/>
                <w:color w:val="auto"/>
              </w:rPr>
            </w:pPr>
            <w:r>
              <w:rPr>
                <w:rFonts w:ascii="Arial" w:cs="Arial" w:eastAsia="Arial" w:hAnsi="Arial"/>
                <w:sz w:val="14"/>
                <w:szCs w:val="14"/>
                <w:b w:val="1"/>
                <w:bCs w:val="1"/>
                <w:i w:val="1"/>
                <w:iCs w:val="1"/>
                <w:color w:val="auto"/>
                <w:w w:val="99"/>
              </w:rPr>
              <w:t>UNDER THE SECURITIES ACT OF 1933</w:t>
            </w:r>
          </w:p>
        </w:tc>
      </w:tr>
      <w:tr>
        <w:trPr>
          <w:trHeight w:val="153"/>
        </w:trPr>
        <w:tc>
          <w:tcPr>
            <w:tcW w:w="1960" w:type="dxa"/>
            <w:vAlign w:val="bottom"/>
          </w:tcPr>
          <w:p>
            <w:pPr>
              <w:spacing w:after="0"/>
              <w:rPr>
                <w:sz w:val="13"/>
                <w:szCs w:val="13"/>
                <w:color w:val="auto"/>
              </w:rPr>
            </w:pPr>
          </w:p>
        </w:tc>
        <w:tc>
          <w:tcPr>
            <w:tcW w:w="3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Blueprint Medicines Corporation</w:t>
            </w:r>
          </w:p>
        </w:tc>
      </w:tr>
      <w:tr>
        <w:trPr>
          <w:trHeight w:val="182"/>
        </w:trPr>
        <w:tc>
          <w:tcPr>
            <w:tcW w:w="1960" w:type="dxa"/>
            <w:vAlign w:val="bottom"/>
          </w:tcPr>
          <w:p>
            <w:pPr>
              <w:spacing w:after="0"/>
              <w:rPr>
                <w:sz w:val="15"/>
                <w:szCs w:val="15"/>
                <w:color w:val="auto"/>
              </w:rPr>
            </w:pPr>
          </w:p>
        </w:tc>
        <w:tc>
          <w:tcPr>
            <w:tcW w:w="3200" w:type="dxa"/>
            <w:vAlign w:val="bottom"/>
          </w:tcPr>
          <w:p>
            <w:pPr>
              <w:jc w:val="center"/>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36"/>
        </w:trPr>
        <w:tc>
          <w:tcPr>
            <w:tcW w:w="196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Delaware</w:t>
            </w:r>
          </w:p>
        </w:tc>
        <w:tc>
          <w:tcPr>
            <w:tcW w:w="3200" w:type="dxa"/>
            <w:vAlign w:val="bottom"/>
          </w:tcPr>
          <w:p>
            <w:pPr>
              <w:jc w:val="center"/>
              <w:ind w:left="1788"/>
              <w:spacing w:after="0"/>
              <w:rPr>
                <w:sz w:val="20"/>
                <w:szCs w:val="20"/>
                <w:color w:val="auto"/>
              </w:rPr>
            </w:pPr>
            <w:r>
              <w:rPr>
                <w:rFonts w:ascii="Arial" w:cs="Arial" w:eastAsia="Arial" w:hAnsi="Arial"/>
                <w:sz w:val="14"/>
                <w:szCs w:val="14"/>
                <w:b w:val="1"/>
                <w:bCs w:val="1"/>
                <w:color w:val="auto"/>
                <w:w w:val="92"/>
              </w:rPr>
              <w:t>001-37359</w:t>
            </w:r>
          </w:p>
        </w:tc>
      </w:tr>
      <w:tr>
        <w:trPr>
          <w:trHeight w:val="149"/>
        </w:trPr>
        <w:tc>
          <w:tcPr>
            <w:tcW w:w="196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95"/>
              </w:rPr>
              <w:t>(State or other jurisdiction</w:t>
            </w:r>
          </w:p>
        </w:tc>
        <w:tc>
          <w:tcPr>
            <w:tcW w:w="3200" w:type="dxa"/>
            <w:vAlign w:val="bottom"/>
          </w:tcPr>
          <w:p>
            <w:pPr>
              <w:jc w:val="center"/>
              <w:ind w:left="174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w w:val="98"/>
              </w:rPr>
              <w:t>of incorporation or organization)</w:t>
            </w:r>
          </w:p>
        </w:tc>
        <w:tc>
          <w:tcPr>
            <w:tcW w:w="3200" w:type="dxa"/>
            <w:vAlign w:val="bottom"/>
          </w:tcPr>
          <w:p>
            <w:pPr>
              <w:jc w:val="center"/>
              <w:ind w:left="1788"/>
              <w:spacing w:after="0"/>
              <w:rPr>
                <w:sz w:val="20"/>
                <w:szCs w:val="20"/>
                <w:color w:val="auto"/>
              </w:rPr>
            </w:pPr>
            <w:r>
              <w:rPr>
                <w:rFonts w:ascii="Arial" w:cs="Arial" w:eastAsia="Arial" w:hAnsi="Arial"/>
                <w:sz w:val="14"/>
                <w:szCs w:val="14"/>
                <w:color w:val="auto"/>
                <w:w w:val="97"/>
              </w:rPr>
              <w:t>Identification Number)</w:t>
            </w:r>
          </w:p>
        </w:tc>
      </w:tr>
    </w:tbl>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38 Sidney Street, Suite 200</w:t>
      </w:r>
    </w:p>
    <w:p>
      <w:pPr>
        <w:jc w:val="center"/>
        <w:spacing w:after="0" w:line="226" w:lineRule="auto"/>
        <w:rPr>
          <w:sz w:val="20"/>
          <w:szCs w:val="20"/>
          <w:color w:val="auto"/>
        </w:rPr>
      </w:pPr>
      <w:r>
        <w:rPr>
          <w:rFonts w:ascii="Arial" w:cs="Arial" w:eastAsia="Arial" w:hAnsi="Arial"/>
          <w:sz w:val="14"/>
          <w:szCs w:val="14"/>
          <w:b w:val="1"/>
          <w:bCs w:val="1"/>
          <w:color w:val="auto"/>
        </w:rPr>
        <w:t>Cambridge, Massachusetts 02139</w:t>
      </w:r>
    </w:p>
    <w:p>
      <w:pPr>
        <w:jc w:val="center"/>
        <w:spacing w:after="0" w:line="222" w:lineRule="auto"/>
        <w:rPr>
          <w:sz w:val="20"/>
          <w:szCs w:val="20"/>
          <w:color w:val="auto"/>
        </w:rPr>
      </w:pPr>
      <w:r>
        <w:rPr>
          <w:rFonts w:ascii="Arial" w:cs="Arial" w:eastAsia="Arial" w:hAnsi="Arial"/>
          <w:sz w:val="14"/>
          <w:szCs w:val="14"/>
          <w:b w:val="1"/>
          <w:bCs w:val="1"/>
          <w:color w:val="auto"/>
        </w:rPr>
        <w:t>(617) 374-7580</w:t>
      </w:r>
    </w:p>
    <w:p>
      <w:pPr>
        <w:jc w:val="center"/>
        <w:spacing w:after="0" w:line="221" w:lineRule="auto"/>
        <w:rPr>
          <w:sz w:val="20"/>
          <w:szCs w:val="20"/>
          <w:color w:val="auto"/>
        </w:rPr>
      </w:pPr>
      <w:r>
        <w:rPr>
          <w:rFonts w:ascii="Arial" w:cs="Arial" w:eastAsia="Arial" w:hAnsi="Arial"/>
          <w:sz w:val="14"/>
          <w:szCs w:val="14"/>
          <w:color w:val="auto"/>
        </w:rPr>
        <w:t>(Address, Including Zip Code, and Telephone Number,</w:t>
      </w:r>
    </w:p>
    <w:p>
      <w:pPr>
        <w:jc w:val="center"/>
        <w:spacing w:after="0"/>
        <w:rPr>
          <w:sz w:val="20"/>
          <w:szCs w:val="20"/>
          <w:color w:val="auto"/>
        </w:rPr>
      </w:pPr>
      <w:r>
        <w:rPr>
          <w:rFonts w:ascii="Arial" w:cs="Arial" w:eastAsia="Arial" w:hAnsi="Arial"/>
          <w:sz w:val="14"/>
          <w:szCs w:val="14"/>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64770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Jeffrey W. Albers</w:t>
      </w:r>
    </w:p>
    <w:p>
      <w:pPr>
        <w:jc w:val="center"/>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Blueprint Medicines Corporation</w:t>
      </w:r>
    </w:p>
    <w:p>
      <w:pPr>
        <w:jc w:val="center"/>
        <w:spacing w:after="0" w:line="221" w:lineRule="auto"/>
        <w:rPr>
          <w:sz w:val="20"/>
          <w:szCs w:val="20"/>
          <w:color w:val="auto"/>
        </w:rPr>
      </w:pPr>
      <w:r>
        <w:rPr>
          <w:rFonts w:ascii="Arial" w:cs="Arial" w:eastAsia="Arial" w:hAnsi="Arial"/>
          <w:sz w:val="14"/>
          <w:szCs w:val="14"/>
          <w:b w:val="1"/>
          <w:bCs w:val="1"/>
          <w:color w:val="auto"/>
        </w:rPr>
        <w:t>38 Sidney Street, Suite 200</w:t>
      </w:r>
    </w:p>
    <w:p>
      <w:pPr>
        <w:jc w:val="center"/>
        <w:spacing w:after="0" w:line="222" w:lineRule="auto"/>
        <w:rPr>
          <w:sz w:val="20"/>
          <w:szCs w:val="20"/>
          <w:color w:val="auto"/>
        </w:rPr>
      </w:pPr>
      <w:r>
        <w:rPr>
          <w:rFonts w:ascii="Arial" w:cs="Arial" w:eastAsia="Arial" w:hAnsi="Arial"/>
          <w:sz w:val="14"/>
          <w:szCs w:val="14"/>
          <w:b w:val="1"/>
          <w:bCs w:val="1"/>
          <w:color w:val="auto"/>
        </w:rPr>
        <w:t>Cambridge, MA 02139</w:t>
      </w:r>
    </w:p>
    <w:p>
      <w:pPr>
        <w:jc w:val="center"/>
        <w:spacing w:after="0" w:line="221" w:lineRule="auto"/>
        <w:rPr>
          <w:sz w:val="20"/>
          <w:szCs w:val="20"/>
          <w:color w:val="auto"/>
        </w:rPr>
      </w:pPr>
      <w:r>
        <w:rPr>
          <w:rFonts w:ascii="Arial" w:cs="Arial" w:eastAsia="Arial" w:hAnsi="Arial"/>
          <w:sz w:val="14"/>
          <w:szCs w:val="14"/>
          <w:b w:val="1"/>
          <w:bCs w:val="1"/>
          <w:color w:val="auto"/>
        </w:rPr>
        <w:t>(617) 374-7580</w:t>
      </w:r>
    </w:p>
    <w:p>
      <w:pPr>
        <w:jc w:val="center"/>
        <w:spacing w:after="0" w:line="222" w:lineRule="auto"/>
        <w:rPr>
          <w:sz w:val="20"/>
          <w:szCs w:val="20"/>
          <w:color w:val="auto"/>
        </w:rPr>
      </w:pPr>
      <w:r>
        <w:rPr>
          <w:rFonts w:ascii="Arial" w:cs="Arial" w:eastAsia="Arial" w:hAnsi="Arial"/>
          <w:sz w:val="14"/>
          <w:szCs w:val="14"/>
          <w:color w:val="auto"/>
        </w:rPr>
        <w:t>(Name, Address, Including Zip Code, and Telephone Number,</w:t>
      </w:r>
    </w:p>
    <w:p>
      <w:pPr>
        <w:jc w:val="center"/>
        <w:spacing w:after="0"/>
        <w:rPr>
          <w:sz w:val="20"/>
          <w:szCs w:val="20"/>
          <w:color w:val="auto"/>
        </w:rPr>
      </w:pPr>
      <w:r>
        <w:rPr>
          <w:rFonts w:ascii="Arial" w:cs="Arial" w:eastAsia="Arial" w:hAnsi="Arial"/>
          <w:sz w:val="14"/>
          <w:szCs w:val="14"/>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64770</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Copy to:</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Kingsley L. Taft</w:t>
      </w:r>
    </w:p>
    <w:p>
      <w:pPr>
        <w:jc w:val="center"/>
        <w:spacing w:after="0" w:line="221" w:lineRule="auto"/>
        <w:rPr>
          <w:sz w:val="20"/>
          <w:szCs w:val="20"/>
          <w:color w:val="auto"/>
        </w:rPr>
      </w:pPr>
      <w:r>
        <w:rPr>
          <w:rFonts w:ascii="Arial" w:cs="Arial" w:eastAsia="Arial" w:hAnsi="Arial"/>
          <w:sz w:val="14"/>
          <w:szCs w:val="14"/>
          <w:b w:val="1"/>
          <w:bCs w:val="1"/>
          <w:color w:val="auto"/>
        </w:rPr>
        <w:t>Danielle M. Lauzon</w:t>
      </w:r>
    </w:p>
    <w:p>
      <w:pPr>
        <w:jc w:val="center"/>
        <w:spacing w:after="0" w:line="221" w:lineRule="auto"/>
        <w:rPr>
          <w:sz w:val="20"/>
          <w:szCs w:val="20"/>
          <w:color w:val="auto"/>
        </w:rPr>
      </w:pPr>
      <w:r>
        <w:rPr>
          <w:rFonts w:ascii="Arial" w:cs="Arial" w:eastAsia="Arial" w:hAnsi="Arial"/>
          <w:sz w:val="14"/>
          <w:szCs w:val="14"/>
          <w:b w:val="1"/>
          <w:bCs w:val="1"/>
          <w:color w:val="auto"/>
        </w:rPr>
        <w:t>Goodwin Procter LLP</w:t>
      </w:r>
    </w:p>
    <w:p>
      <w:pPr>
        <w:jc w:val="center"/>
        <w:spacing w:after="0" w:line="222" w:lineRule="auto"/>
        <w:rPr>
          <w:sz w:val="20"/>
          <w:szCs w:val="20"/>
          <w:color w:val="auto"/>
        </w:rPr>
      </w:pPr>
      <w:r>
        <w:rPr>
          <w:rFonts w:ascii="Arial" w:cs="Arial" w:eastAsia="Arial" w:hAnsi="Arial"/>
          <w:sz w:val="14"/>
          <w:szCs w:val="14"/>
          <w:b w:val="1"/>
          <w:bCs w:val="1"/>
          <w:color w:val="auto"/>
        </w:rPr>
        <w:t>Exchange Place</w:t>
      </w:r>
    </w:p>
    <w:p>
      <w:pPr>
        <w:jc w:val="center"/>
        <w:spacing w:after="0" w:line="221" w:lineRule="auto"/>
        <w:rPr>
          <w:sz w:val="20"/>
          <w:szCs w:val="20"/>
          <w:color w:val="auto"/>
        </w:rPr>
      </w:pPr>
      <w:r>
        <w:rPr>
          <w:rFonts w:ascii="Arial" w:cs="Arial" w:eastAsia="Arial" w:hAnsi="Arial"/>
          <w:sz w:val="14"/>
          <w:szCs w:val="14"/>
          <w:b w:val="1"/>
          <w:bCs w:val="1"/>
          <w:color w:val="auto"/>
        </w:rPr>
        <w:t>53 State Street</w:t>
      </w:r>
    </w:p>
    <w:p>
      <w:pPr>
        <w:jc w:val="center"/>
        <w:spacing w:after="0" w:line="222" w:lineRule="auto"/>
        <w:rPr>
          <w:sz w:val="20"/>
          <w:szCs w:val="20"/>
          <w:color w:val="auto"/>
        </w:rPr>
      </w:pPr>
      <w:r>
        <w:rPr>
          <w:rFonts w:ascii="Arial" w:cs="Arial" w:eastAsia="Arial" w:hAnsi="Arial"/>
          <w:sz w:val="14"/>
          <w:szCs w:val="14"/>
          <w:b w:val="1"/>
          <w:bCs w:val="1"/>
          <w:color w:val="auto"/>
        </w:rPr>
        <w:t>Boston, MA 02109</w:t>
      </w:r>
    </w:p>
    <w:p>
      <w:pPr>
        <w:jc w:val="center"/>
        <w:spacing w:after="0"/>
        <w:rPr>
          <w:sz w:val="20"/>
          <w:szCs w:val="20"/>
          <w:color w:val="auto"/>
        </w:rPr>
      </w:pPr>
      <w:r>
        <w:rPr>
          <w:rFonts w:ascii="Arial" w:cs="Arial" w:eastAsia="Arial" w:hAnsi="Arial"/>
          <w:sz w:val="14"/>
          <w:szCs w:val="14"/>
          <w:b w:val="1"/>
          <w:bCs w:val="1"/>
          <w:color w:val="auto"/>
        </w:rPr>
        <w:t>(617) 570-1000</w:t>
      </w:r>
    </w:p>
    <w:p>
      <w:pPr>
        <w:spacing w:after="0" w:line="39" w:lineRule="exact"/>
        <w:rPr>
          <w:sz w:val="24"/>
          <w:szCs w:val="24"/>
          <w:color w:val="auto"/>
        </w:rPr>
      </w:pPr>
    </w:p>
    <w:p>
      <w:pPr>
        <w:ind w:left="320"/>
        <w:spacing w:after="0"/>
        <w:rPr>
          <w:sz w:val="20"/>
          <w:szCs w:val="20"/>
          <w:color w:val="auto"/>
        </w:rPr>
      </w:pPr>
      <w:r>
        <w:rPr>
          <w:rFonts w:ascii="Arial" w:cs="Arial" w:eastAsia="Arial" w:hAnsi="Arial"/>
          <w:sz w:val="13"/>
          <w:szCs w:val="13"/>
          <w:b w:val="1"/>
          <w:bCs w:val="1"/>
          <w:color w:val="auto"/>
        </w:rPr>
        <w:t>Approximate date of commencement of proposed sale to the public</w:t>
      </w:r>
      <w:r>
        <w:rPr>
          <w:rFonts w:ascii="Arial" w:cs="Arial" w:eastAsia="Arial" w:hAnsi="Arial"/>
          <w:sz w:val="13"/>
          <w:szCs w:val="13"/>
          <w:color w:val="auto"/>
        </w:rPr>
        <w:t>: From time to time after this registration statement becomes effective.</w:t>
      </w:r>
    </w:p>
    <w:p>
      <w:pPr>
        <w:spacing w:after="0" w:line="44" w:lineRule="exact"/>
        <w:rPr>
          <w:sz w:val="24"/>
          <w:szCs w:val="24"/>
          <w:color w:val="auto"/>
        </w:rPr>
      </w:pPr>
    </w:p>
    <w:p>
      <w:pPr>
        <w:ind w:right="240" w:firstLine="324"/>
        <w:spacing w:after="0" w:line="180"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firstLine="324"/>
        <w:spacing w:after="0" w:line="254" w:lineRule="auto"/>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box. </w:t>
      </w:r>
      <w:r>
        <w:rPr>
          <w:rFonts w:ascii="MS PGothic" w:cs="MS PGothic" w:eastAsia="MS PGothic" w:hAnsi="MS PGothic"/>
          <w:sz w:val="14"/>
          <w:szCs w:val="14"/>
          <w:color w:val="auto"/>
        </w:rPr>
        <w:t>☒</w:t>
      </w:r>
    </w:p>
    <w:p>
      <w:pPr>
        <w:spacing w:after="0" w:line="31" w:lineRule="exact"/>
        <w:rPr>
          <w:sz w:val="24"/>
          <w:szCs w:val="24"/>
          <w:color w:val="auto"/>
        </w:rPr>
      </w:pPr>
    </w:p>
    <w:p>
      <w:pPr>
        <w:ind w:firstLine="324"/>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180" w:firstLine="324"/>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320" w:firstLine="324"/>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324"/>
        <w:spacing w:after="0" w:line="176"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3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and “smaller reporting company” in Rule 12b-2 of the Exchange Act.</w:t>
      </w:r>
    </w:p>
    <w:p>
      <w:pPr>
        <w:spacing w:after="0" w:line="9" w:lineRule="exact"/>
        <w:rPr>
          <w:sz w:val="24"/>
          <w:szCs w:val="24"/>
          <w:color w:val="auto"/>
        </w:rPr>
      </w:pPr>
    </w:p>
    <w:p>
      <w:pPr>
        <w:ind w:left="120"/>
        <w:spacing w:after="0" w:line="161" w:lineRule="exact"/>
        <w:tabs>
          <w:tab w:leader="none" w:pos="2820" w:val="left"/>
          <w:tab w:leader="none" w:pos="4960" w:val="left"/>
          <w:tab w:leader="none" w:pos="71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1" w:lineRule="exact"/>
        <w:rPr>
          <w:sz w:val="24"/>
          <w:szCs w:val="24"/>
          <w:color w:val="auto"/>
        </w:rPr>
      </w:pPr>
    </w:p>
    <w:p>
      <w:pPr>
        <w:ind w:left="4920"/>
        <w:spacing w:after="0"/>
        <w:rPr>
          <w:sz w:val="20"/>
          <w:szCs w:val="20"/>
          <w:color w:val="auto"/>
        </w:rPr>
      </w:pPr>
      <w:r>
        <w:rPr>
          <w:rFonts w:ascii="Arial" w:cs="Arial" w:eastAsia="Arial" w:hAnsi="Arial"/>
          <w:sz w:val="14"/>
          <w:szCs w:val="14"/>
          <w:color w:val="auto"/>
        </w:rPr>
        <w:t>(Do not check if a smaller</w:t>
      </w:r>
    </w:p>
    <w:p>
      <w:pPr>
        <w:ind w:left="5120"/>
        <w:spacing w:after="0"/>
        <w:rPr>
          <w:sz w:val="20"/>
          <w:szCs w:val="20"/>
          <w:color w:val="auto"/>
        </w:rPr>
      </w:pPr>
      <w:r>
        <w:rPr>
          <w:rFonts w:ascii="Arial" w:cs="Arial" w:eastAsia="Arial" w:hAnsi="Arial"/>
          <w:sz w:val="14"/>
          <w:szCs w:val="14"/>
          <w:color w:val="auto"/>
        </w:rPr>
        <w:t>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201930</wp:posOffset>
            </wp:positionV>
            <wp:extent cx="14319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right="80"/>
        <w:spacing w:after="0" w:line="23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575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531495</wp:posOffset>
            </wp:positionV>
            <wp:extent cx="57543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225" w:right="14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Blueprint Medicines Corporation is filing this pre-effective Amendment No. 1 (this “Amendment”) to the Registration Statement on Form S-3 (Registration No. 333-211266) (the “Registration Statement”) as an exhibit-only filing to re-file Exhibit 23.1 previously filed with the Registration Statement. Accordingly, this Amendment consists only of the facing page, this explanatory note, Item 16 of Part II of the Registration Statement, the signature page to the Registration Statement, the exhibit index and the re-filed Exhibit 23.1. The prospectus and the balance of Part II of the Registration Statement are unchanged and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02" w:lineRule="exact"/>
        <w:rPr>
          <w:sz w:val="20"/>
          <w:szCs w:val="20"/>
          <w:color w:val="auto"/>
        </w:rPr>
      </w:pPr>
    </w:p>
    <w:p>
      <w:pPr>
        <w:ind w:right="319" w:firstLine="648"/>
        <w:spacing w:after="0" w:line="277" w:lineRule="auto"/>
        <w:rPr>
          <w:sz w:val="20"/>
          <w:szCs w:val="20"/>
          <w:color w:val="auto"/>
        </w:rPr>
      </w:pPr>
      <w:r>
        <w:rPr>
          <w:rFonts w:ascii="Arial" w:cs="Arial" w:eastAsia="Arial" w:hAnsi="Arial"/>
          <w:sz w:val="18"/>
          <w:szCs w:val="18"/>
          <w:color w:val="auto"/>
        </w:rPr>
        <w:t>The exhibits to this Registration Statement are listed in the exhibit index, which appears elsewhere herein and is incorporated herein by reference.</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20" w:firstLine="636"/>
        <w:spacing w:after="0" w:line="279"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pre-effective Amendment No. 1 to the Registration Statement to be signed on its behalf by the undersigned, thereunto duly authorized, in the city of City of Cambridge, Commonwealth of Massachusetts, on this 22</w:t>
      </w:r>
      <w:r>
        <w:rPr>
          <w:rFonts w:ascii="Arial" w:cs="Arial" w:eastAsia="Arial" w:hAnsi="Arial"/>
          <w:sz w:val="8"/>
          <w:szCs w:val="8"/>
          <w:color w:val="auto"/>
        </w:rPr>
        <w:t>nd</w:t>
      </w:r>
      <w:r>
        <w:rPr>
          <w:rFonts w:ascii="Arial" w:cs="Arial" w:eastAsia="Arial" w:hAnsi="Arial"/>
          <w:sz w:val="17"/>
          <w:szCs w:val="17"/>
          <w:color w:val="auto"/>
        </w:rPr>
        <w:t xml:space="preserve"> day of July, 2016.</w:t>
      </w:r>
    </w:p>
    <w:p>
      <w:pPr>
        <w:spacing w:after="0" w:line="18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BLUEPRINT MEDICINES CORPORATION</w:t>
      </w:r>
    </w:p>
    <w:p>
      <w:pPr>
        <w:spacing w:after="0" w:line="17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6350</wp:posOffset>
            </wp:positionV>
            <wp:extent cx="2752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4720"/>
        <w:spacing w:after="0" w:line="232" w:lineRule="auto"/>
        <w:rPr>
          <w:sz w:val="20"/>
          <w:szCs w:val="20"/>
          <w:color w:val="auto"/>
        </w:rPr>
      </w:pPr>
      <w:r>
        <w:rPr>
          <w:rFonts w:ascii="Arial" w:cs="Arial" w:eastAsia="Arial" w:hAnsi="Arial"/>
          <w:sz w:val="18"/>
          <w:szCs w:val="18"/>
          <w:color w:val="auto"/>
        </w:rPr>
        <w:t>Jeffrey W. Albers</w:t>
      </w:r>
    </w:p>
    <w:p>
      <w:pPr>
        <w:spacing w:after="0" w:line="1" w:lineRule="exact"/>
        <w:rPr>
          <w:sz w:val="20"/>
          <w:szCs w:val="20"/>
          <w:color w:val="auto"/>
        </w:rPr>
      </w:pPr>
    </w:p>
    <w:p>
      <w:pPr>
        <w:ind w:left="4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1" w:lineRule="exact"/>
        <w:rPr>
          <w:sz w:val="20"/>
          <w:szCs w:val="20"/>
          <w:color w:val="auto"/>
        </w:rPr>
      </w:pPr>
    </w:p>
    <w:p>
      <w:pPr>
        <w:ind w:right="160" w:firstLine="63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this pre-effective Amendment No. 1 to the Registration Statement has been signed by the following persons in the capacities and on the dates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37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W. Albers</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July 22, 2016</w:t>
            </w:r>
          </w:p>
        </w:tc>
      </w:tr>
      <w:tr>
        <w:trPr>
          <w:trHeight w:val="224"/>
        </w:trPr>
        <w:tc>
          <w:tcPr>
            <w:tcW w:w="3100" w:type="dxa"/>
            <w:vAlign w:val="bottom"/>
            <w:gridSpan w:val="2"/>
          </w:tcPr>
          <w:p>
            <w:pPr>
              <w:spacing w:after="0"/>
              <w:rPr>
                <w:sz w:val="20"/>
                <w:szCs w:val="20"/>
                <w:color w:val="auto"/>
              </w:rPr>
            </w:pPr>
            <w:r>
              <w:rPr>
                <w:rFonts w:ascii="Arial" w:cs="Arial" w:eastAsia="Arial" w:hAnsi="Arial"/>
                <w:sz w:val="18"/>
                <w:szCs w:val="18"/>
                <w:color w:val="auto"/>
              </w:rPr>
              <w:t>Jeffrey W. Albers</w:t>
            </w:r>
          </w:p>
        </w:tc>
        <w:tc>
          <w:tcPr>
            <w:tcW w:w="4200" w:type="dxa"/>
            <w:vAlign w:val="bottom"/>
            <w:gridSpan w:val="3"/>
          </w:tcPr>
          <w:p>
            <w:pPr>
              <w:ind w:left="240"/>
              <w:spacing w:after="0"/>
              <w:rPr>
                <w:sz w:val="20"/>
                <w:szCs w:val="20"/>
                <w:color w:val="auto"/>
              </w:rPr>
            </w:pPr>
            <w:r>
              <w:rPr>
                <w:rFonts w:ascii="Arial" w:cs="Arial" w:eastAsia="Arial" w:hAnsi="Arial"/>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Landsittel</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Vice President of Finance</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July 22, 2016</w:t>
            </w:r>
          </w:p>
        </w:tc>
      </w:tr>
      <w:tr>
        <w:trPr>
          <w:trHeight w:val="224"/>
        </w:trPr>
        <w:tc>
          <w:tcPr>
            <w:tcW w:w="3100" w:type="dxa"/>
            <w:vAlign w:val="bottom"/>
            <w:gridSpan w:val="2"/>
          </w:tcPr>
          <w:p>
            <w:pPr>
              <w:spacing w:after="0"/>
              <w:rPr>
                <w:sz w:val="20"/>
                <w:szCs w:val="20"/>
                <w:color w:val="auto"/>
              </w:rPr>
            </w:pPr>
            <w:r>
              <w:rPr>
                <w:rFonts w:ascii="Arial" w:cs="Arial" w:eastAsia="Arial" w:hAnsi="Arial"/>
                <w:sz w:val="18"/>
                <w:szCs w:val="18"/>
                <w:color w:val="auto"/>
              </w:rPr>
              <w:t>Michael Landsittel</w:t>
            </w:r>
          </w:p>
        </w:tc>
        <w:tc>
          <w:tcPr>
            <w:tcW w:w="4200" w:type="dxa"/>
            <w:vAlign w:val="bottom"/>
            <w:gridSpan w:val="3"/>
          </w:tcPr>
          <w:p>
            <w:pPr>
              <w:ind w:left="240"/>
              <w:spacing w:after="0"/>
              <w:rPr>
                <w:sz w:val="20"/>
                <w:szCs w:val="20"/>
                <w:color w:val="auto"/>
              </w:rPr>
            </w:pPr>
            <w:r>
              <w:rPr>
                <w:rFonts w:ascii="Arial" w:cs="Arial" w:eastAsia="Arial" w:hAnsi="Arial"/>
                <w:sz w:val="18"/>
                <w:szCs w:val="18"/>
                <w:i w:val="1"/>
                <w:iCs w:val="1"/>
                <w:color w:val="auto"/>
              </w:rPr>
              <w:t>(Principal Financial and Accounting Officer)</w:t>
            </w:r>
          </w:p>
        </w:tc>
        <w:tc>
          <w:tcPr>
            <w:tcW w:w="1760" w:type="dxa"/>
            <w:vAlign w:val="bottom"/>
          </w:tcPr>
          <w:p>
            <w:pPr>
              <w:spacing w:after="0"/>
              <w:rPr>
                <w:sz w:val="19"/>
                <w:szCs w:val="19"/>
                <w:color w:val="auto"/>
              </w:rPr>
            </w:pPr>
          </w:p>
        </w:tc>
      </w:tr>
      <w:tr>
        <w:trPr>
          <w:trHeight w:val="418"/>
        </w:trPr>
        <w:tc>
          <w:tcPr>
            <w:tcW w:w="310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Chairman of the Board</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July 22, 2016</w:t>
            </w:r>
          </w:p>
        </w:tc>
      </w:tr>
      <w:tr>
        <w:trPr>
          <w:trHeight w:val="224"/>
        </w:trPr>
        <w:tc>
          <w:tcPr>
            <w:tcW w:w="20" w:type="dxa"/>
            <w:vAlign w:val="bottom"/>
          </w:tcPr>
          <w:p>
            <w:pPr>
              <w:spacing w:after="0"/>
              <w:rPr>
                <w:sz w:val="19"/>
                <w:szCs w:val="19"/>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Daniel S. Lynch</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July 22, 2016</w:t>
            </w:r>
          </w:p>
        </w:tc>
      </w:tr>
      <w:tr>
        <w:trPr>
          <w:trHeight w:val="224"/>
        </w:trPr>
        <w:tc>
          <w:tcPr>
            <w:tcW w:w="20" w:type="dxa"/>
            <w:vAlign w:val="bottom"/>
          </w:tcPr>
          <w:p>
            <w:pPr>
              <w:spacing w:after="0"/>
              <w:rPr>
                <w:sz w:val="19"/>
                <w:szCs w:val="19"/>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Nicholas Lydon, Ph.D.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July 22, 2016</w:t>
            </w:r>
          </w:p>
        </w:tc>
      </w:tr>
      <w:tr>
        <w:trPr>
          <w:trHeight w:val="224"/>
        </w:trPr>
        <w:tc>
          <w:tcPr>
            <w:tcW w:w="20" w:type="dxa"/>
            <w:vAlign w:val="bottom"/>
          </w:tcPr>
          <w:p>
            <w:pPr>
              <w:spacing w:after="0"/>
              <w:rPr>
                <w:sz w:val="19"/>
                <w:szCs w:val="19"/>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Alexis Borisy</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July 22, 2016</w:t>
            </w:r>
          </w:p>
        </w:tc>
      </w:tr>
      <w:tr>
        <w:trPr>
          <w:trHeight w:val="224"/>
        </w:trPr>
        <w:tc>
          <w:tcPr>
            <w:tcW w:w="20" w:type="dxa"/>
            <w:vAlign w:val="bottom"/>
          </w:tcPr>
          <w:p>
            <w:pPr>
              <w:spacing w:after="0"/>
              <w:rPr>
                <w:sz w:val="19"/>
                <w:szCs w:val="19"/>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Goldberg,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July 22, 2016</w:t>
            </w:r>
          </w:p>
        </w:tc>
      </w:tr>
      <w:tr>
        <w:trPr>
          <w:trHeight w:val="224"/>
        </w:trPr>
        <w:tc>
          <w:tcPr>
            <w:tcW w:w="20" w:type="dxa"/>
            <w:vAlign w:val="bottom"/>
          </w:tcPr>
          <w:p>
            <w:pPr>
              <w:spacing w:after="0"/>
              <w:rPr>
                <w:sz w:val="19"/>
                <w:szCs w:val="19"/>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Charles A. Rowland, Jr.</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July 22, 2016</w:t>
            </w:r>
          </w:p>
        </w:tc>
      </w:tr>
      <w:tr>
        <w:trPr>
          <w:trHeight w:val="224"/>
        </w:trPr>
        <w:tc>
          <w:tcPr>
            <w:tcW w:w="20" w:type="dxa"/>
            <w:vAlign w:val="bottom"/>
          </w:tcPr>
          <w:p>
            <w:pPr>
              <w:spacing w:after="0"/>
              <w:rPr>
                <w:sz w:val="19"/>
                <w:szCs w:val="19"/>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George Demetri,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July 22, 2016</w:t>
            </w:r>
          </w:p>
        </w:tc>
      </w:tr>
      <w:tr>
        <w:trPr>
          <w:trHeight w:val="224"/>
        </w:trPr>
        <w:tc>
          <w:tcPr>
            <w:tcW w:w="20" w:type="dxa"/>
            <w:vAlign w:val="bottom"/>
          </w:tcPr>
          <w:p>
            <w:pPr>
              <w:spacing w:after="0"/>
              <w:rPr>
                <w:sz w:val="19"/>
                <w:szCs w:val="19"/>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Lonnel Coats</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July 22, 2016</w:t>
            </w:r>
          </w:p>
        </w:tc>
      </w:tr>
      <w:tr>
        <w:trPr>
          <w:trHeight w:val="224"/>
        </w:trPr>
        <w:tc>
          <w:tcPr>
            <w:tcW w:w="20" w:type="dxa"/>
            <w:vAlign w:val="bottom"/>
          </w:tcPr>
          <w:p>
            <w:pPr>
              <w:spacing w:after="0"/>
              <w:rPr>
                <w:sz w:val="19"/>
                <w:szCs w:val="19"/>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Lynn Seely,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Landsittel</w:t>
            </w:r>
          </w:p>
        </w:tc>
        <w:tc>
          <w:tcPr>
            <w:tcW w:w="2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4"/>
        </w:trPr>
        <w:tc>
          <w:tcPr>
            <w:tcW w:w="3100" w:type="dxa"/>
            <w:vAlign w:val="bottom"/>
            <w:gridSpan w:val="2"/>
          </w:tcPr>
          <w:p>
            <w:pPr>
              <w:spacing w:after="0"/>
              <w:rPr>
                <w:sz w:val="20"/>
                <w:szCs w:val="20"/>
                <w:color w:val="auto"/>
              </w:rPr>
            </w:pPr>
            <w:r>
              <w:rPr>
                <w:rFonts w:ascii="Arial" w:cs="Arial" w:eastAsia="Arial" w:hAnsi="Arial"/>
                <w:sz w:val="18"/>
                <w:szCs w:val="18"/>
                <w:color w:val="auto"/>
                <w:w w:val="98"/>
              </w:rPr>
              <w:t>*Michael Landsittel, as Attorney-in-Fact</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66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gridSpan w:val="2"/>
          </w:tcPr>
          <w:p>
            <w:pPr>
              <w:ind w:left="1060"/>
              <w:spacing w:after="0"/>
              <w:rPr>
                <w:sz w:val="20"/>
                <w:szCs w:val="20"/>
                <w:color w:val="auto"/>
              </w:rPr>
            </w:pPr>
            <w:r>
              <w:rPr>
                <w:rFonts w:ascii="Arial" w:cs="Arial" w:eastAsia="Arial" w:hAnsi="Arial"/>
                <w:sz w:val="18"/>
                <w:szCs w:val="18"/>
                <w:color w:val="auto"/>
              </w:rPr>
              <w:t>II-2</w:t>
            </w:r>
          </w:p>
        </w:tc>
        <w:tc>
          <w:tcPr>
            <w:tcW w:w="176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1" w:right="14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3780" w:type="dxa"/>
            <w:vAlign w:val="bottom"/>
            <w:gridSpan w:val="2"/>
          </w:tcPr>
          <w:p>
            <w:pPr>
              <w:ind w:left="1120"/>
              <w:spacing w:after="0"/>
              <w:rPr>
                <w:sz w:val="20"/>
                <w:szCs w:val="20"/>
                <w:color w:val="auto"/>
              </w:rPr>
            </w:pPr>
            <w:r>
              <w:rPr>
                <w:rFonts w:ascii="Arial" w:cs="Arial" w:eastAsia="Arial" w:hAnsi="Arial"/>
                <w:sz w:val="14"/>
                <w:szCs w:val="14"/>
                <w:b w:val="1"/>
                <w:bCs w:val="1"/>
                <w:color w:val="auto"/>
              </w:rPr>
              <w:t>Description of Exhibit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8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File No.</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Exhibit Number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c>
          <w:tcPr>
            <w:tcW w:w="1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4"/>
        </w:trPr>
        <w:tc>
          <w:tcPr>
            <w:tcW w:w="740" w:type="dxa"/>
            <w:vAlign w:val="bottom"/>
            <w:gridSpan w:val="2"/>
          </w:tcPr>
          <w:p>
            <w:pPr>
              <w:spacing w:after="0"/>
              <w:rPr>
                <w:sz w:val="20"/>
                <w:szCs w:val="20"/>
                <w:color w:val="auto"/>
              </w:rPr>
            </w:pPr>
            <w:r>
              <w:rPr>
                <w:rFonts w:ascii="Arial" w:cs="Arial" w:eastAsia="Arial" w:hAnsi="Arial"/>
                <w:sz w:val="18"/>
                <w:szCs w:val="18"/>
                <w:color w:val="auto"/>
              </w:rPr>
              <w:t>3.1</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Fifth Amended and Restated Certificate of</w:t>
            </w:r>
          </w:p>
        </w:tc>
        <w:tc>
          <w:tcPr>
            <w:tcW w:w="5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80" w:type="dxa"/>
            <w:vAlign w:val="bottom"/>
          </w:tcPr>
          <w:p>
            <w:pPr>
              <w:spacing w:after="0"/>
              <w:rPr>
                <w:sz w:val="24"/>
                <w:szCs w:val="24"/>
                <w:color w:val="auto"/>
              </w:rPr>
            </w:pPr>
          </w:p>
        </w:tc>
        <w:tc>
          <w:tcPr>
            <w:tcW w:w="1080" w:type="dxa"/>
            <w:vAlign w:val="bottom"/>
            <w:gridSpan w:val="2"/>
          </w:tcPr>
          <w:p>
            <w:pPr>
              <w:jc w:val="center"/>
              <w:ind w:right="18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37359</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Incorporation of the Registrant</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3.2</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w w:val="96"/>
              </w:rPr>
              <w:t>Amended and Restated Bylaws of the Registrant</w:t>
            </w:r>
          </w:p>
        </w:tc>
        <w:tc>
          <w:tcPr>
            <w:tcW w:w="5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080" w:type="dxa"/>
            <w:vAlign w:val="bottom"/>
            <w:gridSpan w:val="2"/>
          </w:tcPr>
          <w:p>
            <w:pPr>
              <w:jc w:val="center"/>
              <w:ind w:left="92"/>
              <w:spacing w:after="0"/>
              <w:rPr>
                <w:sz w:val="20"/>
                <w:szCs w:val="20"/>
                <w:color w:val="auto"/>
              </w:rPr>
            </w:pPr>
            <w:r>
              <w:rPr>
                <w:rFonts w:ascii="Arial" w:cs="Arial" w:eastAsia="Arial" w:hAnsi="Arial"/>
                <w:sz w:val="18"/>
                <w:szCs w:val="18"/>
                <w:color w:val="auto"/>
                <w:w w:val="90"/>
              </w:rPr>
              <w:t>001-37359</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4.1</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w w:val="95"/>
              </w:rPr>
              <w:t>Second Amended and Restated Investors’ Rights</w:t>
            </w: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80" w:type="dxa"/>
            <w:vAlign w:val="bottom"/>
          </w:tcPr>
          <w:p>
            <w:pPr>
              <w:spacing w:after="0"/>
              <w:rPr>
                <w:sz w:val="24"/>
                <w:szCs w:val="24"/>
                <w:color w:val="auto"/>
              </w:rPr>
            </w:pPr>
          </w:p>
        </w:tc>
        <w:tc>
          <w:tcPr>
            <w:tcW w:w="1080" w:type="dxa"/>
            <w:vAlign w:val="bottom"/>
            <w:gridSpan w:val="2"/>
          </w:tcPr>
          <w:p>
            <w:pPr>
              <w:jc w:val="center"/>
              <w:ind w:right="180"/>
              <w:spacing w:after="0" w:line="207" w:lineRule="exact"/>
              <w:rPr>
                <w:sz w:val="20"/>
                <w:szCs w:val="20"/>
                <w:color w:val="auto"/>
              </w:rPr>
            </w:pPr>
            <w:r>
              <w:rPr>
                <w:rFonts w:ascii="Arial" w:cs="Arial" w:eastAsia="Arial" w:hAnsi="Arial"/>
                <w:sz w:val="18"/>
                <w:szCs w:val="18"/>
                <w:color w:val="auto"/>
                <w:w w:val="89"/>
              </w:rPr>
              <w:t>333</w:t>
            </w:r>
            <w:r>
              <w:rPr>
                <w:rFonts w:ascii="MS PGothic" w:cs="MS PGothic" w:eastAsia="MS PGothic" w:hAnsi="MS PGothic"/>
                <w:sz w:val="18"/>
                <w:szCs w:val="18"/>
                <w:color w:val="auto"/>
                <w:w w:val="89"/>
              </w:rPr>
              <w:t>‑</w:t>
            </w:r>
            <w:r>
              <w:rPr>
                <w:rFonts w:ascii="Arial" w:cs="Arial" w:eastAsia="Arial" w:hAnsi="Arial"/>
                <w:sz w:val="18"/>
                <w:szCs w:val="18"/>
                <w:color w:val="auto"/>
                <w:w w:val="89"/>
              </w:rPr>
              <w:t>202938</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Agreement, dated as of November 7, 2014, by</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color w:val="auto"/>
                <w:w w:val="94"/>
              </w:rPr>
              <w:t>and among the Registrant and the Investors listed</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therein</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4.2</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Form of Senior Indenture (including Form of</w:t>
            </w: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S-3</w:t>
            </w:r>
          </w:p>
        </w:tc>
        <w:tc>
          <w:tcPr>
            <w:tcW w:w="10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333-211266</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May 10,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Senior Note)</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4.3</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w w:val="97"/>
              </w:rPr>
              <w:t>Form of Subordinated Indenture (including Form</w:t>
            </w: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S-3</w:t>
            </w:r>
          </w:p>
        </w:tc>
        <w:tc>
          <w:tcPr>
            <w:tcW w:w="10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333-211266</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May 10,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of Subordinated Note)</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4.4</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Form of Deposit Agreement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4.5</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Form of Warrant Agreement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4.6</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Form of Purchase Contract Agreement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4.7</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Form of Unit Agreement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5.1</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Opinion of Goodwin Procter LLP</w:t>
            </w: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S-3</w:t>
            </w:r>
          </w:p>
        </w:tc>
        <w:tc>
          <w:tcPr>
            <w:tcW w:w="10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333-211266</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May 10, 2016</w:t>
            </w:r>
          </w:p>
        </w:tc>
        <w:tc>
          <w:tcPr>
            <w:tcW w:w="0" w:type="dxa"/>
            <w:vAlign w:val="bottom"/>
          </w:tcPr>
          <w:p>
            <w:pPr>
              <w:spacing w:after="0"/>
              <w:rPr>
                <w:sz w:val="1"/>
                <w:szCs w:val="1"/>
                <w:color w:val="auto"/>
              </w:rPr>
            </w:pP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12.1</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w w:val="96"/>
              </w:rPr>
              <w:t>Calculation of Consolidated Ratios of Earnings to</w:t>
            </w: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S-3</w:t>
            </w:r>
          </w:p>
        </w:tc>
        <w:tc>
          <w:tcPr>
            <w:tcW w:w="10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333-211266</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May 10,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Fixed Charges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23.1</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Consent of Ernst &amp; Young LLP, independent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Filed herewith.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registered public accounting firm for the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Registrant</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23.2</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Consent of Goodwin Procter LLP (included in</w:t>
            </w: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S-3</w:t>
            </w:r>
          </w:p>
        </w:tc>
        <w:tc>
          <w:tcPr>
            <w:tcW w:w="10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333-211266</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May 10,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Exhibit 5.1)</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24.1</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Powers of Attorney (included in the signature</w:t>
            </w: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S-3</w:t>
            </w:r>
          </w:p>
        </w:tc>
        <w:tc>
          <w:tcPr>
            <w:tcW w:w="10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333-211266</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May 10,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pages to the Registration Statement)</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25.1</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The Statement of Eligibility on Form T-1 under</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color w:val="auto"/>
                <w:w w:val="98"/>
              </w:rPr>
              <w:t>the Trust Indenture Act of 1939, as amended, of</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the Trustee under the Senior Indenture</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color w:val="auto"/>
              </w:rPr>
              <w:t>25.2</w:t>
            </w: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The Statement of Eligibility on Form T-1 under</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color w:val="auto"/>
                <w:w w:val="98"/>
              </w:rPr>
              <w:t>the Trust Indenture Act of 1939, as amended, of</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color w:val="auto"/>
              </w:rPr>
              <w:t>the Trustee under the Subordinated Indenture</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9" w:lineRule="exact"/>
        <w:rPr>
          <w:sz w:val="20"/>
          <w:szCs w:val="20"/>
          <w:color w:val="auto"/>
        </w:rPr>
      </w:pPr>
    </w:p>
    <w:p>
      <w:pPr>
        <w:ind w:left="320" w:hanging="317"/>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be filed by amendment or by a Current Report on Form 8-K.</w:t>
      </w:r>
    </w:p>
    <w:p>
      <w:pPr>
        <w:spacing w:after="0" w:line="23" w:lineRule="exact"/>
        <w:rPr>
          <w:sz w:val="20"/>
          <w:szCs w:val="20"/>
          <w:color w:val="auto"/>
        </w:rPr>
      </w:pPr>
    </w:p>
    <w:p>
      <w:pPr>
        <w:ind w:left="4400" w:right="2279" w:hanging="4397"/>
        <w:spacing w:after="0" w:line="762"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be filed pursuant to Section 305(b)(2) of the Trust Indenture Act of 1939, as amended.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23.1</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consent to the reference to our firm under the caption “Experts” in Amendment No. 1 to the Registration Statement (Form S-3 No. 333-211266) and related Prospectus of Blueprint Medicines Corporation for the registration of common stock, preferred stock, debt securities, depository shares, purchase contracts, purchase units, and warrants and to the incorporation by reference therein of our report dated March 11, 2016, with respect to the consolidated financial statements of Blueprint Medicines Corporation included in its Annual Report (Form 10-K) for the year ended December 31, 2015, filed with the Securities and Exchange Commission.</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rPr>
          <w:sz w:val="20"/>
          <w:szCs w:val="20"/>
          <w:color w:val="auto"/>
        </w:rPr>
      </w:pPr>
      <w:r>
        <w:rPr>
          <w:rFonts w:ascii="Arial" w:cs="Arial" w:eastAsia="Arial" w:hAnsi="Arial"/>
          <w:sz w:val="20"/>
          <w:szCs w:val="20"/>
          <w:color w:val="auto"/>
        </w:rPr>
        <w:t>July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15"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2019-12-09T00:47:26Z</dcterms:created>
  <dcterms:modified xsi:type="dcterms:W3CDTF">2019-12-09T00:47:26Z</dcterms:modified>
</cp:coreProperties>
</file>