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pPr>
      <w:bookmarkStart w:id="0" w:name="tm2314611d1_8k.htm"/>
      <w:bookmarkStart w:id="1" w:name="kstm2314611d1_8k"/>
      <w:bookmarkEnd w:id="0"/>
      <w:bookmarkEnd w:id="1"/>
      <w:r>
        <w:rPr/>
        <w:t> </w:t>
      </w:r>
    </w:p>
    <w:p>
      <w:pPr>
        <w:pStyle w:val="TextBody"/>
        <w:rPr>
          <w:bdr w:val="single" w:sz="16" w:space="1" w:color="000000"/>
        </w:rPr>
      </w:pPr>
      <w:r>
        <w:rPr>
          <w:bdr w:val="single" w:sz="16" w:space="1" w:color="000000"/>
        </w:rPr>
        <w:t> </w:t>
      </w:r>
    </w:p>
    <w:p>
      <w:pPr>
        <w:pStyle w:val="TextBody"/>
        <w:jc w:val="center"/>
        <w:rPr/>
      </w:pPr>
      <w:r>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30504__20"/>
      <w:bookmarkEnd w:id="2"/>
      <w:r>
        <w:rPr>
          <w:rFonts w:ascii="Times New Roman;Times;Serif" w:hAnsi="Times New Roman;Times;Serif"/>
          <w:b/>
          <w:i w:val="false"/>
          <w:caps w:val="false"/>
          <w:smallCaps w:val="false"/>
          <w:sz w:val="36"/>
        </w:rPr>
        <w:t>8-K</w:t>
      </w:r>
    </w:p>
    <w:p>
      <w:pPr>
        <w:pStyle w:val="TextBody"/>
        <w:spacing w:before="0" w:after="0"/>
        <w:jc w:val="center"/>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May 4, 2023</w:t>
      </w:r>
    </w:p>
    <w:p>
      <w:pPr>
        <w:pStyle w:val="TextBody"/>
        <w:spacing w:before="0" w:after="0"/>
        <w:jc w:val="center"/>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3"/>
      <w:bookmarkEnd w:id="4"/>
      <w:r>
        <w:rPr>
          <w:rFonts w:ascii="Times New Roman;Times;Serif" w:hAnsi="Times New Roman;Times;Serif"/>
          <w:b/>
          <w:i w:val="false"/>
          <w:caps w:val="false"/>
          <w:smallCaps w:val="false"/>
          <w:sz w:val="36"/>
        </w:rPr>
        <w:t>Blueprint Medicines Corporation</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jc w:val="center"/>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jc w:val="center"/>
        <w:rPr>
          <w:caps w:val="false"/>
          <w:smallCaps w:val="false"/>
        </w:rPr>
      </w:pPr>
      <w:r>
        <w:rPr>
          <w:caps w:val="false"/>
          <w:smallCaps w:val="false"/>
        </w:rPr>
        <w:t> </w:t>
      </w:r>
    </w:p>
    <w:tbl>
      <w:tblPr>
        <w:tblW w:w="6030" w:type="dxa"/>
        <w:jc w:val="left"/>
        <w:tblInd w:w="0" w:type="dxa"/>
        <w:tblCellMar>
          <w:top w:w="0" w:type="dxa"/>
          <w:left w:w="0" w:type="dxa"/>
          <w:bottom w:w="0" w:type="dxa"/>
          <w:right w:w="0" w:type="dxa"/>
        </w:tblCellMar>
      </w:tblPr>
      <w:tblGrid>
        <w:gridCol w:w="2165"/>
        <w:gridCol w:w="60"/>
        <w:gridCol w:w="2210"/>
        <w:gridCol w:w="60"/>
        <w:gridCol w:w="1535"/>
      </w:tblGrid>
      <w:tr>
        <w:trPr/>
        <w:tc>
          <w:tcPr>
            <w:tcW w:w="216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5" w:name="xdx_900_edei--EntityIncorporationStateCo"/>
            <w:bookmarkEnd w:id="5"/>
            <w:r>
              <w:rPr>
                <w:rFonts w:ascii="Times New Roman;Times;Serif" w:hAnsi="Times New Roman;Times;Serif"/>
                <w:b/>
                <w:i w:val="false"/>
                <w:caps w:val="false"/>
                <w:smallCaps w:val="false"/>
                <w:sz w:val="20"/>
              </w:rPr>
              <w:t>Delaware</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6" w:name="xdx_90A_edei--EntityFileNumber_c20230504"/>
            <w:bookmarkEnd w:id="6"/>
            <w:r>
              <w:rPr>
                <w:rFonts w:ascii="Times New Roman;Times;Serif" w:hAnsi="Times New Roman;Times;Serif"/>
                <w:b/>
                <w:i w:val="false"/>
                <w:caps w:val="false"/>
                <w:smallCaps w:val="false"/>
                <w:sz w:val="20"/>
              </w:rPr>
              <w:t>001-37359</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7" w:name="xdx_907_edei--EntityTaxIdentificationNum"/>
            <w:bookmarkEnd w:id="7"/>
            <w:r>
              <w:rPr>
                <w:rFonts w:ascii="Times New Roman;Times;Serif" w:hAnsi="Times New Roman;Times;Serif"/>
                <w:b/>
                <w:i w:val="false"/>
                <w:caps w:val="false"/>
                <w:smallCaps w:val="false"/>
                <w:sz w:val="20"/>
              </w:rPr>
              <w:t>26-3632015</w:t>
            </w:r>
          </w:p>
        </w:tc>
      </w:tr>
      <w:tr>
        <w:trPr/>
        <w:tc>
          <w:tcPr>
            <w:tcW w:w="2165" w:type="dxa"/>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spacing w:before="0" w:after="0"/>
        <w:ind w:left="0" w:right="0" w:hanging="0"/>
        <w:rPr>
          <w:caps w:val="false"/>
          <w:smallCaps w:val="false"/>
        </w:rPr>
      </w:pPr>
      <w:r>
        <w:rPr>
          <w:caps w:val="false"/>
          <w:smallCaps w:val="false"/>
        </w:rPr>
        <w:t> </w:t>
      </w:r>
    </w:p>
    <w:tbl>
      <w:tblPr>
        <w:tblW w:w="4195" w:type="dxa"/>
        <w:jc w:val="left"/>
        <w:tblInd w:w="0" w:type="dxa"/>
        <w:tblCellMar>
          <w:top w:w="0" w:type="dxa"/>
          <w:left w:w="0" w:type="dxa"/>
          <w:bottom w:w="0" w:type="dxa"/>
          <w:right w:w="0" w:type="dxa"/>
        </w:tblCellMar>
      </w:tblPr>
      <w:tblGrid>
        <w:gridCol w:w="3215"/>
        <w:gridCol w:w="60"/>
        <w:gridCol w:w="920"/>
      </w:tblGrid>
      <w:tr>
        <w:trPr/>
        <w:tc>
          <w:tcPr>
            <w:tcW w:w="321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45 Sidney Street</w:t>
            </w:r>
          </w:p>
          <w:p>
            <w:pPr>
              <w:pStyle w:val="TableContents"/>
              <w:spacing w:before="0" w:after="0"/>
              <w:ind w:left="0" w:right="0" w:hanging="0"/>
              <w:jc w:val="center"/>
              <w:rPr>
                <w:rFonts w:ascii="Times New Roman;Times;Serif" w:hAnsi="Times New Roman;Times;Serif"/>
                <w:b/>
                <w:i w:val="false"/>
                <w:caps w:val="false"/>
                <w:smallCaps w:val="false"/>
                <w:sz w:val="20"/>
              </w:rPr>
            </w:pPr>
            <w:bookmarkStart w:id="9" w:name="xdx_90B_edei--EntityAddressCityOrTown_c2"/>
            <w:bookmarkEnd w:id="9"/>
            <w:r>
              <w:rPr>
                <w:rFonts w:ascii="Times New Roman;Times;Serif" w:hAnsi="Times New Roman;Times;Serif"/>
                <w:b/>
                <w:i w:val="false"/>
                <w:caps w:val="false"/>
                <w:smallCaps w:val="false"/>
                <w:sz w:val="20"/>
              </w:rPr>
              <w:t xml:space="preserve">Cambridge, </w:t>
            </w:r>
            <w:bookmarkStart w:id="10" w:name="xdx_905_edei--EntityAddressStateOrProvin"/>
            <w:bookmarkEnd w:id="10"/>
            <w:r>
              <w:rPr>
                <w:rFonts w:ascii="Times New Roman;Times;Serif" w:hAnsi="Times New Roman;Times;Serif"/>
                <w:b/>
                <w:i w:val="false"/>
                <w:caps w:val="false"/>
                <w:smallCaps w:val="false"/>
                <w:sz w:val="20"/>
              </w:rPr>
              <w:t>Massachusetts</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11" w:name="xdx_909_edei--EntityAddressPostalZipCode"/>
            <w:bookmarkEnd w:id="11"/>
            <w:r>
              <w:rPr>
                <w:rFonts w:ascii="Times New Roman;Times;Serif" w:hAnsi="Times New Roman;Times;Serif"/>
                <w:b/>
                <w:i w:val="false"/>
                <w:caps w:val="false"/>
                <w:smallCaps w:val="false"/>
                <w:sz w:val="20"/>
              </w:rPr>
              <w:t>02139</w:t>
            </w:r>
          </w:p>
        </w:tc>
      </w:tr>
      <w:tr>
        <w:trPr/>
        <w:tc>
          <w:tcPr>
            <w:tcW w:w="321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5_edei--CityAreaCode_c20230504__20"/>
      <w:bookmarkEnd w:id="12"/>
      <w:r>
        <w:rPr>
          <w:rFonts w:ascii="Times New Roman;Times;Serif" w:hAnsi="Times New Roman;Times;Serif"/>
          <w:b/>
          <w:i w:val="false"/>
          <w:caps w:val="false"/>
          <w:smallCaps w:val="false"/>
          <w:sz w:val="20"/>
        </w:rPr>
        <w:t xml:space="preserve">617) </w:t>
      </w:r>
      <w:bookmarkStart w:id="13" w:name="xdx_90E_edei--LocalPhoneNumber_c20230504"/>
      <w:bookmarkEnd w:id="13"/>
      <w:r>
        <w:rPr>
          <w:rFonts w:ascii="Times New Roman;Times;Serif" w:hAnsi="Times New Roman;Times;Serif"/>
          <w:b/>
          <w:i w:val="false"/>
          <w:caps w:val="false"/>
          <w:smallCaps w:val="false"/>
          <w:sz w:val="20"/>
        </w:rPr>
        <w:t>374-7580</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60" w:after="60"/>
        <w:ind w:left="60" w:right="60" w:hanging="0"/>
        <w:rPr>
          <w:bdr w:val="single" w:sz="8" w:space="1" w:color="000000"/>
        </w:rPr>
      </w:pPr>
      <w:r>
        <w:rPr>
          <w:bdr w:val="single" w:sz="8" w:space="1" w:color="000000"/>
        </w:rPr>
        <w:t> </w:t>
      </w:r>
    </w:p>
    <w:p>
      <w:pPr>
        <w:pStyle w:val="TextBody"/>
        <w:spacing w:before="0" w:after="0"/>
        <w:jc w:val="center"/>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30"/>
        <w:gridCol w:w="990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caps w:val="false"/>
                <w:smallCaps w:val="false"/>
              </w:rPr>
            </w:pPr>
            <w:bookmarkStart w:id="14" w:name="xdx_90F_edei--WrittenCommunications_c202"/>
            <w:bookmarkEnd w:id="14"/>
            <w:r>
              <w:rPr>
                <w:caps w:val="false"/>
                <w:smallCaps w:val="false"/>
              </w:rPr>
              <w:t>☐</w:t>
            </w:r>
          </w:p>
        </w:tc>
        <w:tc>
          <w:tcPr>
            <w:tcW w:w="9900" w:type="dxa"/>
            <w:tcBorders/>
            <w:shd w:fill="auto" w:val="clear"/>
            <w:vAlign w:val="center"/>
          </w:tcPr>
          <w:p>
            <w:pPr>
              <w:pStyle w:val="TableContents"/>
              <w:spacing w:before="0" w:after="283"/>
              <w:jc w:val="both"/>
              <w:rPr/>
            </w:pPr>
            <w:r>
              <w:rPr/>
              <w:t>Written communications pursuant to Rule 425 under the Securities Act (17 CFR 230.425)</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pPr>
            <w:bookmarkStart w:id="15" w:name="xdx_900_edei--SolicitingMaterial_c202305"/>
            <w:bookmarkEnd w:id="15"/>
            <w:r>
              <w:rPr/>
              <w:t>☐</w:t>
            </w:r>
          </w:p>
        </w:tc>
        <w:tc>
          <w:tcPr>
            <w:tcW w:w="9900" w:type="dxa"/>
            <w:tcBorders/>
            <w:shd w:fill="auto" w:val="clear"/>
            <w:vAlign w:val="center"/>
          </w:tcPr>
          <w:p>
            <w:pPr>
              <w:pStyle w:val="TableContents"/>
              <w:spacing w:before="0" w:after="283"/>
              <w:jc w:val="both"/>
              <w:rPr/>
            </w:pPr>
            <w:r>
              <w:rPr/>
              <w:t>Soliciting material pursuant to Rule 14a-12 under the Exchange Act (17 CFR 240.14a-12)</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pPr>
            <w:bookmarkStart w:id="16" w:name="xdx_90B_edei--PreCommencementTenderOffer"/>
            <w:bookmarkEnd w:id="16"/>
            <w:r>
              <w:rPr/>
              <w:t>☐</w:t>
            </w:r>
          </w:p>
        </w:tc>
        <w:tc>
          <w:tcPr>
            <w:tcW w:w="9900" w:type="dxa"/>
            <w:tcBorders/>
            <w:shd w:fill="auto" w:val="clear"/>
            <w:vAlign w:val="center"/>
          </w:tcPr>
          <w:p>
            <w:pPr>
              <w:pStyle w:val="TableContents"/>
              <w:spacing w:before="0" w:after="283"/>
              <w:jc w:val="both"/>
              <w:rPr/>
            </w:pPr>
            <w:r>
              <w:rPr/>
              <w:t>Pre-commencement communications pursuant to Rule 14d-2(b) under the Exchange Act (17 CFR 240.14d-2(b))</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pPr>
            <w:bookmarkStart w:id="17" w:name="xdx_901_edei--PreCommencementIssuerTende"/>
            <w:bookmarkEnd w:id="17"/>
            <w:r>
              <w:rPr/>
              <w:t>☐</w:t>
            </w:r>
          </w:p>
        </w:tc>
        <w:tc>
          <w:tcPr>
            <w:tcW w:w="9900" w:type="dxa"/>
            <w:tcBorders/>
            <w:shd w:fill="auto" w:val="clear"/>
            <w:vAlign w:val="center"/>
          </w:tcPr>
          <w:p>
            <w:pPr>
              <w:pStyle w:val="TableContents"/>
              <w:spacing w:before="0" w:after="283"/>
              <w:jc w:val="both"/>
              <w:rPr/>
            </w:pPr>
            <w:r>
              <w:rPr/>
              <w:t>Pre-commencement communications pursuant to Rule 13e-4(c) under the Exchange Act (17 CFR 240.13e-4(c))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8" w:name="xdx_905_edei--EntityEmergingGrowthCompan"/>
      <w:bookmarkEnd w:id="18"/>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spacing w:before="0" w:after="0"/>
        <w:ind w:left="0" w:right="0" w:hanging="0"/>
        <w:rPr>
          <w:caps w:val="false"/>
          <w:smallCaps w:val="false"/>
        </w:rPr>
      </w:pPr>
      <w:r>
        <w:rPr>
          <w:caps w:val="false"/>
          <w:smallCaps w:val="false"/>
        </w:rPr>
        <w:t> </w:t>
      </w:r>
    </w:p>
    <w:tbl>
      <w:tblPr>
        <w:tblW w:w="7740" w:type="dxa"/>
        <w:jc w:val="left"/>
        <w:tblInd w:w="0" w:type="dxa"/>
        <w:tblCellMar>
          <w:top w:w="28" w:type="dxa"/>
          <w:left w:w="108" w:type="dxa"/>
          <w:bottom w:w="28" w:type="dxa"/>
          <w:right w:w="108" w:type="dxa"/>
        </w:tblCellMar>
      </w:tblPr>
      <w:tblGrid>
        <w:gridCol w:w="3485"/>
        <w:gridCol w:w="1505"/>
        <w:gridCol w:w="2750"/>
      </w:tblGrid>
      <w:tr>
        <w:trPr/>
        <w:tc>
          <w:tcPr>
            <w:tcW w:w="348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0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275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w:t>
              <w:br/>
              <w:t>registered</w:t>
            </w:r>
          </w:p>
        </w:tc>
      </w:tr>
      <w:tr>
        <w:trPr/>
        <w:tc>
          <w:tcPr>
            <w:tcW w:w="348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9" w:name="xdx_908_edei--Security12bTitle_c20230504"/>
            <w:bookmarkEnd w:id="19"/>
            <w:r>
              <w:rPr>
                <w:rFonts w:ascii="Times New Roman;Times;Serif" w:hAnsi="Times New Roman;Times;Serif"/>
                <w:b w:val="false"/>
                <w:i w:val="false"/>
                <w:caps w:val="false"/>
                <w:smallCaps w:val="false"/>
                <w:sz w:val="20"/>
              </w:rPr>
              <w:t>Common stock, par value $0.001 per share</w:t>
            </w:r>
          </w:p>
        </w:tc>
        <w:tc>
          <w:tcPr>
            <w:tcW w:w="150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0" w:name="xdx_905_edei--TradingSymbol_c20230504__2"/>
            <w:bookmarkEnd w:id="20"/>
            <w:r>
              <w:rPr>
                <w:rFonts w:ascii="Times New Roman;Times;Serif" w:hAnsi="Times New Roman;Times;Serif"/>
                <w:b w:val="false"/>
                <w:i w:val="false"/>
                <w:caps w:val="false"/>
                <w:smallCaps w:val="false"/>
                <w:sz w:val="20"/>
              </w:rPr>
              <w:t>BPMC</w:t>
            </w:r>
          </w:p>
        </w:tc>
        <w:tc>
          <w:tcPr>
            <w:tcW w:w="275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1" w:name="xdx_903_edei--SecurityExchangeName_c2023"/>
            <w:bookmarkEnd w:id="21"/>
            <w:r>
              <w:rPr>
                <w:rFonts w:ascii="Times New Roman;Times;Serif" w:hAnsi="Times New Roman;Times;Serif"/>
                <w:b w:val="false"/>
                <w:i w:val="false"/>
                <w:caps w:val="false"/>
                <w:smallCaps w:val="false"/>
                <w:sz w:val="20"/>
              </w:rPr>
              <w:t>Nasdaq Global Select Market</w:t>
            </w:r>
          </w:p>
        </w:tc>
      </w:tr>
    </w:tbl>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i w:val="false"/>
          <w:caps w:val="false"/>
          <w:smallCaps w:val="false"/>
          <w:color w:val="202529"/>
          <w:sz w:val="20"/>
        </w:rPr>
      </w:pPr>
      <w:r>
        <w:rPr>
          <w:rFonts w:ascii="Times New Roman;Times;Serif" w:hAnsi="Times New Roman;Times;Serif"/>
          <w:b/>
          <w:i w:val="false"/>
          <w:caps w:val="false"/>
          <w:smallCaps w:val="false"/>
          <w:color w:val="202529"/>
          <w:sz w:val="20"/>
        </w:rPr>
        <w:t>Item 2.02 Results of Operations and Financial Condition.</w:t>
      </w:r>
    </w:p>
    <w:p>
      <w:pPr>
        <w:pStyle w:val="TextBody"/>
        <w:shd w:fill="FFFFFF" w:val="clear"/>
        <w:spacing w:before="0" w:after="0"/>
        <w:ind w:left="0" w:right="0" w:hanging="0"/>
        <w:rPr>
          <w:caps w:val="false"/>
          <w:smallCaps w:val="false"/>
          <w:color w:val="202529"/>
        </w:rPr>
      </w:pPr>
      <w:r>
        <w:rPr>
          <w:caps w:val="false"/>
          <w:smallCaps w:val="false"/>
          <w:color w:val="202529"/>
        </w:rPr>
        <w:t> </w:t>
      </w:r>
    </w:p>
    <w:p>
      <w:pPr>
        <w:pStyle w:val="TextBody"/>
        <w:shd w:fill="FFFFFF" w:val="clear"/>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2023, Blueprint Medicines Corporation announced its financial results for the quarter ended March 31, 2023 and other business highlights. The full text of the press release issued in connection with the announcement is furnished as Exhibit 99.1 to this Current Report on Form 8-K and is incorporated by reference herein.</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shd w:fill="FFFFFF" w:val="clear"/>
        <w:spacing w:before="0" w:after="0"/>
        <w:ind w:left="0" w:right="0" w:hanging="0"/>
        <w:rPr>
          <w:caps w:val="false"/>
          <w:smallCaps w:val="false"/>
          <w:color w:val="212529"/>
        </w:rPr>
      </w:pPr>
      <w:r>
        <w:rPr>
          <w:caps w:val="false"/>
          <w:smallCaps w:val="false"/>
          <w:color w:val="212529"/>
        </w:rPr>
        <w:t> </w:t>
      </w:r>
    </w:p>
    <w:p>
      <w:pPr>
        <w:pStyle w:val="TextBody"/>
        <w:shd w:fill="FFFFFF" w:val="clear"/>
        <w:spacing w:before="0" w:after="0"/>
        <w:ind w:left="0" w:right="0" w:hanging="0"/>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(d) Exhibits.</w:t>
      </w:r>
    </w:p>
    <w:p>
      <w:pPr>
        <w:pStyle w:val="TextBody"/>
        <w:shd w:fill="FFFFFF" w:val="clear"/>
        <w:spacing w:before="0" w:after="0"/>
        <w:ind w:left="0" w:right="0" w:hanging="0"/>
        <w:rPr>
          <w:caps w:val="false"/>
          <w:smallCaps w:val="false"/>
          <w:color w:val="212529"/>
        </w:rPr>
      </w:pPr>
      <w:r>
        <w:rPr>
          <w:caps w:val="false"/>
          <w:smallCaps w:val="false"/>
          <w:color w:val="212529"/>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The following exhibit relating to Item 2.02 of this Form 8-K shall be deemed to be furnished and not filed:</w:t>
      </w:r>
    </w:p>
    <w:p>
      <w:pPr>
        <w:pStyle w:val="TextBody"/>
        <w:shd w:fill="FFFFFF" w:val="clear"/>
        <w:spacing w:before="0" w:after="0"/>
        <w:ind w:left="0" w:right="0" w:hanging="0"/>
        <w:rPr>
          <w:caps w:val="false"/>
          <w:smallCaps w:val="false"/>
          <w:color w:val="212529"/>
        </w:rPr>
      </w:pPr>
      <w:r>
        <w:rPr>
          <w:caps w:val="false"/>
          <w:smallCaps w:val="false"/>
          <w:color w:val="212529"/>
        </w:rPr>
        <w:t> </w:t>
      </w:r>
    </w:p>
    <w:p>
      <w:pPr>
        <w:pStyle w:val="TextBody"/>
        <w:shd w:fill="FFFFFF" w:val="clear"/>
        <w:spacing w:before="0" w:after="0"/>
        <w:ind w:left="0" w:right="0" w:hanging="0"/>
        <w:rPr>
          <w:rFonts w:ascii="Times New Roman;Times;Serif" w:hAnsi="Times New Roman;Times;Serif"/>
          <w:b w:val="false"/>
          <w:i w:val="false"/>
          <w:caps w:val="false"/>
          <w:smallCaps w:val="false"/>
          <w:color w:val="212529"/>
          <w:sz w:val="20"/>
        </w:rPr>
      </w:pPr>
      <w:r>
        <w:rPr>
          <w:rFonts w:ascii="Times New Roman;Times;Serif" w:hAnsi="Times New Roman;Times;Serif"/>
          <w:b/>
          <w:i w:val="false"/>
          <w:caps w:val="false"/>
          <w:smallCaps w:val="false"/>
          <w:color w:val="212529"/>
          <w:sz w:val="20"/>
        </w:rPr>
        <w:t>Item 9.01  Financial Statements and Exhibits.</w:t>
      </w:r>
      <w:r>
        <w:rPr>
          <w:rFonts w:ascii="Times New Roman;Times;Serif" w:hAnsi="Times New Roman;Times;Serif"/>
          <w:b w:val="false"/>
          <w:i w:val="false"/>
          <w:caps w:val="false"/>
          <w:smallCaps w:val="false"/>
          <w:color w:val="212529"/>
          <w:sz w:val="20"/>
        </w:rPr>
        <w:t> </w:t>
      </w:r>
    </w:p>
    <w:p>
      <w:pPr>
        <w:pStyle w:val="TextBody"/>
        <w:shd w:fill="FFFFFF" w:val="clear"/>
        <w:spacing w:before="0" w:after="0"/>
        <w:ind w:left="0" w:right="0" w:firstLine="720"/>
        <w:rPr>
          <w:caps w:val="false"/>
          <w:smallCaps w:val="false"/>
          <w:color w:val="212529"/>
        </w:rPr>
      </w:pPr>
      <w:r>
        <w:rPr>
          <w:caps w:val="false"/>
          <w:smallCaps w:val="false"/>
          <w:color w:val="212529"/>
        </w:rPr>
        <w:t> </w:t>
      </w:r>
    </w:p>
    <w:tbl>
      <w:tblPr>
        <w:tblW w:w="10015" w:type="dxa"/>
        <w:jc w:val="left"/>
        <w:tblInd w:w="0" w:type="dxa"/>
        <w:shd w:fill="FFFFFF" w:val="clear"/>
        <w:tblCellMar>
          <w:top w:w="0" w:type="dxa"/>
          <w:left w:w="0" w:type="dxa"/>
          <w:bottom w:w="0" w:type="dxa"/>
          <w:right w:w="0" w:type="dxa"/>
        </w:tblCellMar>
      </w:tblPr>
      <w:tblGrid>
        <w:gridCol w:w="75"/>
        <w:gridCol w:w="695"/>
        <w:gridCol w:w="60"/>
        <w:gridCol w:w="9185"/>
      </w:tblGrid>
      <w:tr>
        <w:trPr/>
        <w:tc>
          <w:tcPr>
            <w:tcW w:w="7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color w:val="212529"/>
                <w:sz w:val="20"/>
              </w:rPr>
            </w:pPr>
            <w:r>
              <w:rPr>
                <w:b/>
                <w:color w:val="212529"/>
                <w:sz w:val="20"/>
              </w:rPr>
              <w:t xml:space="preserve">Exhibit </w:t>
              <w:br/>
              <w:t>No.</w:t>
            </w:r>
            <w:r>
              <w:rPr>
                <w:color w:val="212529"/>
                <w:sz w:val="20"/>
              </w:rPr>
              <w:t> </w:t>
            </w:r>
          </w:p>
        </w:tc>
        <w:tc>
          <w:tcPr>
            <w:tcW w:w="60" w:type="dxa"/>
            <w:tcBorders/>
            <w:shd w:fill="FFFFFF" w:val="clear"/>
            <w:vAlign w:val="center"/>
          </w:tcPr>
          <w:p>
            <w:pPr>
              <w:pStyle w:val="TableContents"/>
              <w:spacing w:before="0" w:after="283"/>
              <w:rPr/>
            </w:pPr>
            <w:r>
              <w:rPr/>
              <w:t> </w:t>
            </w:r>
          </w:p>
        </w:tc>
        <w:tc>
          <w:tcPr>
            <w:tcW w:w="9185" w:type="dxa"/>
            <w:tcBorders/>
            <w:shd w:fill="FFFFFF" w:val="clear"/>
            <w:vAlign w:val="center"/>
          </w:tcPr>
          <w:p>
            <w:pPr>
              <w:pStyle w:val="TableContents"/>
              <w:spacing w:before="0" w:after="283"/>
              <w:rPr>
                <w:color w:val="212529"/>
                <w:sz w:val="20"/>
              </w:rPr>
            </w:pPr>
            <w:r>
              <w:rPr>
                <w:b/>
                <w:color w:val="212529"/>
                <w:sz w:val="20"/>
              </w:rPr>
              <w:t>Description</w:t>
            </w:r>
            <w:r>
              <w:rPr>
                <w:color w:val="212529"/>
                <w:sz w:val="20"/>
              </w:rPr>
              <w:t> </w:t>
            </w:r>
          </w:p>
        </w:tc>
      </w:tr>
      <w:tr>
        <w:trPr/>
        <w:tc>
          <w:tcPr>
            <w:tcW w:w="7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hyperlink w:anchor="tm2314611d1_ex99-1.htm">
              <w:r>
                <w:rPr>
                  <w:rStyle w:val="InternetLink"/>
                  <w:color w:val="212529"/>
                  <w:sz w:val="20"/>
                </w:rPr>
                <w:t>99.1</w:t>
              </w:r>
            </w:hyperlink>
          </w:p>
        </w:tc>
        <w:tc>
          <w:tcPr>
            <w:tcW w:w="60" w:type="dxa"/>
            <w:tcBorders/>
            <w:shd w:fill="FFFFFF" w:val="clear"/>
            <w:vAlign w:val="center"/>
          </w:tcPr>
          <w:p>
            <w:pPr>
              <w:pStyle w:val="TableContents"/>
              <w:spacing w:before="0" w:after="283"/>
              <w:rPr/>
            </w:pPr>
            <w:r>
              <w:rPr/>
              <w:t> </w:t>
            </w:r>
          </w:p>
        </w:tc>
        <w:tc>
          <w:tcPr>
            <w:tcW w:w="9185" w:type="dxa"/>
            <w:tcBorders/>
            <w:shd w:fill="FFFFFF" w:val="clear"/>
            <w:vAlign w:val="center"/>
          </w:tcPr>
          <w:p>
            <w:pPr>
              <w:pStyle w:val="TableContents"/>
              <w:spacing w:before="0" w:after="283"/>
              <w:rPr/>
            </w:pPr>
            <w:hyperlink w:anchor="tm2314611d1_ex99-1.htm">
              <w:r>
                <w:rPr>
                  <w:rStyle w:val="InternetLink"/>
                  <w:color w:val="212529"/>
                  <w:sz w:val="20"/>
                </w:rPr>
                <w:t>Press release issued by Blueprint Medicines Corporation on May 4, 2023</w:t>
              </w:r>
            </w:hyperlink>
          </w:p>
        </w:tc>
      </w:tr>
      <w:tr>
        <w:trPr/>
        <w:tc>
          <w:tcPr>
            <w:tcW w:w="7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color w:val="212529"/>
                <w:sz w:val="20"/>
              </w:rPr>
            </w:pPr>
            <w:r>
              <w:rPr>
                <w:color w:val="212529"/>
                <w:sz w:val="20"/>
              </w:rPr>
              <w:t>104 </w:t>
            </w:r>
          </w:p>
        </w:tc>
        <w:tc>
          <w:tcPr>
            <w:tcW w:w="60" w:type="dxa"/>
            <w:tcBorders/>
            <w:shd w:fill="FFFFFF" w:val="clear"/>
            <w:vAlign w:val="center"/>
          </w:tcPr>
          <w:p>
            <w:pPr>
              <w:pStyle w:val="TableContents"/>
              <w:spacing w:before="0" w:after="283"/>
              <w:rPr/>
            </w:pPr>
            <w:r>
              <w:rPr/>
              <w:t> </w:t>
            </w:r>
          </w:p>
        </w:tc>
        <w:tc>
          <w:tcPr>
            <w:tcW w:w="9185" w:type="dxa"/>
            <w:tcBorders/>
            <w:shd w:fill="FFFFFF" w:val="clear"/>
            <w:vAlign w:val="center"/>
          </w:tcPr>
          <w:p>
            <w:pPr>
              <w:pStyle w:val="TableContents"/>
              <w:spacing w:before="0" w:after="283"/>
              <w:rPr>
                <w:color w:val="212529"/>
                <w:sz w:val="20"/>
              </w:rPr>
            </w:pPr>
            <w:r>
              <w:rPr>
                <w:color w:val="212529"/>
                <w:sz w:val="20"/>
              </w:rPr>
              <w:t>Cover Page Interactive Data File (embedded within the Inline XBRL document and incorporated as Exhibit 101) </w:t>
            </w:r>
          </w:p>
        </w:tc>
      </w:tr>
    </w:tbl>
    <w:p>
      <w:pPr>
        <w:pStyle w:val="TextBody"/>
        <w:shd w:fill="FFFFFF" w:val="clear"/>
        <w:spacing w:before="0" w:after="0"/>
        <w:ind w:left="0" w:right="0" w:hanging="0"/>
        <w:rPr>
          <w:caps w:val="false"/>
          <w:smallCaps w:val="false"/>
          <w:color w:val="212529"/>
        </w:rPr>
      </w:pPr>
      <w:r>
        <w:rPr>
          <w:caps w:val="false"/>
          <w:smallCaps w:val="false"/>
          <w:color w:val="212529"/>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5379" w:type="dxa"/>
        <w:jc w:val="left"/>
        <w:tblInd w:w="0" w:type="dxa"/>
        <w:tblCellMar>
          <w:top w:w="0" w:type="dxa"/>
          <w:left w:w="0" w:type="dxa"/>
          <w:bottom w:w="0" w:type="dxa"/>
          <w:right w:w="0" w:type="dxa"/>
        </w:tblCellMar>
      </w:tblPr>
      <w:tblGrid>
        <w:gridCol w:w="1550"/>
        <w:gridCol w:w="538"/>
        <w:gridCol w:w="3291"/>
      </w:tblGrid>
      <w:tr>
        <w:trPr/>
        <w:tc>
          <w:tcPr>
            <w:tcW w:w="1550" w:type="dxa"/>
            <w:tcBorders/>
            <w:shd w:fill="auto" w:val="clear"/>
            <w:vAlign w:val="center"/>
          </w:tcPr>
          <w:p>
            <w:pPr>
              <w:pStyle w:val="TableContents"/>
              <w:spacing w:before="0" w:after="283"/>
              <w:rPr/>
            </w:pPr>
            <w:r>
              <w:rPr/>
              <w:t> </w:t>
            </w:r>
          </w:p>
        </w:tc>
        <w:tc>
          <w:tcPr>
            <w:tcW w:w="3829" w:type="dxa"/>
            <w:gridSpan w:val="2"/>
            <w:tcBorders/>
            <w:shd w:fill="auto" w:val="clear"/>
            <w:vAlign w:val="center"/>
          </w:tcPr>
          <w:p>
            <w:pPr>
              <w:pStyle w:val="TableContents"/>
              <w:spacing w:before="0" w:after="283"/>
              <w:rPr>
                <w:b/>
                <w:sz w:val="20"/>
              </w:rPr>
            </w:pPr>
            <w:r>
              <w:rPr>
                <w:b/>
                <w:sz w:val="20"/>
              </w:rPr>
              <w:t>BLUEPRINT MEDICINES CORPORATION</w:t>
            </w:r>
          </w:p>
        </w:tc>
      </w:tr>
      <w:tr>
        <w:trPr/>
        <w:tc>
          <w:tcPr>
            <w:tcW w:w="1550" w:type="dxa"/>
            <w:tcBorders/>
            <w:shd w:fill="auto" w:val="clear"/>
            <w:vAlign w:val="center"/>
          </w:tcPr>
          <w:p>
            <w:pPr>
              <w:pStyle w:val="TableContents"/>
              <w:spacing w:before="0" w:after="283"/>
              <w:rPr/>
            </w:pPr>
            <w:r>
              <w:rPr/>
              <w:t> </w:t>
            </w:r>
          </w:p>
        </w:tc>
        <w:tc>
          <w:tcPr>
            <w:tcW w:w="3829" w:type="dxa"/>
            <w:gridSpan w:val="2"/>
            <w:tcBorders/>
            <w:shd w:fill="auto"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283"/>
              <w:rPr>
                <w:sz w:val="20"/>
              </w:rPr>
            </w:pPr>
            <w:r>
              <w:rPr>
                <w:sz w:val="20"/>
              </w:rPr>
              <w:t>Date: May 4, 2023</w:t>
            </w:r>
          </w:p>
        </w:tc>
        <w:tc>
          <w:tcPr>
            <w:tcW w:w="538" w:type="dxa"/>
            <w:tcBorders/>
            <w:shd w:fill="auto" w:val="clear"/>
            <w:vAlign w:val="center"/>
          </w:tcPr>
          <w:p>
            <w:pPr>
              <w:pStyle w:val="TableContents"/>
              <w:spacing w:before="0" w:after="283"/>
              <w:rPr>
                <w:sz w:val="20"/>
              </w:rPr>
            </w:pPr>
            <w:r>
              <w:rPr>
                <w:sz w:val="20"/>
              </w:rPr>
              <w:t>By:</w:t>
            </w:r>
          </w:p>
        </w:tc>
        <w:tc>
          <w:tcPr>
            <w:tcW w:w="3291"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Kathryn Haviland</w:t>
            </w:r>
          </w:p>
        </w:tc>
      </w:tr>
      <w:tr>
        <w:trPr/>
        <w:tc>
          <w:tcPr>
            <w:tcW w:w="1550" w:type="dxa"/>
            <w:tcBorders/>
            <w:shd w:fill="auto" w:val="clear"/>
            <w:vAlign w:val="center"/>
          </w:tcPr>
          <w:p>
            <w:pPr>
              <w:pStyle w:val="TableContents"/>
              <w:spacing w:before="0" w:after="283"/>
              <w:rPr/>
            </w:pPr>
            <w:r>
              <w:rPr/>
              <w:t> </w:t>
            </w:r>
          </w:p>
        </w:tc>
        <w:tc>
          <w:tcPr>
            <w:tcW w:w="538" w:type="dxa"/>
            <w:tcBorders/>
            <w:shd w:fill="auto" w:val="clear"/>
            <w:vAlign w:val="center"/>
          </w:tcPr>
          <w:p>
            <w:pPr>
              <w:pStyle w:val="TableContents"/>
              <w:spacing w:before="0" w:after="283"/>
              <w:rPr/>
            </w:pPr>
            <w:r>
              <w:rPr/>
              <w:t> </w:t>
            </w:r>
          </w:p>
        </w:tc>
        <w:tc>
          <w:tcPr>
            <w:tcW w:w="3291" w:type="dxa"/>
            <w:tcBorders/>
            <w:shd w:fill="auto" w:val="clear"/>
            <w:vAlign w:val="center"/>
          </w:tcPr>
          <w:p>
            <w:pPr>
              <w:pStyle w:val="TableContents"/>
              <w:spacing w:before="0" w:after="283"/>
              <w:rPr>
                <w:sz w:val="20"/>
              </w:rPr>
            </w:pPr>
            <w:r>
              <w:rPr>
                <w:sz w:val="20"/>
              </w:rPr>
              <w:t>Kathryn Haviland</w:t>
            </w:r>
          </w:p>
        </w:tc>
      </w:tr>
      <w:tr>
        <w:trPr/>
        <w:tc>
          <w:tcPr>
            <w:tcW w:w="1550" w:type="dxa"/>
            <w:tcBorders/>
            <w:shd w:fill="auto" w:val="clear"/>
            <w:vAlign w:val="center"/>
          </w:tcPr>
          <w:p>
            <w:pPr>
              <w:pStyle w:val="TableContents"/>
              <w:spacing w:before="0" w:after="283"/>
              <w:rPr/>
            </w:pPr>
            <w:r>
              <w:rPr/>
              <w:t> </w:t>
            </w:r>
          </w:p>
        </w:tc>
        <w:tc>
          <w:tcPr>
            <w:tcW w:w="538" w:type="dxa"/>
            <w:tcBorders/>
            <w:shd w:fill="auto" w:val="clear"/>
            <w:vAlign w:val="center"/>
          </w:tcPr>
          <w:p>
            <w:pPr>
              <w:pStyle w:val="TableContents"/>
              <w:spacing w:before="0" w:after="283"/>
              <w:rPr/>
            </w:pPr>
            <w:r>
              <w:rPr/>
              <w:t> </w:t>
            </w:r>
          </w:p>
        </w:tc>
        <w:tc>
          <w:tcPr>
            <w:tcW w:w="3291" w:type="dxa"/>
            <w:tcBorders/>
            <w:shd w:fill="auto" w:val="clear"/>
            <w:vAlign w:val="center"/>
          </w:tcPr>
          <w:p>
            <w:pPr>
              <w:pStyle w:val="TableContents"/>
              <w:spacing w:before="0" w:after="283"/>
              <w:rPr>
                <w:sz w:val="20"/>
              </w:rPr>
            </w:pPr>
            <w:r>
              <w:rPr>
                <w:sz w:val="20"/>
              </w:rPr>
              <w:t>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rPr/>
      </w:pPr>
      <w:bookmarkStart w:id="22" w:name="tm2314611d1_ex99-1.htm"/>
      <w:bookmarkStart w:id="23" w:name="kstm2314611d1_ex991"/>
      <w:bookmarkEnd w:id="22"/>
      <w:bookmarkEnd w:id="23"/>
      <w:r>
        <w:rPr/>
        <w:t> </w:t>
      </w:r>
    </w:p>
    <w:p>
      <w:pPr>
        <w:pStyle w:val="TextBody"/>
        <w:jc w:val="right"/>
        <w:rPr>
          <w:b/>
        </w:rPr>
      </w:pPr>
      <w:r>
        <w:rPr>
          <w:b/>
        </w:rPr>
        <w:t>Exhibit 99.1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Reports First Quarter 2023 Results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Achieved $39.1 million in AYVAKIT</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caps w:val="false"/>
          <w:smallCaps w:val="false"/>
          <w:sz w:val="20"/>
        </w:rPr>
        <w:t>/AYVAKYT</w:t>
      </w:r>
      <w:r>
        <w:rPr>
          <w:rFonts w:ascii="Times New Roman;Times;Serif" w:hAnsi="Times New Roman;Times;Serif"/>
          <w:b w:val="false"/>
          <w:i/>
          <w:caps w:val="false"/>
          <w:smallCaps w:val="false"/>
          <w:position w:val="7"/>
          <w:sz w:val="16"/>
          <w:sz w:val="20"/>
        </w:rPr>
        <w:t xml:space="preserve">® </w:t>
      </w:r>
      <w:r>
        <w:rPr>
          <w:rFonts w:ascii="Times New Roman;Times;Serif" w:hAnsi="Times New Roman;Times;Serif"/>
          <w:b w:val="false"/>
          <w:i/>
          <w:caps w:val="false"/>
          <w:smallCaps w:val="false"/>
          <w:sz w:val="20"/>
        </w:rPr>
        <w:t>(avapritinib) net product revenues and $63.3 million in total revenues in the first quarter of 2023 --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Raising 2023 AYVAKIT net product revenue guidance to $135 million to $145 million for advanced SM and GIST, excluding additional revenue associated with anticipated U.S. FDA approval for indolent SM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 FDA target action date for AYVAKIT supplemental new drug application for indolent SM is May 22, 2023 --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CAMBRIDGE, Mass., May 4, 2023 – Blueprint Medicines Corporation (NASDAQ: BPMC) today reported financial results and provided a business update for the first quarter ended March 31,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Our first quarter was marked by executional progress across the multiple growth opportunities that Blueprint Medicines has to expand our impact and transform outcomes for thousands of patients worldwide. We drove strong AYVAKIT revenue growth, presented seminal data for AYVAKIT in indolent systemic mastocytosis, and worked to progress our broad pipeline by rapidly resolving the partial clinical hold for BLU-222 and generating early clinical data across our portfolio,” said Kate Haviland, Chief Executive Officer at Blueprint Medicines. “Blueprint Medicines is ready to further solidify our leadership in systemic mastocytosis and scale the impact of AYVAKIT by addressing the medical needs of a substantially larger group of patients with our anticipated FDA label expansion for indolent systemic mastocytosis in a few weeks.”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2023 Highlights and Recent Progress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Systemic mastocytosis (SM)</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 xml:space="preserve">Presented full registrational PIONEER trial data for AYVAKIT in patients with indolent systemic mastocytosis (ISM) at the 2023 American Academy of Asthma, Allergy, and Immunology (AAAAI) Annual Conference. These data included a statistically significant and clinically meaningful improvement in total symptom score that deepened over time, with improvements shown across all individual symptoms and in quality-of-life measures. AYVAKIT showed a favorable safety profile compared to placebo, supporting potential for chronic treatment. Read the press release </w:t>
            </w:r>
            <w:r>
              <w:rPr>
                <w:u w:val="single"/>
              </w:rPr>
              <w:t>here</w:t>
            </w:r>
            <w:r>
              <w:rPr/>
              <w:t>.</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U.S. Food and Drug Administration (FDA) target action date for AYVAKIT supplemental new drug application for ISM is May 22, 2023.</w:t>
            </w:r>
          </w:p>
        </w:tc>
      </w:tr>
    </w:tbl>
    <w:p>
      <w:pPr>
        <w:pStyle w:val="TextBody"/>
        <w:spacing w:before="0" w:after="0"/>
        <w:ind w:left="72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EGFR-driven non-small cell lung cancer (NSCLC)</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Announced plans to present results from the ongoing dose escalation of the Phase 1/2 CONCERTO trial of BLU-451 in EGFR exon 20 insertion-positive NSCLC, showing early safety and clinical activity, at the 2023 American Society of Clinical Oncology (ASCO) Annual Meeting.</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Announced plans to present updated results from the dose escalation of the Phase 1/2 SYMPHONY trial showing safety and tolerability of BLU-945 both as a monotherapy and in combination with osimertinib in late-line EGFR-driven NSCLC at the 2023 ASCO Annual Meeting.</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 xml:space="preserve">Presented real-world data showing that NSCLC patients with an EGFR L858R mutation have worse outcomes compared to patients with an EGFR exon 19 deletion mutation when treated with first-line osimertinib, and new preclinical data showing the combination of BLU-945 and osimertinib enhanced tumor regression and survival compared to osimertinib alone in a treatment-naïve EGFR L858R-mutant cell-derived model at the 2023 American Association for Cancer Research (AACR) Annual Meeting. Read the poster presentation </w:t>
            </w:r>
            <w:r>
              <w:rPr>
                <w:u w:val="single"/>
              </w:rPr>
              <w:t>here</w:t>
            </w:r>
            <w:r>
              <w:rPr/>
              <w:t>.</w:t>
            </w:r>
          </w:p>
        </w:tc>
      </w:tr>
    </w:tbl>
    <w:tbl>
      <w:tblPr>
        <w:tblW w:w="5000" w:type="pct"/>
        <w:jc w:val="left"/>
        <w:tblInd w:w="0" w:type="dxa"/>
        <w:tblCellMar>
          <w:top w:w="0" w:type="dxa"/>
          <w:left w:w="0" w:type="dxa"/>
          <w:bottom w:w="0" w:type="dxa"/>
          <w:right w:w="0" w:type="dxa"/>
        </w:tblCellMar>
      </w:tblPr>
      <w:tblGrid>
        <w:gridCol w:w="37"/>
        <w:gridCol w:w="126"/>
        <w:gridCol w:w="10042"/>
      </w:tblGrid>
      <w:tr>
        <w:trPr/>
        <w:tc>
          <w:tcPr>
            <w:tcW w:w="3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rPr/>
            </w:pPr>
            <w:r>
              <w:rPr/>
              <w:t>Today announced acceptance of an investigational new drug (IND) application to the FDA for BLU-525.</w:t>
            </w:r>
          </w:p>
        </w:tc>
      </w:tr>
    </w:tbl>
    <w:p>
      <w:pPr>
        <w:pStyle w:val="TextBody"/>
        <w:spacing w:before="0" w:after="0"/>
        <w:ind w:left="72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72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CDK2-vulnerable breast and other cancers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Announced the FDA lifted the partial clinical hold on patient enrollment in the VELA trial of BLU-222. Patients already enrolled in the trial have continued on the study and trial sites are working to resume patient enrollment.</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Announced plans to present results from the ongoing dose escalation of the Phase 1/2 VELA trial of BLU-222 in breast cancer and other cancers vulnerable to CDK2 inhibition, showing evidence of monotherapy safety and pathway modulation, at the 2023 ASCO Annual Meeting.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Upcoming Milestones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plans to achieve the following milestones by mid-2023:</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1"/>
        <w:gridCol w:w="170"/>
        <w:gridCol w:w="9984"/>
      </w:tblGrid>
      <w:tr>
        <w:trPr/>
        <w:tc>
          <w:tcPr>
            <w:tcW w:w="5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Symbol" w:hAnsi="Symbol"/>
              </w:rPr>
            </w:pPr>
            <w:r>
              <w:rPr>
                <w:rFonts w:ascii="Symbol" w:hAnsi="Symbol"/>
              </w:rPr>
              <w:t>·</w:t>
            </w:r>
          </w:p>
        </w:tc>
        <w:tc>
          <w:tcPr>
            <w:tcW w:w="9984" w:type="dxa"/>
            <w:tcBorders/>
            <w:shd w:fill="auto" w:val="clear"/>
            <w:vAlign w:val="center"/>
          </w:tcPr>
          <w:p>
            <w:pPr>
              <w:pStyle w:val="TableContents"/>
              <w:spacing w:before="0" w:after="283"/>
              <w:rPr/>
            </w:pPr>
            <w:r>
              <w:rPr/>
              <w:t>Obtain FDA approval and initiate launch of AYVAKIT in ISM in mid-2023.</w:t>
            </w:r>
          </w:p>
        </w:tc>
      </w:tr>
    </w:tbl>
    <w:tbl>
      <w:tblPr>
        <w:tblW w:w="5000" w:type="pct"/>
        <w:jc w:val="left"/>
        <w:tblInd w:w="0" w:type="dxa"/>
        <w:tblCellMar>
          <w:top w:w="0" w:type="dxa"/>
          <w:left w:w="0" w:type="dxa"/>
          <w:bottom w:w="0" w:type="dxa"/>
          <w:right w:w="0" w:type="dxa"/>
        </w:tblCellMar>
      </w:tblPr>
      <w:tblGrid>
        <w:gridCol w:w="41"/>
        <w:gridCol w:w="136"/>
        <w:gridCol w:w="10028"/>
      </w:tblGrid>
      <w:tr>
        <w:trPr/>
        <w:tc>
          <w:tcPr>
            <w:tcW w:w="4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rFonts w:ascii="Symbol" w:hAnsi="Symbol"/>
              </w:rPr>
            </w:pPr>
            <w:r>
              <w:rPr>
                <w:rFonts w:ascii="Symbol" w:hAnsi="Symbol"/>
              </w:rPr>
              <w:t>·</w:t>
            </w:r>
          </w:p>
        </w:tc>
        <w:tc>
          <w:tcPr>
            <w:tcW w:w="10028" w:type="dxa"/>
            <w:tcBorders/>
            <w:shd w:fill="auto" w:val="clear"/>
            <w:vAlign w:val="center"/>
          </w:tcPr>
          <w:p>
            <w:pPr>
              <w:pStyle w:val="TableContents"/>
              <w:spacing w:before="0" w:after="283"/>
              <w:rPr/>
            </w:pPr>
            <w:r>
              <w:rPr/>
              <w:t>Present initial CONCERTO trial dose escalation data in EGFR exon 20 NSCLC at ASCO 2023.</w:t>
            </w:r>
          </w:p>
        </w:tc>
      </w:tr>
    </w:tbl>
    <w:tbl>
      <w:tblPr>
        <w:tblW w:w="5000" w:type="pct"/>
        <w:jc w:val="left"/>
        <w:tblInd w:w="0" w:type="dxa"/>
        <w:tblCellMar>
          <w:top w:w="0" w:type="dxa"/>
          <w:left w:w="0" w:type="dxa"/>
          <w:bottom w:w="0" w:type="dxa"/>
          <w:right w:w="0" w:type="dxa"/>
        </w:tblCellMar>
      </w:tblPr>
      <w:tblGrid>
        <w:gridCol w:w="63"/>
        <w:gridCol w:w="209"/>
        <w:gridCol w:w="9933"/>
      </w:tblGrid>
      <w:tr>
        <w:trPr/>
        <w:tc>
          <w:tcPr>
            <w:tcW w:w="63"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rFonts w:ascii="Symbol" w:hAnsi="Symbol"/>
              </w:rPr>
            </w:pPr>
            <w:r>
              <w:rPr>
                <w:rFonts w:ascii="Symbol" w:hAnsi="Symbol"/>
              </w:rPr>
              <w:t>·</w:t>
            </w:r>
          </w:p>
        </w:tc>
        <w:tc>
          <w:tcPr>
            <w:tcW w:w="9933" w:type="dxa"/>
            <w:tcBorders/>
            <w:shd w:fill="auto" w:val="clear"/>
            <w:vAlign w:val="center"/>
          </w:tcPr>
          <w:p>
            <w:pPr>
              <w:pStyle w:val="TableContents"/>
              <w:spacing w:before="0" w:after="283"/>
              <w:rPr/>
            </w:pPr>
            <w:r>
              <w:rPr/>
              <w:t>Present initial VELA trial dose escalation data at ASCO 2023.</w:t>
            </w:r>
          </w:p>
        </w:tc>
      </w:tr>
    </w:tbl>
    <w:tbl>
      <w:tblPr>
        <w:tblW w:w="9093" w:type="dxa"/>
        <w:jc w:val="left"/>
        <w:tblInd w:w="0" w:type="dxa"/>
        <w:tblCellMar>
          <w:top w:w="0" w:type="dxa"/>
          <w:left w:w="0" w:type="dxa"/>
          <w:bottom w:w="0" w:type="dxa"/>
          <w:right w:w="0" w:type="dxa"/>
        </w:tblCellMar>
      </w:tblPr>
      <w:tblGrid>
        <w:gridCol w:w="38"/>
        <w:gridCol w:w="125"/>
        <w:gridCol w:w="8930"/>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8930" w:type="dxa"/>
            <w:tcBorders/>
            <w:shd w:fill="auto" w:val="clear"/>
            <w:vAlign w:val="center"/>
          </w:tcPr>
          <w:p>
            <w:pPr>
              <w:pStyle w:val="TableContents"/>
              <w:spacing w:before="0" w:after="283"/>
              <w:jc w:val="both"/>
              <w:rPr/>
            </w:pPr>
            <w:r>
              <w:rPr/>
              <w:t>Nominate a development candidate targeting wild-type KIT for chronic urticaria by mid-2023.</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2023 Results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b/>
              </w:rPr>
              <w:t>Revenues</w:t>
            </w:r>
            <w:r>
              <w:rPr/>
              <w:t>: Revenues were $63.3 million for the first quarter of 2023, including $39.1 million of net product revenues from sales of AYVAKIT/AYVAKYT and $24.2 million in collaboration revenues. Blueprint Medicines recorded revenues of $62.7 million in the first quarter of 2022, including $23.8 million of net product revenues from sales of AYVAKIT/AYVAKIT and $38.9 million in collaboration revenues.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b/>
              </w:rPr>
              <w:t>Cost of Sales:</w:t>
            </w:r>
            <w:r>
              <w:rPr/>
              <w:t> Cost of sales was $3.2 million for the first quarter of 2023, as compared to $5.1 million for the first quarter of 2022.</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b/>
              </w:rPr>
              <w:t>R&amp;D Expenses:</w:t>
            </w:r>
            <w:r>
              <w:rPr/>
              <w:t> Research and development expenses were $112.1 million for the first quarter of 2023, as compared to $103.1 million for the first quarter of 2022. This increase was primarily due to increased compensation related costs driven by increased headcount, along with increased costs related to early discovery efforts. Research and development expenses included $10.1 million in stock-based compensation expenses for the first quarter of 2023.</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b/>
              </w:rPr>
              <w:t>SG&amp;A Expenses:</w:t>
            </w:r>
            <w:r>
              <w:rPr/>
              <w:t> Selling, general and administrative expenses were $71.0 million for the first quarter of 2023, as compared to $57.1 million for the first quarter of 2022. This increase was primarily due to increased compensation related costs driven by increased headcount, along with increased costs associated with expanding our commercial infrastructure for commercialization of AYVAKIT/AYVAKYT. Selling, general, and administrative expenses included $13.1 million in stock-based compensation expenses for the first quarter of 2023.</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b/>
              </w:rPr>
              <w:t>Net Loss</w:t>
            </w:r>
            <w:r>
              <w:rPr/>
              <w:t>: Net loss was $129.6 million for the first quarter of 2023, or a net loss per share of $2.15, as compared to a net loss of $106.0 million for the first quarter of 2022, or a net loss per share of $1.79.</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b/>
              </w:rPr>
              <w:t>Cash Position</w:t>
            </w:r>
            <w:r>
              <w:rPr/>
              <w:t>: As of March 31, 2023, cash, cash equivalents and investments were $961.3 million, as compared to $1,078.5 million as of December 31, 2022.</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Financial Guidance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Blueprint Medicines has updated its financial guidance and now anticipates approximately $135 million to $145 million in AYVAKIT net product revenues for advanced SM and GIST in 2023, and $40 million to $50 million in collaboration revenues from existing collaborations in 2023. This guidance excludes revenue from the anticipated AYVAKIT indication expansion in ISM in mid-2023. The company continues to expect that its existing cash, cash equivalents and investments, together with anticipated future product revenues, will provide sufficient capital to enable the company to achieve a self-sustainable financial profile.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Blueprint Medicines will host a live conference call and webcast at 8:00 a.m. ET today to discuss first quarter 2023 financial results and recent business activities. The conference call may be accessed by dialing 833-470-1428 (domestic) or 929-526-1599 (international), and referring to conference ID 668091. A webcast of the call will also be available under "Events and Presentations" in the Investors &amp; Media section of the Blueprint Medicines website at </w:t>
      </w:r>
      <w:r>
        <w:rPr>
          <w:rFonts w:ascii="Times New Roman;Times;Serif" w:hAnsi="Times New Roman;Times;Serif"/>
          <w:b w:val="false"/>
          <w:i w:val="false"/>
          <w:caps w:val="false"/>
          <w:smallCaps w:val="false"/>
          <w:sz w:val="20"/>
          <w:u w:val="single"/>
        </w:rPr>
        <w:t>http://ir.blueprintmedicines.com/</w:t>
      </w:r>
      <w:r>
        <w:rPr>
          <w:rFonts w:ascii="Times New Roman;Times;Serif" w:hAnsi="Times New Roman;Times;Serif"/>
          <w:b w:val="false"/>
          <w:i w:val="false"/>
          <w:caps w:val="false"/>
          <w:smallCaps w:val="false"/>
          <w:sz w:val="20"/>
        </w:rPr>
        <w:t>. The archived webcast will be available on Blueprint Medicines' website approximately two hours after the conference call and will be available for 30 days following the call.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Upcoming Investor Conferences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Blueprint Medicines will participate in one upcoming investor conference:</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b/>
              </w:rPr>
              <w:t>Goldman Sachs 44</w:t>
            </w:r>
            <w:r>
              <w:rPr>
                <w:b/>
                <w:position w:val="8"/>
                <w:sz w:val="19"/>
              </w:rPr>
              <w:t>th</w:t>
            </w:r>
            <w:r>
              <w:rPr>
                <w:b/>
              </w:rPr>
              <w:t xml:space="preserve"> Annual Global Healthcare Conference</w:t>
            </w:r>
            <w:r>
              <w:rPr/>
              <w:t xml:space="preserve"> on Wednesday, June 14, 2023 at 12:20 pm ET.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webcast of each presentation will be available by visiting the Investors &amp; Media section of Blueprint Medicines' website at </w:t>
      </w:r>
      <w:r>
        <w:rPr>
          <w:rFonts w:ascii="Times New Roman;Times;Serif" w:hAnsi="Times New Roman;Times;Serif"/>
          <w:b w:val="false"/>
          <w:i w:val="false"/>
          <w:caps w:val="false"/>
          <w:smallCaps w:val="false"/>
          <w:sz w:val="20"/>
          <w:u w:val="single"/>
        </w:rPr>
        <w:t>http://ir.blueprintmedicines.com</w:t>
      </w:r>
      <w:r>
        <w:rPr>
          <w:rFonts w:ascii="Times New Roman;Times;Serif" w:hAnsi="Times New Roman;Times;Serif"/>
          <w:b w:val="false"/>
          <w:i w:val="false"/>
          <w:caps w:val="false"/>
          <w:smallCaps w:val="false"/>
          <w:sz w:val="20"/>
        </w:rPr>
        <w:t>. A replay of the webcasts will be archived on Blueprint Medicines' website for 30 days following each presentation.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Blueprint Medicines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Blueprint Medicines is a global precision therapy company that invents life-changing therapies for people with cancer and blood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to patients in the U.S. and Europe, and we are globally advancing multiple programs for systemic mastocytosis (SM), lung cancer and other genomically defined cancers, and cancer immunotherapy. For more information, visit </w:t>
      </w:r>
      <w:r>
        <w:rPr>
          <w:rFonts w:ascii="Times New Roman;Times;Serif" w:hAnsi="Times New Roman;Times;Serif"/>
          <w:b w:val="false"/>
          <w:i w:val="false"/>
          <w:caps w:val="false"/>
          <w:smallCaps w:val="false"/>
          <w:sz w:val="20"/>
          <w:u w:val="single"/>
        </w:rPr>
        <w:t>www.BlueprintMedicines.com</w:t>
      </w:r>
      <w:r>
        <w:rPr>
          <w:rFonts w:ascii="Times New Roman;Times;Serif" w:hAnsi="Times New Roman;Times;Serif"/>
          <w:b w:val="false"/>
          <w:i w:val="false"/>
          <w:caps w:val="false"/>
          <w:smallCaps w:val="false"/>
          <w:sz w:val="20"/>
        </w:rPr>
        <w:t> and follow us on </w:t>
      </w:r>
      <w:r>
        <w:rPr>
          <w:rFonts w:ascii="Times New Roman;Times;Serif" w:hAnsi="Times New Roman;Times;Serif"/>
          <w:b w:val="false"/>
          <w:i w:val="false"/>
          <w:caps w:val="false"/>
          <w:smallCaps w:val="false"/>
          <w:sz w:val="20"/>
          <w:u w:val="single"/>
        </w:rPr>
        <w:t>Twitter</w:t>
      </w:r>
      <w:r>
        <w:rPr>
          <w:rFonts w:ascii="Times New Roman;Times;Serif" w:hAnsi="Times New Roman;Times;Serif"/>
          <w:b w:val="false"/>
          <w:i w:val="false"/>
          <w:caps w:val="false"/>
          <w:smallCaps w:val="false"/>
          <w:sz w:val="20"/>
        </w:rPr>
        <w:t> (@BlueprintMeds) and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as amended, including, without limitation, statements regarding plans, strategies, timelines and expectations for Blueprint Medicines’ current or future approved drugs and drug candidates, including approvals and launches, the initiation of clinical trials or the results of ongoing and planned clinical trial; Blueprint Medicines’ plans, strategies and timelines to nominate development candidates; timelines and expectations for interactions with the FDA and other regulatory authorities; statements regarding the plans and potential benefits of AYVAKIT in treating patients with indolent SM; statements regarding plans and expectations for Blueprint Medicines' current or future approved drugs and drug candidates; the potential benefits of any of Blueprint Medicines’ current or future approved drugs or drug candidates in treating patients; and Blueprint Medicines' financial performance,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preliminary activity and safety data may not be representative of more mature data; the risk of delay of any current or planned clinical trials or the development of Blueprint Medicines' current or future drug candidates; risks related to Blueprint Medicines' ability to successfully demonstrate the safety and efficacy of its drug candidates and gain approval of its drug candidates on a timely basis, if at all; preclinical and clinical results for Blueprint Medicines' drug candidates may not support further development of such drug candidates either as monotherapies or in combination with other agents or may impact the anticipated timing of data or regulatory submissions; the timing of the initiation of clinical trials and trial cohorts at clinical trial sites and patient enrollment rates may be delayed or slower than anticipated; actions of regulatory agencies may affect the initiation, timing and progress of clinical trials; the success of Blueprint Medicines' current and future collaborations, financing arrangements, partnerships or licensing arrangements the COVID-19 pandemic may impact Blueprint Medicines' business, operations, strategy, goals and anticipated milestones, including ongoing and planned research and discovery activities, Blueprint Medicines’ ability to conduct ongoing and planned clinical trials; and risks related to Blueprint Medicines' ability to obtain, maintain and enforce patent and other intellectual property protection for its products and current or future drug candidates it is developing.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pStyle w:val="TextBody"/>
        <w:spacing w:before="0" w:after="0"/>
        <w:ind w:left="0" w:right="0" w:hanging="0"/>
        <w:rPr>
          <w:caps w:val="false"/>
          <w:smallCaps w:val="false"/>
        </w:rPr>
      </w:pPr>
      <w:r>
        <w:rPr>
          <w:caps w:val="false"/>
          <w:smallCaps w:val="false"/>
        </w:rPr>
        <w:t> </w:t>
      </w:r>
    </w:p>
    <w:p>
      <w:pPr>
        <w:pStyle w:val="TextBody"/>
        <w:shd w:fill="FEFEFE" w:val="clear"/>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w:t>
      </w:r>
    </w:p>
    <w:p>
      <w:pPr>
        <w:pStyle w:val="TextBody"/>
        <w:shd w:fill="FEFEFE" w:val="clear"/>
        <w:spacing w:before="0" w:after="0"/>
        <w:ind w:left="0" w:right="0" w:hanging="0"/>
        <w:rPr>
          <w:caps w:val="false"/>
          <w:smallCaps w:val="false"/>
        </w:rPr>
      </w:pPr>
      <w:r>
        <w:rPr>
          <w:caps w:val="false"/>
          <w:smallCaps w:val="false"/>
        </w:rPr>
        <w:t> </w:t>
      </w:r>
    </w:p>
    <w:p>
      <w:pPr>
        <w:pStyle w:val="TextBody"/>
        <w:shd w:fill="FEFEFE"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Blueprint Medicines, AYVAKIT, AYVAKYT and associated logos are trademarks of Blueprint Medicines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Condensed Consolidated Balance Sheet Data</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7489" w:type="dxa"/>
        <w:jc w:val="left"/>
        <w:tblInd w:w="0" w:type="dxa"/>
        <w:tblCellMar>
          <w:top w:w="0" w:type="dxa"/>
          <w:left w:w="0" w:type="dxa"/>
          <w:bottom w:w="0" w:type="dxa"/>
          <w:right w:w="0" w:type="dxa"/>
        </w:tblCellMar>
      </w:tblPr>
      <w:tblGrid>
        <w:gridCol w:w="5090"/>
        <w:gridCol w:w="60"/>
        <w:gridCol w:w="125"/>
        <w:gridCol w:w="845"/>
        <w:gridCol w:w="60"/>
        <w:gridCol w:w="60"/>
        <w:gridCol w:w="151"/>
        <w:gridCol w:w="1023"/>
        <w:gridCol w:w="75"/>
      </w:tblGrid>
      <w:tr>
        <w:trPr/>
        <w:tc>
          <w:tcPr>
            <w:tcW w:w="50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70"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March 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4"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December 31,</w:t>
            </w:r>
          </w:p>
        </w:tc>
        <w:tc>
          <w:tcPr>
            <w:tcW w:w="75" w:type="dxa"/>
            <w:tcBorders/>
            <w:shd w:fill="auto" w:val="clear"/>
            <w:vAlign w:val="center"/>
          </w:tcPr>
          <w:p>
            <w:pPr>
              <w:pStyle w:val="TableContents"/>
              <w:spacing w:before="0" w:after="283"/>
              <w:rPr/>
            </w:pPr>
            <w:r>
              <w:rPr/>
              <w:t> </w:t>
            </w:r>
          </w:p>
        </w:tc>
      </w:tr>
      <w:tr>
        <w:trPr/>
        <w:tc>
          <w:tcPr>
            <w:tcW w:w="50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70"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2023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4"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2022</w:t>
            </w:r>
          </w:p>
        </w:tc>
        <w:tc>
          <w:tcPr>
            <w:tcW w:w="75" w:type="dxa"/>
            <w:tcBorders/>
            <w:shd w:fill="auto" w:val="clear"/>
            <w:vAlign w:val="center"/>
          </w:tcPr>
          <w:p>
            <w:pPr>
              <w:pStyle w:val="TableContents"/>
              <w:spacing w:before="0" w:after="283"/>
              <w:rPr/>
            </w:pPr>
            <w:r>
              <w:rPr/>
              <w:t> </w:t>
            </w:r>
          </w:p>
        </w:tc>
      </w:tr>
      <w:tr>
        <w:trPr/>
        <w:tc>
          <w:tcPr>
            <w:tcW w:w="5090" w:type="dxa"/>
            <w:tcBorders/>
            <w:shd w:fill="CCEEFF" w:val="clear"/>
            <w:vAlign w:val="center"/>
          </w:tcPr>
          <w:p>
            <w:pPr>
              <w:pStyle w:val="TableContents"/>
              <w:spacing w:before="0" w:after="283"/>
              <w:jc w:val="left"/>
              <w:rPr>
                <w:sz w:val="20"/>
              </w:rPr>
            </w:pPr>
            <w:r>
              <w:rPr>
                <w:sz w:val="20"/>
              </w:rPr>
              <w:t>Cash, cash equivalents and marketable securities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20"/>
              </w:rPr>
            </w:pPr>
            <w:r>
              <w:rPr>
                <w:sz w:val="20"/>
              </w:rPr>
              <w:t>$</w:t>
            </w:r>
          </w:p>
        </w:tc>
        <w:tc>
          <w:tcPr>
            <w:tcW w:w="845" w:type="dxa"/>
            <w:tcBorders/>
            <w:shd w:fill="CCEEFF" w:val="clear"/>
            <w:vAlign w:val="center"/>
          </w:tcPr>
          <w:p>
            <w:pPr>
              <w:pStyle w:val="TableContents"/>
              <w:spacing w:before="0" w:after="283"/>
              <w:jc w:val="right"/>
              <w:rPr>
                <w:sz w:val="20"/>
              </w:rPr>
            </w:pPr>
            <w:r>
              <w:rPr>
                <w:sz w:val="20"/>
              </w:rPr>
              <w:t>961,311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jc w:val="left"/>
              <w:rPr>
                <w:sz w:val="20"/>
              </w:rPr>
            </w:pPr>
            <w:r>
              <w:rPr>
                <w:sz w:val="20"/>
              </w:rPr>
              <w:t>$</w:t>
            </w:r>
          </w:p>
        </w:tc>
        <w:tc>
          <w:tcPr>
            <w:tcW w:w="1023" w:type="dxa"/>
            <w:tcBorders/>
            <w:shd w:fill="CCEEFF" w:val="clear"/>
            <w:vAlign w:val="center"/>
          </w:tcPr>
          <w:p>
            <w:pPr>
              <w:pStyle w:val="TableContents"/>
              <w:spacing w:before="0" w:after="283"/>
              <w:jc w:val="right"/>
              <w:rPr>
                <w:sz w:val="20"/>
              </w:rPr>
            </w:pPr>
            <w:r>
              <w:rPr>
                <w:sz w:val="20"/>
              </w:rPr>
              <w:t>1,078,472</w:t>
            </w:r>
          </w:p>
        </w:tc>
        <w:tc>
          <w:tcPr>
            <w:tcW w:w="75" w:type="dxa"/>
            <w:tcBorders/>
            <w:shd w:fill="CCEEFF" w:val="clear"/>
            <w:vAlign w:val="center"/>
          </w:tcPr>
          <w:p>
            <w:pPr>
              <w:pStyle w:val="TableContents"/>
              <w:spacing w:before="0" w:after="283"/>
              <w:jc w:val="left"/>
              <w:rPr/>
            </w:pPr>
            <w:r>
              <w:rPr/>
              <w:t> </w:t>
            </w:r>
          </w:p>
        </w:tc>
      </w:tr>
      <w:tr>
        <w:trPr/>
        <w:tc>
          <w:tcPr>
            <w:tcW w:w="5090" w:type="dxa"/>
            <w:tcBorders/>
            <w:shd w:fill="FFFFFF" w:val="clear"/>
            <w:vAlign w:val="center"/>
          </w:tcPr>
          <w:p>
            <w:pPr>
              <w:pStyle w:val="TableContents"/>
              <w:spacing w:before="0" w:after="283"/>
              <w:jc w:val="left"/>
              <w:rPr>
                <w:sz w:val="20"/>
              </w:rPr>
            </w:pPr>
            <w:r>
              <w:rPr>
                <w:sz w:val="20"/>
              </w:rPr>
              <w:t>Working capital (1)</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845" w:type="dxa"/>
            <w:tcBorders/>
            <w:shd w:fill="FFFFFF" w:val="clear"/>
            <w:vAlign w:val="center"/>
          </w:tcPr>
          <w:p>
            <w:pPr>
              <w:pStyle w:val="TableContents"/>
              <w:spacing w:before="0" w:after="283"/>
              <w:jc w:val="right"/>
              <w:rPr>
                <w:sz w:val="20"/>
              </w:rPr>
            </w:pPr>
            <w:r>
              <w:rPr>
                <w:sz w:val="20"/>
              </w:rPr>
              <w:t>727,660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jc w:val="left"/>
              <w:rPr/>
            </w:pPr>
            <w:r>
              <w:rPr/>
              <w:t> </w:t>
            </w:r>
          </w:p>
        </w:tc>
        <w:tc>
          <w:tcPr>
            <w:tcW w:w="1023" w:type="dxa"/>
            <w:tcBorders/>
            <w:shd w:fill="FFFFFF" w:val="clear"/>
            <w:vAlign w:val="center"/>
          </w:tcPr>
          <w:p>
            <w:pPr>
              <w:pStyle w:val="TableContents"/>
              <w:spacing w:before="0" w:after="283"/>
              <w:jc w:val="right"/>
              <w:rPr>
                <w:sz w:val="20"/>
              </w:rPr>
            </w:pPr>
            <w:r>
              <w:rPr>
                <w:sz w:val="20"/>
              </w:rPr>
              <w:t>863,417</w:t>
            </w:r>
          </w:p>
        </w:tc>
        <w:tc>
          <w:tcPr>
            <w:tcW w:w="75" w:type="dxa"/>
            <w:tcBorders/>
            <w:shd w:fill="FFFFFF" w:val="clear"/>
            <w:vAlign w:val="center"/>
          </w:tcPr>
          <w:p>
            <w:pPr>
              <w:pStyle w:val="TableContents"/>
              <w:spacing w:before="0" w:after="283"/>
              <w:jc w:val="left"/>
              <w:rPr/>
            </w:pPr>
            <w:r>
              <w:rPr/>
              <w:t> </w:t>
            </w:r>
          </w:p>
        </w:tc>
      </w:tr>
      <w:tr>
        <w:trPr/>
        <w:tc>
          <w:tcPr>
            <w:tcW w:w="5090" w:type="dxa"/>
            <w:tcBorders/>
            <w:shd w:fill="CCEEFF" w:val="clear"/>
            <w:vAlign w:val="center"/>
          </w:tcPr>
          <w:p>
            <w:pPr>
              <w:pStyle w:val="TableContents"/>
              <w:spacing w:before="0" w:after="283"/>
              <w:jc w:val="left"/>
              <w:rPr>
                <w:sz w:val="20"/>
              </w:rPr>
            </w:pPr>
            <w:r>
              <w:rPr>
                <w:sz w:val="20"/>
              </w:rPr>
              <w:t>Total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845" w:type="dxa"/>
            <w:tcBorders/>
            <w:shd w:fill="CCEEFF" w:val="clear"/>
            <w:vAlign w:val="center"/>
          </w:tcPr>
          <w:p>
            <w:pPr>
              <w:pStyle w:val="TableContents"/>
              <w:spacing w:before="0" w:after="283"/>
              <w:jc w:val="right"/>
              <w:rPr>
                <w:sz w:val="20"/>
              </w:rPr>
            </w:pPr>
            <w:r>
              <w:rPr>
                <w:sz w:val="20"/>
              </w:rPr>
              <w:t>1,220,370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jc w:val="left"/>
              <w:rPr/>
            </w:pPr>
            <w:r>
              <w:rPr/>
              <w:t> </w:t>
            </w:r>
          </w:p>
        </w:tc>
        <w:tc>
          <w:tcPr>
            <w:tcW w:w="1023" w:type="dxa"/>
            <w:tcBorders/>
            <w:shd w:fill="CCEEFF" w:val="clear"/>
            <w:vAlign w:val="center"/>
          </w:tcPr>
          <w:p>
            <w:pPr>
              <w:pStyle w:val="TableContents"/>
              <w:spacing w:before="0" w:after="283"/>
              <w:jc w:val="right"/>
              <w:rPr>
                <w:sz w:val="20"/>
              </w:rPr>
            </w:pPr>
            <w:r>
              <w:rPr>
                <w:sz w:val="20"/>
              </w:rPr>
              <w:t>1,349,902</w:t>
            </w:r>
          </w:p>
        </w:tc>
        <w:tc>
          <w:tcPr>
            <w:tcW w:w="75" w:type="dxa"/>
            <w:tcBorders/>
            <w:shd w:fill="CCEEFF" w:val="clear"/>
            <w:vAlign w:val="center"/>
          </w:tcPr>
          <w:p>
            <w:pPr>
              <w:pStyle w:val="TableContents"/>
              <w:spacing w:before="0" w:after="283"/>
              <w:jc w:val="left"/>
              <w:rPr/>
            </w:pPr>
            <w:r>
              <w:rPr/>
              <w:t> </w:t>
            </w:r>
          </w:p>
        </w:tc>
      </w:tr>
      <w:tr>
        <w:trPr/>
        <w:tc>
          <w:tcPr>
            <w:tcW w:w="5090" w:type="dxa"/>
            <w:tcBorders/>
            <w:shd w:fill="FFFFFF" w:val="clear"/>
            <w:vAlign w:val="center"/>
          </w:tcPr>
          <w:p>
            <w:pPr>
              <w:pStyle w:val="TableContents"/>
              <w:spacing w:before="0" w:after="283"/>
              <w:jc w:val="left"/>
              <w:rPr>
                <w:sz w:val="20"/>
              </w:rPr>
            </w:pPr>
            <w:r>
              <w:rPr>
                <w:sz w:val="20"/>
              </w:rPr>
              <w:t>Liability related to the sale of future royalties and revenues (2)</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845" w:type="dxa"/>
            <w:tcBorders/>
            <w:shd w:fill="FFFFFF" w:val="clear"/>
            <w:vAlign w:val="center"/>
          </w:tcPr>
          <w:p>
            <w:pPr>
              <w:pStyle w:val="TableContents"/>
              <w:spacing w:before="0" w:after="283"/>
              <w:jc w:val="right"/>
              <w:rPr>
                <w:sz w:val="20"/>
              </w:rPr>
            </w:pPr>
            <w:r>
              <w:rPr>
                <w:sz w:val="20"/>
              </w:rPr>
              <w:t>434,593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jc w:val="left"/>
              <w:rPr/>
            </w:pPr>
            <w:r>
              <w:rPr/>
              <w:t> </w:t>
            </w:r>
          </w:p>
        </w:tc>
        <w:tc>
          <w:tcPr>
            <w:tcW w:w="1023" w:type="dxa"/>
            <w:tcBorders/>
            <w:shd w:fill="FFFFFF" w:val="clear"/>
            <w:vAlign w:val="center"/>
          </w:tcPr>
          <w:p>
            <w:pPr>
              <w:pStyle w:val="TableContents"/>
              <w:spacing w:before="0" w:after="283"/>
              <w:jc w:val="right"/>
              <w:rPr>
                <w:sz w:val="20"/>
              </w:rPr>
            </w:pPr>
            <w:r>
              <w:rPr>
                <w:sz w:val="20"/>
              </w:rPr>
              <w:t>430,330</w:t>
            </w:r>
          </w:p>
        </w:tc>
        <w:tc>
          <w:tcPr>
            <w:tcW w:w="75" w:type="dxa"/>
            <w:tcBorders/>
            <w:shd w:fill="FFFFFF" w:val="clear"/>
            <w:vAlign w:val="center"/>
          </w:tcPr>
          <w:p>
            <w:pPr>
              <w:pStyle w:val="TableContents"/>
              <w:spacing w:before="0" w:after="283"/>
              <w:jc w:val="left"/>
              <w:rPr/>
            </w:pPr>
            <w:r>
              <w:rPr/>
              <w:t> </w:t>
            </w:r>
          </w:p>
        </w:tc>
      </w:tr>
      <w:tr>
        <w:trPr/>
        <w:tc>
          <w:tcPr>
            <w:tcW w:w="5090" w:type="dxa"/>
            <w:tcBorders/>
            <w:shd w:fill="CCEEFF" w:val="clear"/>
            <w:vAlign w:val="center"/>
          </w:tcPr>
          <w:p>
            <w:pPr>
              <w:pStyle w:val="TableContents"/>
              <w:spacing w:before="0" w:after="283"/>
              <w:jc w:val="left"/>
              <w:rPr>
                <w:sz w:val="20"/>
              </w:rPr>
            </w:pPr>
            <w:r>
              <w:rPr>
                <w:sz w:val="20"/>
              </w:rPr>
              <w:t>Term loan (2)</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845" w:type="dxa"/>
            <w:tcBorders/>
            <w:shd w:fill="CCEEFF" w:val="clear"/>
            <w:vAlign w:val="center"/>
          </w:tcPr>
          <w:p>
            <w:pPr>
              <w:pStyle w:val="TableContents"/>
              <w:spacing w:before="0" w:after="283"/>
              <w:jc w:val="right"/>
              <w:rPr>
                <w:sz w:val="20"/>
              </w:rPr>
            </w:pPr>
            <w:r>
              <w:rPr>
                <w:sz w:val="20"/>
              </w:rPr>
              <w:t>139,512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jc w:val="left"/>
              <w:rPr/>
            </w:pPr>
            <w:r>
              <w:rPr/>
              <w:t> </w:t>
            </w:r>
          </w:p>
        </w:tc>
        <w:tc>
          <w:tcPr>
            <w:tcW w:w="1023" w:type="dxa"/>
            <w:tcBorders/>
            <w:shd w:fill="CCEEFF" w:val="clear"/>
            <w:vAlign w:val="center"/>
          </w:tcPr>
          <w:p>
            <w:pPr>
              <w:pStyle w:val="TableContents"/>
              <w:spacing w:before="0" w:after="283"/>
              <w:jc w:val="right"/>
              <w:rPr>
                <w:sz w:val="20"/>
              </w:rPr>
            </w:pPr>
            <w:r>
              <w:rPr>
                <w:sz w:val="20"/>
              </w:rPr>
              <w:t>139,083</w:t>
            </w:r>
          </w:p>
        </w:tc>
        <w:tc>
          <w:tcPr>
            <w:tcW w:w="75" w:type="dxa"/>
            <w:tcBorders/>
            <w:shd w:fill="CCEEFF" w:val="clear"/>
            <w:vAlign w:val="center"/>
          </w:tcPr>
          <w:p>
            <w:pPr>
              <w:pStyle w:val="TableContents"/>
              <w:spacing w:before="0" w:after="283"/>
              <w:jc w:val="left"/>
              <w:rPr/>
            </w:pPr>
            <w:r>
              <w:rPr/>
              <w:t> </w:t>
            </w:r>
          </w:p>
        </w:tc>
      </w:tr>
      <w:tr>
        <w:trPr/>
        <w:tc>
          <w:tcPr>
            <w:tcW w:w="5090" w:type="dxa"/>
            <w:tcBorders/>
            <w:shd w:fill="FFFFFF" w:val="clear"/>
            <w:vAlign w:val="center"/>
          </w:tcPr>
          <w:p>
            <w:pPr>
              <w:pStyle w:val="TableContents"/>
              <w:spacing w:before="0" w:after="283"/>
              <w:jc w:val="left"/>
              <w:rPr>
                <w:sz w:val="20"/>
              </w:rPr>
            </w:pPr>
            <w:r>
              <w:rPr>
                <w:sz w:val="20"/>
              </w:rPr>
              <w:t>Deferred revenue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845" w:type="dxa"/>
            <w:tcBorders/>
            <w:shd w:fill="FFFFFF" w:val="clear"/>
            <w:vAlign w:val="center"/>
          </w:tcPr>
          <w:p>
            <w:pPr>
              <w:pStyle w:val="TableContents"/>
              <w:spacing w:before="0" w:after="283"/>
              <w:jc w:val="right"/>
              <w:rPr>
                <w:sz w:val="20"/>
              </w:rPr>
            </w:pPr>
            <w:r>
              <w:rPr>
                <w:sz w:val="20"/>
              </w:rPr>
              <w:t>8,740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jc w:val="left"/>
              <w:rPr/>
            </w:pPr>
            <w:r>
              <w:rPr/>
              <w:t> </w:t>
            </w:r>
          </w:p>
        </w:tc>
        <w:tc>
          <w:tcPr>
            <w:tcW w:w="1023" w:type="dxa"/>
            <w:tcBorders/>
            <w:shd w:fill="FFFFFF" w:val="clear"/>
            <w:vAlign w:val="center"/>
          </w:tcPr>
          <w:p>
            <w:pPr>
              <w:pStyle w:val="TableContents"/>
              <w:spacing w:before="0" w:after="283"/>
              <w:jc w:val="right"/>
              <w:rPr>
                <w:sz w:val="20"/>
              </w:rPr>
            </w:pPr>
            <w:r>
              <w:rPr>
                <w:sz w:val="20"/>
              </w:rPr>
              <w:t>18,291</w:t>
            </w:r>
          </w:p>
        </w:tc>
        <w:tc>
          <w:tcPr>
            <w:tcW w:w="75" w:type="dxa"/>
            <w:tcBorders/>
            <w:shd w:fill="FFFFFF" w:val="clear"/>
            <w:vAlign w:val="center"/>
          </w:tcPr>
          <w:p>
            <w:pPr>
              <w:pStyle w:val="TableContents"/>
              <w:spacing w:before="0" w:after="283"/>
              <w:jc w:val="left"/>
              <w:rPr/>
            </w:pPr>
            <w:r>
              <w:rPr/>
              <w:t> </w:t>
            </w:r>
          </w:p>
        </w:tc>
      </w:tr>
      <w:tr>
        <w:trPr/>
        <w:tc>
          <w:tcPr>
            <w:tcW w:w="5090" w:type="dxa"/>
            <w:tcBorders/>
            <w:shd w:fill="CCEEFF" w:val="clear"/>
            <w:vAlign w:val="center"/>
          </w:tcPr>
          <w:p>
            <w:pPr>
              <w:pStyle w:val="TableContents"/>
              <w:spacing w:before="0" w:after="283"/>
              <w:jc w:val="left"/>
              <w:rPr>
                <w:sz w:val="20"/>
              </w:rPr>
            </w:pPr>
            <w:r>
              <w:rPr>
                <w:sz w:val="20"/>
              </w:rPr>
              <w:t>Total liabilities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845" w:type="dxa"/>
            <w:tcBorders/>
            <w:shd w:fill="CCEEFF" w:val="clear"/>
            <w:vAlign w:val="center"/>
          </w:tcPr>
          <w:p>
            <w:pPr>
              <w:pStyle w:val="TableContents"/>
              <w:spacing w:before="0" w:after="283"/>
              <w:jc w:val="right"/>
              <w:rPr>
                <w:sz w:val="20"/>
              </w:rPr>
            </w:pPr>
            <w:r>
              <w:rPr>
                <w:sz w:val="20"/>
              </w:rPr>
              <w:t>806,072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jc w:val="left"/>
              <w:rPr/>
            </w:pPr>
            <w:r>
              <w:rPr/>
              <w:t> </w:t>
            </w:r>
          </w:p>
        </w:tc>
        <w:tc>
          <w:tcPr>
            <w:tcW w:w="1023" w:type="dxa"/>
            <w:tcBorders/>
            <w:shd w:fill="CCEEFF" w:val="clear"/>
            <w:vAlign w:val="center"/>
          </w:tcPr>
          <w:p>
            <w:pPr>
              <w:pStyle w:val="TableContents"/>
              <w:spacing w:before="0" w:after="283"/>
              <w:jc w:val="right"/>
              <w:rPr>
                <w:sz w:val="20"/>
              </w:rPr>
            </w:pPr>
            <w:r>
              <w:rPr>
                <w:sz w:val="20"/>
              </w:rPr>
              <w:t>835,225</w:t>
            </w:r>
          </w:p>
        </w:tc>
        <w:tc>
          <w:tcPr>
            <w:tcW w:w="75" w:type="dxa"/>
            <w:tcBorders/>
            <w:shd w:fill="CCEEFF" w:val="clear"/>
            <w:vAlign w:val="center"/>
          </w:tcPr>
          <w:p>
            <w:pPr>
              <w:pStyle w:val="TableContents"/>
              <w:spacing w:before="0" w:after="283"/>
              <w:jc w:val="left"/>
              <w:rPr/>
            </w:pPr>
            <w:r>
              <w:rPr/>
              <w:t> </w:t>
            </w:r>
          </w:p>
        </w:tc>
      </w:tr>
      <w:tr>
        <w:trPr/>
        <w:tc>
          <w:tcPr>
            <w:tcW w:w="5090" w:type="dxa"/>
            <w:tcBorders/>
            <w:shd w:fill="FFFFFF" w:val="clear"/>
            <w:vAlign w:val="center"/>
          </w:tcPr>
          <w:p>
            <w:pPr>
              <w:pStyle w:val="TableContents"/>
              <w:spacing w:before="0" w:after="283"/>
              <w:jc w:val="left"/>
              <w:rPr>
                <w:sz w:val="20"/>
              </w:rPr>
            </w:pPr>
            <w:r>
              <w:rPr>
                <w:sz w:val="20"/>
              </w:rPr>
              <w:t>Total stockholders’ equity</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845" w:type="dxa"/>
            <w:tcBorders/>
            <w:shd w:fill="FFFFFF" w:val="clear"/>
            <w:vAlign w:val="center"/>
          </w:tcPr>
          <w:p>
            <w:pPr>
              <w:pStyle w:val="TableContents"/>
              <w:spacing w:before="0" w:after="283"/>
              <w:jc w:val="right"/>
              <w:rPr>
                <w:sz w:val="20"/>
              </w:rPr>
            </w:pPr>
            <w:r>
              <w:rPr>
                <w:sz w:val="20"/>
              </w:rPr>
              <w:t>414,298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jc w:val="left"/>
              <w:rPr/>
            </w:pPr>
            <w:r>
              <w:rPr/>
              <w:t> </w:t>
            </w:r>
          </w:p>
        </w:tc>
        <w:tc>
          <w:tcPr>
            <w:tcW w:w="1023" w:type="dxa"/>
            <w:tcBorders/>
            <w:shd w:fill="FFFFFF" w:val="clear"/>
            <w:vAlign w:val="center"/>
          </w:tcPr>
          <w:p>
            <w:pPr>
              <w:pStyle w:val="TableContents"/>
              <w:spacing w:before="0" w:after="283"/>
              <w:jc w:val="right"/>
              <w:rPr>
                <w:sz w:val="20"/>
              </w:rPr>
            </w:pPr>
            <w:r>
              <w:rPr>
                <w:sz w:val="20"/>
              </w:rPr>
              <w:t>514,677</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7"/>
        <w:gridCol w:w="360"/>
        <w:gridCol w:w="9798"/>
      </w:tblGrid>
      <w:tr>
        <w:trPr/>
        <w:tc>
          <w:tcPr>
            <w:tcW w:w="47"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pPr>
            <w:r>
              <w:rPr/>
              <w:t>(1)</w:t>
            </w:r>
          </w:p>
        </w:tc>
        <w:tc>
          <w:tcPr>
            <w:tcW w:w="9798" w:type="dxa"/>
            <w:tcBorders/>
            <w:shd w:fill="auto" w:val="clear"/>
            <w:vAlign w:val="center"/>
          </w:tcPr>
          <w:p>
            <w:pPr>
              <w:pStyle w:val="TableContents"/>
              <w:spacing w:before="0" w:after="283"/>
              <w:rPr/>
            </w:pPr>
            <w:r>
              <w:rPr/>
              <w:t>Blueprint Medicines defines working capital as current assets less current liabilities.</w:t>
            </w:r>
          </w:p>
        </w:tc>
      </w:tr>
    </w:tbl>
    <w:tbl>
      <w:tblPr>
        <w:tblW w:w="5000" w:type="pct"/>
        <w:jc w:val="left"/>
        <w:tblInd w:w="0" w:type="dxa"/>
        <w:tblCellMar>
          <w:top w:w="0" w:type="dxa"/>
          <w:left w:w="0" w:type="dxa"/>
          <w:bottom w:w="0" w:type="dxa"/>
          <w:right w:w="0" w:type="dxa"/>
        </w:tblCellMar>
      </w:tblPr>
      <w:tblGrid>
        <w:gridCol w:w="54"/>
        <w:gridCol w:w="417"/>
        <w:gridCol w:w="9734"/>
      </w:tblGrid>
      <w:tr>
        <w:trPr/>
        <w:tc>
          <w:tcPr>
            <w:tcW w:w="5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pPr>
            <w:r>
              <w:rPr/>
              <w:t>(2)</w:t>
            </w:r>
          </w:p>
        </w:tc>
        <w:tc>
          <w:tcPr>
            <w:tcW w:w="9734" w:type="dxa"/>
            <w:tcBorders/>
            <w:shd w:fill="auto" w:val="clear"/>
            <w:vAlign w:val="center"/>
          </w:tcPr>
          <w:p>
            <w:pPr>
              <w:pStyle w:val="TableContents"/>
              <w:spacing w:before="0" w:after="283"/>
              <w:rPr/>
            </w:pPr>
            <w:r>
              <w:rPr/>
              <w:t>Amount includes both current and non-current portions of the balances.</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Data</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w:t>
      </w:r>
    </w:p>
    <w:p>
      <w:pPr>
        <w:pStyle w:val="TextBody"/>
        <w:spacing w:before="0" w:after="0"/>
        <w:ind w:left="0" w:right="0" w:hanging="0"/>
        <w:jc w:val="center"/>
        <w:rPr>
          <w:caps w:val="false"/>
          <w:smallCaps w:val="false"/>
        </w:rPr>
      </w:pPr>
      <w:r>
        <w:rPr>
          <w:caps w:val="false"/>
          <w:smallCaps w:val="false"/>
        </w:rPr>
        <w:t> </w:t>
      </w:r>
    </w:p>
    <w:tbl>
      <w:tblPr>
        <w:tblW w:w="9470" w:type="dxa"/>
        <w:jc w:val="left"/>
        <w:tblInd w:w="0" w:type="dxa"/>
        <w:tblCellMar>
          <w:top w:w="0" w:type="dxa"/>
          <w:left w:w="0" w:type="dxa"/>
          <w:bottom w:w="0" w:type="dxa"/>
          <w:right w:w="0" w:type="dxa"/>
        </w:tblCellMar>
      </w:tblPr>
      <w:tblGrid>
        <w:gridCol w:w="7415"/>
        <w:gridCol w:w="60"/>
        <w:gridCol w:w="125"/>
        <w:gridCol w:w="755"/>
        <w:gridCol w:w="80"/>
        <w:gridCol w:w="60"/>
        <w:gridCol w:w="125"/>
        <w:gridCol w:w="755"/>
        <w:gridCol w:w="95"/>
      </w:tblGrid>
      <w:tr>
        <w:trPr/>
        <w:tc>
          <w:tcPr>
            <w:tcW w:w="74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0" w:type="dxa"/>
            <w:gridSpan w:val="6"/>
            <w:tcBorders/>
            <w:shd w:fill="auto" w:val="clear"/>
            <w:vAlign w:val="center"/>
          </w:tcPr>
          <w:p>
            <w:pPr>
              <w:pStyle w:val="TableContents"/>
              <w:spacing w:before="0" w:after="283"/>
              <w:jc w:val="center"/>
              <w:rPr>
                <w:b/>
                <w:sz w:val="20"/>
              </w:rPr>
            </w:pPr>
            <w:r>
              <w:rPr>
                <w:b/>
                <w:sz w:val="20"/>
              </w:rPr>
              <w:t>Three Months Ended</w:t>
            </w:r>
          </w:p>
        </w:tc>
        <w:tc>
          <w:tcPr>
            <w:tcW w:w="95" w:type="dxa"/>
            <w:tcBorders/>
            <w:shd w:fill="auto" w:val="clear"/>
            <w:vAlign w:val="center"/>
          </w:tcPr>
          <w:p>
            <w:pPr>
              <w:pStyle w:val="TableContents"/>
              <w:spacing w:before="0" w:after="283"/>
              <w:rPr/>
            </w:pPr>
            <w:r>
              <w:rPr/>
              <w:t> </w:t>
            </w:r>
          </w:p>
        </w:tc>
      </w:tr>
      <w:tr>
        <w:trPr/>
        <w:tc>
          <w:tcPr>
            <w:tcW w:w="74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0" w:type="dxa"/>
            <w:gridSpan w:val="6"/>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March 31,</w:t>
            </w:r>
          </w:p>
        </w:tc>
        <w:tc>
          <w:tcPr>
            <w:tcW w:w="95" w:type="dxa"/>
            <w:tcBorders/>
            <w:shd w:fill="auto" w:val="clear"/>
            <w:vAlign w:val="center"/>
          </w:tcPr>
          <w:p>
            <w:pPr>
              <w:pStyle w:val="TableContents"/>
              <w:spacing w:before="0" w:after="283"/>
              <w:rPr/>
            </w:pPr>
            <w:r>
              <w:rPr/>
              <w:t> </w:t>
            </w:r>
          </w:p>
        </w:tc>
      </w:tr>
      <w:tr>
        <w:trPr/>
        <w:tc>
          <w:tcPr>
            <w:tcW w:w="74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0"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2023</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0"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2022</w:t>
            </w:r>
          </w:p>
        </w:tc>
        <w:tc>
          <w:tcPr>
            <w:tcW w:w="95" w:type="dxa"/>
            <w:tcBorders/>
            <w:shd w:fill="auto" w:val="clear"/>
            <w:vAlign w:val="center"/>
          </w:tcPr>
          <w:p>
            <w:pPr>
              <w:pStyle w:val="TableContents"/>
              <w:spacing w:before="0" w:after="283"/>
              <w:rPr/>
            </w:pPr>
            <w:r>
              <w:rPr/>
              <w:t> </w:t>
            </w:r>
          </w:p>
        </w:tc>
      </w:tr>
      <w:tr>
        <w:trPr/>
        <w:tc>
          <w:tcPr>
            <w:tcW w:w="7415" w:type="dxa"/>
            <w:tcBorders/>
            <w:shd w:fill="CCEEFF" w:val="clear"/>
            <w:vAlign w:val="center"/>
          </w:tcPr>
          <w:p>
            <w:pPr>
              <w:pStyle w:val="TableContents"/>
              <w:spacing w:before="0" w:after="283"/>
              <w:rPr>
                <w:sz w:val="20"/>
              </w:rPr>
            </w:pPr>
            <w:r>
              <w:rPr>
                <w:sz w:val="20"/>
              </w:rPr>
              <w:t>Revenues:</w:t>
            </w:r>
          </w:p>
        </w:tc>
        <w:tc>
          <w:tcPr>
            <w:tcW w:w="60" w:type="dxa"/>
            <w:tcBorders/>
            <w:shd w:fill="CCEEFF" w:val="clear"/>
            <w:vAlign w:val="center"/>
          </w:tcPr>
          <w:p>
            <w:pPr>
              <w:pStyle w:val="TableContents"/>
              <w:spacing w:before="0" w:after="283"/>
              <w:rPr/>
            </w:pPr>
            <w:r>
              <w:rPr/>
              <w:t> </w:t>
            </w:r>
          </w:p>
        </w:tc>
        <w:tc>
          <w:tcPr>
            <w:tcW w:w="880" w:type="dxa"/>
            <w:gridSpan w:val="2"/>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80" w:type="dxa"/>
            <w:gridSpan w:val="2"/>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r>
      <w:tr>
        <w:trPr/>
        <w:tc>
          <w:tcPr>
            <w:tcW w:w="7415" w:type="dxa"/>
            <w:tcBorders/>
            <w:shd w:fill="FFFFFF" w:val="clear"/>
            <w:vAlign w:val="center"/>
          </w:tcPr>
          <w:p>
            <w:pPr>
              <w:pStyle w:val="TableContents"/>
              <w:spacing w:before="0" w:after="283"/>
              <w:jc w:val="left"/>
              <w:rPr/>
            </w:pPr>
            <w:r>
              <w:rPr/>
              <w:t>      </w:t>
            </w:r>
            <w:r>
              <w:rPr>
                <w:sz w:val="20"/>
              </w:rPr>
              <w:t>Product revenue, net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20"/>
              </w:rPr>
            </w:pPr>
            <w:r>
              <w:rPr>
                <w:sz w:val="20"/>
              </w:rPr>
              <w:t>$</w:t>
            </w:r>
          </w:p>
        </w:tc>
        <w:tc>
          <w:tcPr>
            <w:tcW w:w="755" w:type="dxa"/>
            <w:tcBorders/>
            <w:shd w:fill="FFFFFF" w:val="clear"/>
            <w:vAlign w:val="center"/>
          </w:tcPr>
          <w:p>
            <w:pPr>
              <w:pStyle w:val="TableContents"/>
              <w:spacing w:before="0" w:after="283"/>
              <w:jc w:val="right"/>
              <w:rPr>
                <w:sz w:val="20"/>
              </w:rPr>
            </w:pPr>
            <w:r>
              <w:rPr>
                <w:sz w:val="20"/>
              </w:rPr>
              <w:t>39,069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20"/>
              </w:rPr>
            </w:pPr>
            <w:r>
              <w:rPr>
                <w:sz w:val="20"/>
              </w:rPr>
              <w:t>$</w:t>
            </w:r>
          </w:p>
        </w:tc>
        <w:tc>
          <w:tcPr>
            <w:tcW w:w="755" w:type="dxa"/>
            <w:tcBorders/>
            <w:shd w:fill="FFFFFF" w:val="clear"/>
            <w:vAlign w:val="center"/>
          </w:tcPr>
          <w:p>
            <w:pPr>
              <w:pStyle w:val="TableContents"/>
              <w:spacing w:before="0" w:after="283"/>
              <w:jc w:val="right"/>
              <w:rPr>
                <w:sz w:val="20"/>
              </w:rPr>
            </w:pPr>
            <w:r>
              <w:rPr>
                <w:sz w:val="20"/>
              </w:rPr>
              <w:t>23,841</w:t>
            </w:r>
          </w:p>
        </w:tc>
        <w:tc>
          <w:tcPr>
            <w:tcW w:w="95" w:type="dxa"/>
            <w:tcBorders/>
            <w:shd w:fill="FFFFFF" w:val="clear"/>
            <w:vAlign w:val="center"/>
          </w:tcPr>
          <w:p>
            <w:pPr>
              <w:pStyle w:val="TableContents"/>
              <w:spacing w:before="0" w:after="283"/>
              <w:jc w:val="left"/>
              <w:rPr/>
            </w:pPr>
            <w:r>
              <w:rPr/>
              <w:t> </w:t>
            </w:r>
          </w:p>
        </w:tc>
      </w:tr>
      <w:tr>
        <w:trPr/>
        <w:tc>
          <w:tcPr>
            <w:tcW w:w="7415" w:type="dxa"/>
            <w:tcBorders/>
            <w:shd w:fill="CCEEFF" w:val="clear"/>
            <w:vAlign w:val="center"/>
          </w:tcPr>
          <w:p>
            <w:pPr>
              <w:pStyle w:val="TableContents"/>
              <w:spacing w:before="0" w:after="283"/>
              <w:jc w:val="left"/>
              <w:rPr/>
            </w:pPr>
            <w:r>
              <w:rPr/>
              <w:t>      </w:t>
            </w:r>
            <w:r>
              <w:rPr>
                <w:sz w:val="20"/>
              </w:rPr>
              <w:t>Collaboration revenue</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sz w:val="20"/>
              </w:rPr>
            </w:pPr>
            <w:r>
              <w:rPr>
                <w:sz w:val="20"/>
              </w:rPr>
              <w:t>24,218</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sz w:val="20"/>
              </w:rPr>
            </w:pPr>
            <w:r>
              <w:rPr>
                <w:sz w:val="20"/>
              </w:rPr>
              <w:t>38,890</w:t>
            </w:r>
          </w:p>
        </w:tc>
        <w:tc>
          <w:tcPr>
            <w:tcW w:w="95" w:type="dxa"/>
            <w:tcBorders/>
            <w:shd w:fill="CCEEFF" w:val="clear"/>
            <w:vAlign w:val="center"/>
          </w:tcPr>
          <w:p>
            <w:pPr>
              <w:pStyle w:val="TableContents"/>
              <w:spacing w:before="0" w:after="283"/>
              <w:jc w:val="left"/>
              <w:rPr/>
            </w:pPr>
            <w:r>
              <w:rPr/>
              <w:t> </w:t>
            </w:r>
          </w:p>
        </w:tc>
      </w:tr>
      <w:tr>
        <w:trPr/>
        <w:tc>
          <w:tcPr>
            <w:tcW w:w="7415" w:type="dxa"/>
            <w:tcBorders/>
            <w:shd w:fill="FFFFFF" w:val="clear"/>
            <w:vAlign w:val="center"/>
          </w:tcPr>
          <w:p>
            <w:pPr>
              <w:pStyle w:val="TableContents"/>
              <w:spacing w:before="0" w:after="283"/>
              <w:jc w:val="left"/>
              <w:rPr>
                <w:sz w:val="20"/>
              </w:rPr>
            </w:pPr>
            <w:r>
              <w:rPr>
                <w:sz w:val="20"/>
              </w:rPr>
              <w:t>Total revenues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63,287</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62,731</w:t>
            </w:r>
          </w:p>
        </w:tc>
        <w:tc>
          <w:tcPr>
            <w:tcW w:w="95" w:type="dxa"/>
            <w:tcBorders/>
            <w:shd w:fill="FFFFFF" w:val="clear"/>
            <w:vAlign w:val="center"/>
          </w:tcPr>
          <w:p>
            <w:pPr>
              <w:pStyle w:val="TableContents"/>
              <w:spacing w:before="0" w:after="283"/>
              <w:jc w:val="left"/>
              <w:rPr/>
            </w:pPr>
            <w:r>
              <w:rPr/>
              <w:t> </w:t>
            </w:r>
          </w:p>
        </w:tc>
      </w:tr>
      <w:tr>
        <w:trPr/>
        <w:tc>
          <w:tcPr>
            <w:tcW w:w="7415" w:type="dxa"/>
            <w:tcBorders/>
            <w:shd w:fill="CCEEFF" w:val="clear"/>
            <w:vAlign w:val="center"/>
          </w:tcPr>
          <w:p>
            <w:pPr>
              <w:pStyle w:val="TableContents"/>
              <w:spacing w:before="0" w:after="283"/>
              <w:jc w:val="left"/>
              <w:rPr>
                <w:sz w:val="20"/>
              </w:rPr>
            </w:pPr>
            <w:r>
              <w:rPr>
                <w:sz w:val="20"/>
              </w:rPr>
              <w:t>Cost and operating expenses: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7415" w:type="dxa"/>
            <w:tcBorders/>
            <w:shd w:fill="FFFFFF" w:val="clear"/>
            <w:vAlign w:val="center"/>
          </w:tcPr>
          <w:p>
            <w:pPr>
              <w:pStyle w:val="TableContents"/>
              <w:spacing w:before="0" w:after="283"/>
              <w:rPr/>
            </w:pPr>
            <w:r>
              <w:rPr/>
              <w:t>      </w:t>
            </w:r>
            <w:r>
              <w:rPr>
                <w:sz w:val="20"/>
              </w:rPr>
              <w:t>Cost of sales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3,175</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5,079</w:t>
            </w:r>
          </w:p>
        </w:tc>
        <w:tc>
          <w:tcPr>
            <w:tcW w:w="95" w:type="dxa"/>
            <w:tcBorders/>
            <w:shd w:fill="FFFFFF" w:val="clear"/>
            <w:vAlign w:val="center"/>
          </w:tcPr>
          <w:p>
            <w:pPr>
              <w:pStyle w:val="TableContents"/>
              <w:spacing w:before="0" w:after="283"/>
              <w:jc w:val="left"/>
              <w:rPr/>
            </w:pPr>
            <w:r>
              <w:rPr/>
              <w:t> </w:t>
            </w:r>
          </w:p>
        </w:tc>
      </w:tr>
      <w:tr>
        <w:trPr/>
        <w:tc>
          <w:tcPr>
            <w:tcW w:w="7415" w:type="dxa"/>
            <w:tcBorders/>
            <w:shd w:fill="CCEEFF" w:val="clear"/>
            <w:vAlign w:val="center"/>
          </w:tcPr>
          <w:p>
            <w:pPr>
              <w:pStyle w:val="TableContents"/>
              <w:spacing w:before="0" w:after="283"/>
              <w:jc w:val="left"/>
              <w:rPr>
                <w:sz w:val="20"/>
              </w:rPr>
            </w:pPr>
            <w:r>
              <w:rPr>
                <w:sz w:val="20"/>
              </w:rPr>
              <w:t>Collaboration loss sharing</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sz w:val="20"/>
              </w:rPr>
            </w:pPr>
            <w:r>
              <w:rPr>
                <w:sz w:val="20"/>
              </w:rPr>
              <w:t>1,296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sz w:val="20"/>
              </w:rPr>
            </w:pPr>
            <w:r>
              <w:rPr>
                <w:sz w:val="20"/>
              </w:rPr>
              <w:t>3,265</w:t>
            </w:r>
          </w:p>
        </w:tc>
        <w:tc>
          <w:tcPr>
            <w:tcW w:w="95" w:type="dxa"/>
            <w:tcBorders/>
            <w:shd w:fill="CCEEFF" w:val="clear"/>
            <w:vAlign w:val="center"/>
          </w:tcPr>
          <w:p>
            <w:pPr>
              <w:pStyle w:val="TableContents"/>
              <w:spacing w:before="0" w:after="283"/>
              <w:jc w:val="left"/>
              <w:rPr/>
            </w:pPr>
            <w:r>
              <w:rPr/>
              <w:t> </w:t>
            </w:r>
          </w:p>
        </w:tc>
      </w:tr>
      <w:tr>
        <w:trPr/>
        <w:tc>
          <w:tcPr>
            <w:tcW w:w="7415" w:type="dxa"/>
            <w:tcBorders/>
            <w:shd w:fill="FFFFFF" w:val="clear"/>
            <w:vAlign w:val="center"/>
          </w:tcPr>
          <w:p>
            <w:pPr>
              <w:pStyle w:val="TableContents"/>
              <w:spacing w:before="0" w:after="283"/>
              <w:jc w:val="left"/>
              <w:rPr>
                <w:sz w:val="20"/>
              </w:rPr>
            </w:pPr>
            <w:r>
              <w:rPr>
                <w:sz w:val="20"/>
              </w:rPr>
              <w:t>Research and development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112,073</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103,133</w:t>
            </w:r>
          </w:p>
        </w:tc>
        <w:tc>
          <w:tcPr>
            <w:tcW w:w="95" w:type="dxa"/>
            <w:tcBorders/>
            <w:shd w:fill="FFFFFF" w:val="clear"/>
            <w:vAlign w:val="center"/>
          </w:tcPr>
          <w:p>
            <w:pPr>
              <w:pStyle w:val="TableContents"/>
              <w:spacing w:before="0" w:after="283"/>
              <w:jc w:val="left"/>
              <w:rPr/>
            </w:pPr>
            <w:r>
              <w:rPr/>
              <w:t> </w:t>
            </w:r>
          </w:p>
        </w:tc>
      </w:tr>
      <w:tr>
        <w:trPr/>
        <w:tc>
          <w:tcPr>
            <w:tcW w:w="7415" w:type="dxa"/>
            <w:tcBorders/>
            <w:shd w:fill="CCEEFF" w:val="clear"/>
            <w:vAlign w:val="center"/>
          </w:tcPr>
          <w:p>
            <w:pPr>
              <w:pStyle w:val="TableContents"/>
              <w:spacing w:before="0" w:after="283"/>
              <w:jc w:val="left"/>
              <w:rPr>
                <w:sz w:val="20"/>
              </w:rPr>
            </w:pPr>
            <w:r>
              <w:rPr>
                <w:sz w:val="20"/>
              </w:rPr>
              <w:t>Selling, general and administrative</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sz w:val="20"/>
              </w:rPr>
            </w:pPr>
            <w:r>
              <w:rPr>
                <w:sz w:val="20"/>
              </w:rPr>
              <w:t>70,950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sz w:val="20"/>
              </w:rPr>
            </w:pPr>
            <w:r>
              <w:rPr>
                <w:sz w:val="20"/>
              </w:rPr>
              <w:t>57,058</w:t>
            </w:r>
          </w:p>
        </w:tc>
        <w:tc>
          <w:tcPr>
            <w:tcW w:w="95" w:type="dxa"/>
            <w:tcBorders/>
            <w:shd w:fill="CCEEFF" w:val="clear"/>
            <w:vAlign w:val="center"/>
          </w:tcPr>
          <w:p>
            <w:pPr>
              <w:pStyle w:val="TableContents"/>
              <w:spacing w:before="0" w:after="283"/>
              <w:jc w:val="left"/>
              <w:rPr/>
            </w:pPr>
            <w:r>
              <w:rPr/>
              <w:t> </w:t>
            </w:r>
          </w:p>
        </w:tc>
      </w:tr>
      <w:tr>
        <w:trPr/>
        <w:tc>
          <w:tcPr>
            <w:tcW w:w="7415" w:type="dxa"/>
            <w:tcBorders/>
            <w:shd w:fill="FFFFFF" w:val="clear"/>
            <w:vAlign w:val="center"/>
          </w:tcPr>
          <w:p>
            <w:pPr>
              <w:pStyle w:val="TableContents"/>
              <w:spacing w:before="0" w:after="283"/>
              <w:jc w:val="left"/>
              <w:rPr>
                <w:sz w:val="20"/>
              </w:rPr>
            </w:pPr>
            <w:r>
              <w:rPr>
                <w:sz w:val="20"/>
              </w:rPr>
              <w:t>Total cost and operating expenses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187,494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168,535</w:t>
            </w:r>
          </w:p>
        </w:tc>
        <w:tc>
          <w:tcPr>
            <w:tcW w:w="95" w:type="dxa"/>
            <w:tcBorders/>
            <w:shd w:fill="FFFFFF" w:val="clear"/>
            <w:vAlign w:val="center"/>
          </w:tcPr>
          <w:p>
            <w:pPr>
              <w:pStyle w:val="TableContents"/>
              <w:spacing w:before="0" w:after="283"/>
              <w:jc w:val="left"/>
              <w:rPr/>
            </w:pPr>
            <w:r>
              <w:rPr/>
              <w:t> </w:t>
            </w:r>
          </w:p>
        </w:tc>
      </w:tr>
      <w:tr>
        <w:trPr/>
        <w:tc>
          <w:tcPr>
            <w:tcW w:w="7415" w:type="dxa"/>
            <w:tcBorders/>
            <w:shd w:fill="CCEEFF" w:val="clear"/>
            <w:vAlign w:val="center"/>
          </w:tcPr>
          <w:p>
            <w:pPr>
              <w:pStyle w:val="TableContents"/>
              <w:spacing w:before="0" w:after="283"/>
              <w:jc w:val="left"/>
              <w:rPr>
                <w:sz w:val="20"/>
              </w:rPr>
            </w:pPr>
            <w:r>
              <w:rPr>
                <w:sz w:val="20"/>
              </w:rPr>
              <w:t>Other income (expense):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7415" w:type="dxa"/>
            <w:tcBorders/>
            <w:shd w:fill="FFFFFF" w:val="clear"/>
            <w:vAlign w:val="center"/>
          </w:tcPr>
          <w:p>
            <w:pPr>
              <w:pStyle w:val="TableContents"/>
              <w:spacing w:before="0" w:after="283"/>
              <w:jc w:val="left"/>
              <w:rPr>
                <w:sz w:val="20"/>
              </w:rPr>
            </w:pPr>
            <w:r>
              <w:rPr>
                <w:sz w:val="20"/>
              </w:rPr>
              <w:t>Interest income (expense), net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(5,819</w:t>
            </w:r>
          </w:p>
        </w:tc>
        <w:tc>
          <w:tcPr>
            <w:tcW w:w="80" w:type="dxa"/>
            <w:tcBorders/>
            <w:shd w:fill="FFFFFF" w:val="clear"/>
            <w:vAlign w:val="center"/>
          </w:tcPr>
          <w:p>
            <w:pPr>
              <w:pStyle w:val="TableContents"/>
              <w:spacing w:before="0" w:after="283"/>
              <w:jc w:val="left"/>
              <w:rPr>
                <w:sz w:val="20"/>
              </w:rPr>
            </w:pPr>
            <w:r>
              <w:rPr>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442</w:t>
            </w:r>
          </w:p>
        </w:tc>
        <w:tc>
          <w:tcPr>
            <w:tcW w:w="95" w:type="dxa"/>
            <w:tcBorders/>
            <w:shd w:fill="FFFFFF" w:val="clear"/>
            <w:vAlign w:val="center"/>
          </w:tcPr>
          <w:p>
            <w:pPr>
              <w:pStyle w:val="TableContents"/>
              <w:spacing w:before="0" w:after="283"/>
              <w:jc w:val="left"/>
              <w:rPr/>
            </w:pPr>
            <w:r>
              <w:rPr/>
              <w:t> </w:t>
            </w:r>
          </w:p>
        </w:tc>
      </w:tr>
      <w:tr>
        <w:trPr/>
        <w:tc>
          <w:tcPr>
            <w:tcW w:w="7415" w:type="dxa"/>
            <w:tcBorders/>
            <w:shd w:fill="CCEEFF" w:val="clear"/>
            <w:vAlign w:val="center"/>
          </w:tcPr>
          <w:p>
            <w:pPr>
              <w:pStyle w:val="TableContents"/>
              <w:spacing w:before="0" w:after="283"/>
              <w:jc w:val="left"/>
              <w:rPr>
                <w:sz w:val="20"/>
              </w:rPr>
            </w:pPr>
            <w:r>
              <w:rPr>
                <w:sz w:val="20"/>
              </w:rPr>
              <w:t>Other income (expense), net</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986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(453</w:t>
            </w:r>
          </w:p>
        </w:tc>
        <w:tc>
          <w:tcPr>
            <w:tcW w:w="95" w:type="dxa"/>
            <w:tcBorders/>
            <w:shd w:fill="CCEEFF" w:val="clear"/>
            <w:vAlign w:val="center"/>
          </w:tcPr>
          <w:p>
            <w:pPr>
              <w:pStyle w:val="TableContents"/>
              <w:spacing w:before="0" w:after="283"/>
              <w:jc w:val="left"/>
              <w:rPr>
                <w:sz w:val="20"/>
              </w:rPr>
            </w:pPr>
            <w:r>
              <w:rPr>
                <w:sz w:val="20"/>
              </w:rPr>
              <w:t>)</w:t>
            </w:r>
          </w:p>
        </w:tc>
      </w:tr>
      <w:tr>
        <w:trPr/>
        <w:tc>
          <w:tcPr>
            <w:tcW w:w="7415" w:type="dxa"/>
            <w:tcBorders/>
            <w:shd w:fill="FFFFFF" w:val="clear"/>
            <w:vAlign w:val="center"/>
          </w:tcPr>
          <w:p>
            <w:pPr>
              <w:pStyle w:val="TableContents"/>
              <w:spacing w:before="0" w:after="283"/>
              <w:jc w:val="left"/>
              <w:rPr>
                <w:sz w:val="20"/>
              </w:rPr>
            </w:pPr>
            <w:r>
              <w:rPr>
                <w:sz w:val="20"/>
              </w:rPr>
              <w:t>Total other expense, net</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(4,833</w:t>
            </w:r>
          </w:p>
        </w:tc>
        <w:tc>
          <w:tcPr>
            <w:tcW w:w="80" w:type="dxa"/>
            <w:tcBorders/>
            <w:shd w:fill="FFFFFF" w:val="clear"/>
            <w:vAlign w:val="center"/>
          </w:tcPr>
          <w:p>
            <w:pPr>
              <w:pStyle w:val="TableContents"/>
              <w:spacing w:before="0" w:after="283"/>
              <w:jc w:val="left"/>
              <w:rPr>
                <w:sz w:val="20"/>
              </w:rPr>
            </w:pPr>
            <w:r>
              <w:rPr>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(11</w:t>
            </w:r>
          </w:p>
        </w:tc>
        <w:tc>
          <w:tcPr>
            <w:tcW w:w="95" w:type="dxa"/>
            <w:tcBorders/>
            <w:shd w:fill="FFFFFF" w:val="clear"/>
            <w:vAlign w:val="center"/>
          </w:tcPr>
          <w:p>
            <w:pPr>
              <w:pStyle w:val="TableContents"/>
              <w:spacing w:before="0" w:after="283"/>
              <w:jc w:val="left"/>
              <w:rPr>
                <w:sz w:val="20"/>
              </w:rPr>
            </w:pPr>
            <w:r>
              <w:rPr>
                <w:sz w:val="20"/>
              </w:rPr>
              <w:t>)</w:t>
            </w:r>
          </w:p>
        </w:tc>
      </w:tr>
      <w:tr>
        <w:trPr/>
        <w:tc>
          <w:tcPr>
            <w:tcW w:w="7415" w:type="dxa"/>
            <w:tcBorders/>
            <w:shd w:fill="CCEEFF" w:val="clear"/>
            <w:vAlign w:val="center"/>
          </w:tcPr>
          <w:p>
            <w:pPr>
              <w:pStyle w:val="TableContents"/>
              <w:spacing w:before="0" w:after="283"/>
              <w:jc w:val="left"/>
              <w:rPr>
                <w:sz w:val="20"/>
              </w:rPr>
            </w:pPr>
            <w:r>
              <w:rPr>
                <w:sz w:val="20"/>
              </w:rPr>
              <w:t>Loss before income taxes</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(129,040</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(105,815</w:t>
            </w:r>
          </w:p>
        </w:tc>
        <w:tc>
          <w:tcPr>
            <w:tcW w:w="95" w:type="dxa"/>
            <w:tcBorders/>
            <w:shd w:fill="CCEEFF" w:val="clear"/>
            <w:vAlign w:val="center"/>
          </w:tcPr>
          <w:p>
            <w:pPr>
              <w:pStyle w:val="TableContents"/>
              <w:spacing w:before="0" w:after="283"/>
              <w:jc w:val="left"/>
              <w:rPr>
                <w:sz w:val="20"/>
              </w:rPr>
            </w:pPr>
            <w:r>
              <w:rPr>
                <w:sz w:val="20"/>
              </w:rPr>
              <w:t>)</w:t>
            </w:r>
          </w:p>
        </w:tc>
      </w:tr>
      <w:tr>
        <w:trPr/>
        <w:tc>
          <w:tcPr>
            <w:tcW w:w="7415" w:type="dxa"/>
            <w:tcBorders/>
            <w:shd w:fill="FFFFFF" w:val="clear"/>
            <w:vAlign w:val="center"/>
          </w:tcPr>
          <w:p>
            <w:pPr>
              <w:pStyle w:val="TableContents"/>
              <w:spacing w:before="0" w:after="283"/>
              <w:jc w:val="left"/>
              <w:rPr>
                <w:sz w:val="20"/>
              </w:rPr>
            </w:pPr>
            <w:r>
              <w:rPr>
                <w:sz w:val="20"/>
              </w:rPr>
              <w:t>Income tax expense</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520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184</w:t>
            </w:r>
          </w:p>
        </w:tc>
        <w:tc>
          <w:tcPr>
            <w:tcW w:w="95" w:type="dxa"/>
            <w:tcBorders/>
            <w:shd w:fill="FFFFFF" w:val="clear"/>
            <w:vAlign w:val="center"/>
          </w:tcPr>
          <w:p>
            <w:pPr>
              <w:pStyle w:val="TableContents"/>
              <w:spacing w:before="0" w:after="283"/>
              <w:jc w:val="left"/>
              <w:rPr/>
            </w:pPr>
            <w:r>
              <w:rPr/>
              <w:t> </w:t>
            </w:r>
          </w:p>
        </w:tc>
      </w:tr>
      <w:tr>
        <w:trPr/>
        <w:tc>
          <w:tcPr>
            <w:tcW w:w="7415" w:type="dxa"/>
            <w:tcBorders/>
            <w:shd w:fill="CCEEFF" w:val="clear"/>
            <w:vAlign w:val="center"/>
          </w:tcPr>
          <w:p>
            <w:pPr>
              <w:pStyle w:val="TableContents"/>
              <w:spacing w:before="0" w:after="283"/>
              <w:jc w:val="left"/>
              <w:rPr>
                <w:sz w:val="20"/>
              </w:rPr>
            </w:pPr>
            <w:r>
              <w:rPr>
                <w:sz w:val="20"/>
              </w:rPr>
              <w:t>Net loss</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sz w:val="20"/>
              </w:rPr>
            </w:pPr>
            <w:r>
              <w:rPr>
                <w:sz w:val="20"/>
              </w:rPr>
              <w:t>$</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sz w:val="20"/>
              </w:rPr>
            </w:pPr>
            <w:r>
              <w:rPr>
                <w:sz w:val="20"/>
              </w:rPr>
              <w:t>(129,560</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sz w:val="20"/>
              </w:rPr>
            </w:pPr>
            <w:r>
              <w:rPr>
                <w:sz w:val="20"/>
              </w:rPr>
              <w:t>$</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sz w:val="20"/>
              </w:rPr>
            </w:pPr>
            <w:r>
              <w:rPr>
                <w:sz w:val="20"/>
              </w:rPr>
              <w:t>(105,999</w:t>
            </w:r>
          </w:p>
        </w:tc>
        <w:tc>
          <w:tcPr>
            <w:tcW w:w="95" w:type="dxa"/>
            <w:tcBorders/>
            <w:shd w:fill="CCEEFF" w:val="clear"/>
            <w:vAlign w:val="center"/>
          </w:tcPr>
          <w:p>
            <w:pPr>
              <w:pStyle w:val="TableContents"/>
              <w:spacing w:before="0" w:after="283"/>
              <w:ind w:left="0" w:right="0" w:hanging="270"/>
              <w:jc w:val="left"/>
              <w:rPr>
                <w:sz w:val="20"/>
              </w:rPr>
            </w:pPr>
            <w:r>
              <w:rPr>
                <w:sz w:val="20"/>
              </w:rPr>
              <w:t>)</w:t>
            </w:r>
          </w:p>
        </w:tc>
      </w:tr>
      <w:tr>
        <w:trPr/>
        <w:tc>
          <w:tcPr>
            <w:tcW w:w="7415" w:type="dxa"/>
            <w:tcBorders/>
            <w:shd w:fill="FFFFFF" w:val="clear"/>
            <w:vAlign w:val="center"/>
          </w:tcPr>
          <w:p>
            <w:pPr>
              <w:pStyle w:val="TableContents"/>
              <w:spacing w:before="0" w:after="283"/>
              <w:jc w:val="left"/>
              <w:rPr>
                <w:sz w:val="20"/>
              </w:rPr>
            </w:pPr>
            <w:r>
              <w:rPr>
                <w:sz w:val="20"/>
              </w:rPr>
              <w:t>Net loss per share — basic and diluted</w:t>
            </w:r>
          </w:p>
        </w:tc>
        <w:tc>
          <w:tcPr>
            <w:tcW w:w="60" w:type="dxa"/>
            <w:tcBorders/>
            <w:shd w:fill="FFFFFF" w:val="clear"/>
            <w:vAlign w:val="center"/>
          </w:tcPr>
          <w:p>
            <w:pPr>
              <w:pStyle w:val="TableContents"/>
              <w:spacing w:before="0" w:after="283"/>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sz w:val="20"/>
              </w:rPr>
            </w:pPr>
            <w:r>
              <w:rPr>
                <w:sz w:val="20"/>
              </w:rPr>
              <w:t>$</w:t>
            </w:r>
          </w:p>
        </w:tc>
        <w:tc>
          <w:tcPr>
            <w:tcW w:w="755" w:type="dxa"/>
            <w:tcBorders>
              <w:bottom w:val="double" w:sz="6" w:space="0" w:color="000000"/>
            </w:tcBorders>
            <w:shd w:fill="FFFFFF" w:val="clear"/>
            <w:tcMar>
              <w:bottom w:w="28" w:type="dxa"/>
            </w:tcMar>
            <w:vAlign w:val="center"/>
          </w:tcPr>
          <w:p>
            <w:pPr>
              <w:pStyle w:val="TableContents"/>
              <w:spacing w:before="0" w:after="283"/>
              <w:jc w:val="right"/>
              <w:rPr>
                <w:sz w:val="20"/>
              </w:rPr>
            </w:pPr>
            <w:r>
              <w:rPr>
                <w:sz w:val="20"/>
              </w:rPr>
              <w:t>(2.15</w:t>
            </w:r>
          </w:p>
        </w:tc>
        <w:tc>
          <w:tcPr>
            <w:tcW w:w="80" w:type="dxa"/>
            <w:tcBorders/>
            <w:shd w:fill="FFFFFF" w:val="clear"/>
            <w:vAlign w:val="center"/>
          </w:tcPr>
          <w:p>
            <w:pPr>
              <w:pStyle w:val="TableContents"/>
              <w:spacing w:before="0" w:after="283"/>
              <w:jc w:val="left"/>
              <w:rPr>
                <w:sz w:val="20"/>
              </w:rPr>
            </w:pPr>
            <w:r>
              <w:rPr>
                <w:sz w:val="20"/>
              </w:rPr>
              <w:t>)</w:t>
            </w:r>
          </w:p>
        </w:tc>
        <w:tc>
          <w:tcPr>
            <w:tcW w:w="60" w:type="dxa"/>
            <w:tcBorders/>
            <w:shd w:fill="FFFFFF" w:val="clear"/>
            <w:vAlign w:val="center"/>
          </w:tcPr>
          <w:p>
            <w:pPr>
              <w:pStyle w:val="TableContents"/>
              <w:spacing w:before="0" w:after="283"/>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sz w:val="20"/>
              </w:rPr>
            </w:pPr>
            <w:r>
              <w:rPr>
                <w:sz w:val="20"/>
              </w:rPr>
              <w:t>$</w:t>
            </w:r>
          </w:p>
        </w:tc>
        <w:tc>
          <w:tcPr>
            <w:tcW w:w="755" w:type="dxa"/>
            <w:tcBorders>
              <w:bottom w:val="double" w:sz="6" w:space="0" w:color="000000"/>
            </w:tcBorders>
            <w:shd w:fill="FFFFFF" w:val="clear"/>
            <w:tcMar>
              <w:bottom w:w="28" w:type="dxa"/>
            </w:tcMar>
            <w:vAlign w:val="center"/>
          </w:tcPr>
          <w:p>
            <w:pPr>
              <w:pStyle w:val="TableContents"/>
              <w:spacing w:before="0" w:after="283"/>
              <w:jc w:val="right"/>
              <w:rPr>
                <w:sz w:val="20"/>
              </w:rPr>
            </w:pPr>
            <w:r>
              <w:rPr>
                <w:sz w:val="20"/>
              </w:rPr>
              <w:t>(1.79</w:t>
            </w:r>
          </w:p>
        </w:tc>
        <w:tc>
          <w:tcPr>
            <w:tcW w:w="95" w:type="dxa"/>
            <w:tcBorders/>
            <w:shd w:fill="FFFFFF" w:val="clear"/>
            <w:vAlign w:val="center"/>
          </w:tcPr>
          <w:p>
            <w:pPr>
              <w:pStyle w:val="TableContents"/>
              <w:spacing w:before="0" w:after="283"/>
              <w:ind w:left="0" w:right="0" w:hanging="259"/>
              <w:jc w:val="left"/>
              <w:rPr>
                <w:sz w:val="20"/>
              </w:rPr>
            </w:pPr>
            <w:r>
              <w:rPr>
                <w:sz w:val="20"/>
              </w:rPr>
              <w:t>)</w:t>
            </w:r>
          </w:p>
        </w:tc>
      </w:tr>
      <w:tr>
        <w:trPr/>
        <w:tc>
          <w:tcPr>
            <w:tcW w:w="7415" w:type="dxa"/>
            <w:tcBorders/>
            <w:shd w:fill="CCEEFF" w:val="clear"/>
            <w:vAlign w:val="center"/>
          </w:tcPr>
          <w:p>
            <w:pPr>
              <w:pStyle w:val="TableContents"/>
              <w:spacing w:before="0" w:after="283"/>
              <w:jc w:val="left"/>
              <w:rPr>
                <w:sz w:val="20"/>
              </w:rPr>
            </w:pPr>
            <w:r>
              <w:rPr>
                <w:sz w:val="20"/>
              </w:rPr>
              <w:t>Weighted-average number of common shares used in net loss per share — basic and diluted</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sz w:val="20"/>
              </w:rPr>
            </w:pPr>
            <w:r>
              <w:rPr>
                <w:sz w:val="20"/>
              </w:rPr>
              <w:t>60,126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sz w:val="20"/>
              </w:rPr>
            </w:pPr>
            <w:r>
              <w:rPr>
                <w:sz w:val="20"/>
              </w:rPr>
              <w:t>59,312</w:t>
            </w:r>
          </w:p>
        </w:tc>
        <w:tc>
          <w:tcPr>
            <w:tcW w:w="9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Media Contact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 Mena Guerrero</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617-714-6684</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media@blueprintmedicines.com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Investor Contact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Jenna Cohen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857-209-3147</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ir@blueprintmedicines.com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2693</Words>
  <CharactersWithSpaces>18423</CharactersWithSpaces>
  <Paragraphs>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