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Goldberg Mark Alan</w:t>
              </w:r>
            </w:hyperlink>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5" w:lineRule="exact"/>
              <w:rPr>
                <w:sz w:val="20"/>
                <w:szCs w:val="20"/>
                <w:color w:val="auto"/>
              </w:rPr>
            </w:pPr>
            <w:r>
              <w:rPr>
                <w:rFonts w:ascii="Arial" w:cs="Arial" w:eastAsia="Arial" w:hAnsi="Arial"/>
                <w:sz w:val="17"/>
                <w:szCs w:val="17"/>
                <w:color w:val="0000FF"/>
              </w:rPr>
              <w:t>45 SIDNEY STREET</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24"/>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16,012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920" w:type="dxa"/>
            <w:vAlign w:val="bottom"/>
            <w:gridSpan w:val="2"/>
          </w:tcPr>
          <w:p>
            <w:pPr>
              <w:jc w:val="right"/>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the next annual meeting of the Issuer's stockholders and (ii) June 21, 2024.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36" w:lineRule="exact"/>
        <w:rPr>
          <w:sz w:val="20"/>
          <w:szCs w:val="20"/>
          <w:color w:val="auto"/>
        </w:rPr>
      </w:pPr>
    </w:p>
    <w:p>
      <w:pPr>
        <w:ind w:right="10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4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right="40"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6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6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4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60"/>
          </w:cols>
          <w:pgMar w:left="460" w:top="114" w:right="47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2016.</w:t>
      </w:r>
    </w:p>
    <w:p>
      <w:pPr>
        <w:spacing w:after="0" w:line="200" w:lineRule="exact"/>
        <w:rPr>
          <w:sz w:val="20"/>
          <w:szCs w:val="20"/>
          <w:color w:val="auto"/>
        </w:rPr>
      </w:pPr>
    </w:p>
    <w:p>
      <w:pPr>
        <w:spacing w:after="0" w:line="265" w:lineRule="exact"/>
        <w:rPr>
          <w:sz w:val="20"/>
          <w:szCs w:val="20"/>
          <w:color w:val="auto"/>
        </w:rPr>
      </w:pPr>
    </w:p>
    <w:p>
      <w:pPr>
        <w:ind w:left="506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Mark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323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6"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 Mark Goldberg</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532475"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2023-06-23T18:09:45Z</dcterms:created>
  <dcterms:modified xsi:type="dcterms:W3CDTF">2023-06-23T18:09:45Z</dcterms:modified>
</cp:coreProperties>
</file>