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Arial" w:cs="Arial" w:eastAsia="Arial" w:hAnsi="Arial"/>
          <w:sz w:val="20"/>
          <w:szCs w:val="20"/>
          <w:b w:val="1"/>
          <w:bCs w:val="1"/>
          <w:color w:val="auto"/>
        </w:rPr>
        <w:t>UNITED STATES</w:t>
      </w:r>
    </w:p>
    <w:p>
      <w:pPr>
        <w:spacing w:after="0" w:line="19" w:lineRule="exact"/>
        <w:rPr>
          <w:sz w:val="24"/>
          <w:szCs w:val="24"/>
          <w:color w:val="auto"/>
        </w:rPr>
      </w:pPr>
    </w:p>
    <w:p>
      <w:pPr>
        <w:jc w:val="center"/>
        <w:ind w:right="-160"/>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60"/>
        <w:spacing w:after="0"/>
        <w:rPr>
          <w:sz w:val="20"/>
          <w:szCs w:val="20"/>
          <w:color w:val="auto"/>
        </w:rPr>
      </w:pPr>
      <w:r>
        <w:rPr>
          <w:rFonts w:ascii="Arial" w:cs="Arial" w:eastAsia="Arial" w:hAnsi="Arial"/>
          <w:sz w:val="17"/>
          <w:szCs w:val="17"/>
          <w:b w:val="1"/>
          <w:bCs w:val="1"/>
          <w:color w:val="auto"/>
        </w:rPr>
        <w:t>Washington, D.C. 20549</w:t>
      </w:r>
    </w:p>
    <w:p>
      <w:pPr>
        <w:spacing w:after="0" w:line="186" w:lineRule="exact"/>
        <w:rPr>
          <w:sz w:val="24"/>
          <w:szCs w:val="24"/>
          <w:color w:val="auto"/>
        </w:rPr>
      </w:pPr>
    </w:p>
    <w:p>
      <w:pPr>
        <w:jc w:val="center"/>
        <w:ind w:right="-160"/>
        <w:spacing w:after="0"/>
        <w:rPr>
          <w:sz w:val="20"/>
          <w:szCs w:val="20"/>
          <w:color w:val="auto"/>
        </w:rPr>
      </w:pPr>
      <w:r>
        <w:rPr>
          <w:rFonts w:ascii="Arial" w:cs="Arial" w:eastAsia="Arial" w:hAnsi="Arial"/>
          <w:sz w:val="17"/>
          <w:szCs w:val="17"/>
          <w:b w:val="1"/>
          <w:bCs w:val="1"/>
          <w:color w:val="auto"/>
        </w:rPr>
        <w:t>SCHEDULE 13G</w:t>
      </w:r>
    </w:p>
    <w:p>
      <w:pPr>
        <w:spacing w:after="0" w:line="18"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(Rule 13d-102)</w:t>
      </w:r>
    </w:p>
    <w:p>
      <w:pPr>
        <w:spacing w:after="0" w:line="190"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INFORMATION TO BE INCLUDED IN STATEMENTS FILED PURSUANT</w:t>
      </w:r>
    </w:p>
    <w:p>
      <w:pPr>
        <w:spacing w:after="0" w:line="14"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TO RULES 13d-1(b), (c), AND (d) AND AMENDMENTS THERETO FILED</w:t>
      </w:r>
    </w:p>
    <w:p>
      <w:pPr>
        <w:spacing w:after="0" w:line="3"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PURSUANT TO RULE 13d-2(b)</w:t>
      </w:r>
    </w:p>
    <w:p>
      <w:pPr>
        <w:spacing w:after="0" w:line="192"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(Amendment No. 4)</w:t>
      </w:r>
      <w:r>
        <w:rPr>
          <w:rFonts w:ascii="Arial" w:cs="Arial" w:eastAsia="Arial" w:hAnsi="Arial"/>
          <w:sz w:val="27"/>
          <w:szCs w:val="27"/>
          <w:color w:val="auto"/>
          <w:vertAlign w:val="superscript"/>
        </w:rPr>
        <w:t>1</w:t>
      </w:r>
    </w:p>
    <w:p>
      <w:pPr>
        <w:spacing w:after="0" w:line="200" w:lineRule="exact"/>
        <w:rPr>
          <w:sz w:val="24"/>
          <w:szCs w:val="24"/>
          <w:color w:val="auto"/>
        </w:rPr>
      </w:pPr>
    </w:p>
    <w:p>
      <w:pPr>
        <w:spacing w:after="0" w:line="342"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Blueprint Medicines Corporation</w:t>
      </w:r>
    </w:p>
    <w:p>
      <w:pPr>
        <w:spacing w:after="0" w:line="15" w:lineRule="exact"/>
        <w:rPr>
          <w:sz w:val="24"/>
          <w:szCs w:val="24"/>
          <w:color w:val="auto"/>
        </w:rPr>
      </w:pPr>
    </w:p>
    <w:p>
      <w:pPr>
        <w:jc w:val="center"/>
        <w:ind w:right="-200"/>
        <w:spacing w:after="0"/>
        <w:rPr>
          <w:sz w:val="20"/>
          <w:szCs w:val="20"/>
          <w:color w:val="auto"/>
        </w:rPr>
      </w:pPr>
      <w:r>
        <w:rPr>
          <w:rFonts w:ascii="Arial" w:cs="Arial" w:eastAsia="Arial" w:hAnsi="Arial"/>
          <w:sz w:val="17"/>
          <w:szCs w:val="17"/>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2580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81" w:lineRule="exact"/>
        <w:rPr>
          <w:sz w:val="24"/>
          <w:szCs w:val="24"/>
          <w:color w:val="auto"/>
        </w:rPr>
      </w:pPr>
    </w:p>
    <w:p>
      <w:pPr>
        <w:ind w:left="4601"/>
        <w:spacing w:after="0"/>
        <w:rPr>
          <w:sz w:val="20"/>
          <w:szCs w:val="20"/>
          <w:color w:val="auto"/>
        </w:rPr>
      </w:pPr>
      <w:r>
        <w:rPr>
          <w:rFonts w:ascii="Arial" w:cs="Arial" w:eastAsia="Arial" w:hAnsi="Arial"/>
          <w:sz w:val="17"/>
          <w:szCs w:val="17"/>
          <w:color w:val="auto"/>
        </w:rPr>
        <w:t>Common Stock, $0.001 par value</w:t>
      </w:r>
    </w:p>
    <w:p>
      <w:pPr>
        <w:spacing w:after="0" w:line="15" w:lineRule="exact"/>
        <w:rPr>
          <w:sz w:val="24"/>
          <w:szCs w:val="24"/>
          <w:color w:val="auto"/>
        </w:rPr>
      </w:pPr>
    </w:p>
    <w:p>
      <w:pPr>
        <w:ind w:left="4801"/>
        <w:spacing w:after="0"/>
        <w:rPr>
          <w:sz w:val="20"/>
          <w:szCs w:val="20"/>
          <w:color w:val="auto"/>
        </w:rPr>
      </w:pPr>
      <w:r>
        <w:rPr>
          <w:rFonts w:ascii="Arial" w:cs="Arial" w:eastAsia="Arial" w:hAnsi="Arial"/>
          <w:sz w:val="17"/>
          <w:szCs w:val="17"/>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2580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81" w:lineRule="exact"/>
        <w:rPr>
          <w:sz w:val="24"/>
          <w:szCs w:val="24"/>
          <w:color w:val="auto"/>
        </w:rPr>
      </w:pPr>
    </w:p>
    <w:p>
      <w:pPr>
        <w:ind w:left="5321"/>
        <w:spacing w:after="0"/>
        <w:rPr>
          <w:sz w:val="20"/>
          <w:szCs w:val="20"/>
          <w:color w:val="auto"/>
        </w:rPr>
      </w:pPr>
      <w:r>
        <w:rPr>
          <w:rFonts w:ascii="Arial" w:cs="Arial" w:eastAsia="Arial" w:hAnsi="Arial"/>
          <w:sz w:val="17"/>
          <w:szCs w:val="17"/>
          <w:color w:val="auto"/>
        </w:rPr>
        <w:t>09627Y109</w:t>
      </w:r>
    </w:p>
    <w:p>
      <w:pPr>
        <w:spacing w:after="0" w:line="15" w:lineRule="exact"/>
        <w:rPr>
          <w:sz w:val="24"/>
          <w:szCs w:val="24"/>
          <w:color w:val="auto"/>
        </w:rPr>
      </w:pPr>
    </w:p>
    <w:p>
      <w:pPr>
        <w:ind w:left="5161"/>
        <w:spacing w:after="0"/>
        <w:rPr>
          <w:sz w:val="20"/>
          <w:szCs w:val="20"/>
          <w:color w:val="auto"/>
        </w:rPr>
      </w:pPr>
      <w:r>
        <w:rPr>
          <w:rFonts w:ascii="Arial" w:cs="Arial" w:eastAsia="Arial" w:hAnsi="Arial"/>
          <w:sz w:val="17"/>
          <w:szCs w:val="17"/>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2580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81"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May 1, 2017</w:t>
      </w:r>
    </w:p>
    <w:p>
      <w:pPr>
        <w:spacing w:after="0" w:line="15" w:lineRule="exact"/>
        <w:rPr>
          <w:sz w:val="24"/>
          <w:szCs w:val="24"/>
          <w:color w:val="auto"/>
        </w:rPr>
      </w:pPr>
    </w:p>
    <w:p>
      <w:pPr>
        <w:jc w:val="center"/>
        <w:ind w:right="-200"/>
        <w:spacing w:after="0"/>
        <w:rPr>
          <w:sz w:val="20"/>
          <w:szCs w:val="20"/>
          <w:color w:val="auto"/>
        </w:rPr>
      </w:pPr>
      <w:r>
        <w:rPr>
          <w:rFonts w:ascii="Arial" w:cs="Arial" w:eastAsia="Arial" w:hAnsi="Arial"/>
          <w:sz w:val="17"/>
          <w:szCs w:val="17"/>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2580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1"/>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64" w:lineRule="exact"/>
        <w:rPr>
          <w:sz w:val="24"/>
          <w:szCs w:val="24"/>
          <w:color w:val="auto"/>
        </w:rPr>
      </w:pPr>
    </w:p>
    <w:p>
      <w:pPr>
        <w:ind w:left="961" w:hanging="338"/>
        <w:spacing w:after="0"/>
        <w:tabs>
          <w:tab w:leader="none" w:pos="96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201" w:lineRule="exact"/>
        <w:rPr>
          <w:sz w:val="24"/>
          <w:szCs w:val="24"/>
          <w:color w:val="auto"/>
        </w:rPr>
      </w:pPr>
    </w:p>
    <w:p>
      <w:pPr>
        <w:ind w:left="961" w:hanging="338"/>
        <w:spacing w:after="0"/>
        <w:tabs>
          <w:tab w:leader="none" w:pos="961"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201" w:lineRule="exact"/>
        <w:rPr>
          <w:sz w:val="24"/>
          <w:szCs w:val="24"/>
          <w:color w:val="auto"/>
        </w:rPr>
      </w:pPr>
    </w:p>
    <w:p>
      <w:pPr>
        <w:ind w:left="961" w:hanging="338"/>
        <w:spacing w:after="0"/>
        <w:tabs>
          <w:tab w:leader="none" w:pos="961"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669925</wp:posOffset>
            </wp:positionV>
            <wp:extent cx="18167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673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left="1" w:hanging="1"/>
        <w:spacing w:after="0" w:line="308" w:lineRule="auto"/>
        <w:tabs>
          <w:tab w:leader="none" w:pos="749" w:val="left"/>
        </w:tabs>
        <w:numPr>
          <w:ilvl w:val="0"/>
          <w:numId w:val="4"/>
        </w:numPr>
        <w:rPr>
          <w:rFonts w:ascii="Arial" w:cs="Arial" w:eastAsia="Arial" w:hAnsi="Arial"/>
          <w:sz w:val="10"/>
          <w:szCs w:val="1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ind w:left="1" w:right="180" w:firstLine="594"/>
        <w:spacing w:after="0" w:line="326" w:lineRule="auto"/>
        <w:rPr>
          <w:sz w:val="20"/>
          <w:szCs w:val="20"/>
          <w:color w:val="auto"/>
        </w:rPr>
      </w:pPr>
      <w:r>
        <w:rPr>
          <w:rFonts w:ascii="Arial" w:cs="Arial" w:eastAsia="Arial" w:hAnsi="Arial"/>
          <w:sz w:val="15"/>
          <w:szCs w:val="15"/>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5"/>
          <w:szCs w:val="15"/>
          <w:i w:val="1"/>
          <w:iCs w:val="1"/>
          <w:color w:val="auto"/>
        </w:rPr>
        <w:t>see</w:t>
      </w:r>
      <w:r>
        <w:rPr>
          <w:rFonts w:ascii="Arial" w:cs="Arial" w:eastAsia="Arial" w:hAnsi="Arial"/>
          <w:sz w:val="15"/>
          <w:szCs w:val="15"/>
          <w:color w:val="auto"/>
        </w:rPr>
        <w:t xml:space="preserve"> the </w:t>
      </w:r>
      <w:r>
        <w:rPr>
          <w:rFonts w:ascii="Arial" w:cs="Arial" w:eastAsia="Arial" w:hAnsi="Arial"/>
          <w:sz w:val="15"/>
          <w:szCs w:val="15"/>
          <w:i w:val="1"/>
          <w:iCs w:val="1"/>
          <w:color w:val="auto"/>
        </w:rPr>
        <w:t>Notes</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198120</wp:posOffset>
            </wp:positionV>
            <wp:extent cx="72580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261"/>
          </w:cols>
          <w:pgMar w:left="239" w:top="213" w:right="39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CUSIP No. 09627Y109</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7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586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right w:val="single" w:sz="8" w:color="auto"/>
            </w:tcBorders>
          </w:tcPr>
          <w:p>
            <w:pPr>
              <w:spacing w:after="0"/>
              <w:rPr>
                <w:sz w:val="3"/>
                <w:szCs w:val="3"/>
                <w:color w:val="auto"/>
              </w:rPr>
            </w:pPr>
          </w:p>
        </w:tc>
      </w:tr>
      <w:tr>
        <w:trPr>
          <w:trHeight w:val="186"/>
        </w:trPr>
        <w:tc>
          <w:tcPr>
            <w:tcW w:w="1760" w:type="dxa"/>
            <w:vAlign w:val="bottom"/>
            <w:tcBorders>
              <w:left w:val="single" w:sz="8" w:color="auto"/>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1</w:t>
            </w:r>
          </w:p>
        </w:tc>
        <w:tc>
          <w:tcPr>
            <w:tcW w:w="756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NAME OF REPORTING PERSON</w:t>
            </w:r>
          </w:p>
        </w:tc>
        <w:tc>
          <w:tcPr>
            <w:tcW w:w="2100" w:type="dxa"/>
            <w:vAlign w:val="bottom"/>
            <w:tcBorders>
              <w:right w:val="single" w:sz="8" w:color="auto"/>
            </w:tcBorders>
          </w:tcPr>
          <w:p>
            <w:pPr>
              <w:spacing w:after="0"/>
              <w:rPr>
                <w:sz w:val="16"/>
                <w:szCs w:val="16"/>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Biotechnology Value Fund, L.P.</w:t>
            </w:r>
          </w:p>
        </w:tc>
        <w:tc>
          <w:tcPr>
            <w:tcW w:w="2100" w:type="dxa"/>
            <w:vAlign w:val="bottom"/>
            <w:tcBorders>
              <w:bottom w:val="single" w:sz="8" w:color="auto"/>
              <w:right w:val="single" w:sz="8" w:color="auto"/>
            </w:tcBorders>
          </w:tcPr>
          <w:p>
            <w:pPr>
              <w:spacing w:after="0"/>
              <w:rPr>
                <w:sz w:val="24"/>
                <w:szCs w:val="24"/>
                <w:color w:val="auto"/>
              </w:rPr>
            </w:pPr>
          </w:p>
        </w:tc>
      </w:tr>
      <w:tr>
        <w:trPr>
          <w:trHeight w:val="149"/>
        </w:trPr>
        <w:tc>
          <w:tcPr>
            <w:tcW w:w="176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7"/>
                <w:szCs w:val="17"/>
                <w:color w:val="auto"/>
                <w:w w:val="84"/>
              </w:rPr>
              <w:t>2</w:t>
            </w:r>
          </w:p>
        </w:tc>
        <w:tc>
          <w:tcPr>
            <w:tcW w:w="7560" w:type="dxa"/>
            <w:vAlign w:val="bottom"/>
            <w:gridSpan w:val="2"/>
          </w:tcPr>
          <w:p>
            <w:pPr>
              <w:ind w:left="100"/>
              <w:spacing w:after="0" w:line="149" w:lineRule="exact"/>
              <w:rPr>
                <w:sz w:val="20"/>
                <w:szCs w:val="20"/>
                <w:color w:val="auto"/>
              </w:rPr>
            </w:pPr>
            <w:r>
              <w:rPr>
                <w:rFonts w:ascii="Arial" w:cs="Arial" w:eastAsia="Arial" w:hAnsi="Arial"/>
                <w:sz w:val="17"/>
                <w:szCs w:val="17"/>
                <w:color w:val="auto"/>
              </w:rPr>
              <w:t>CHECK THE APPROPRIATE BOX IF A MEMBER OF A GROUP</w:t>
            </w:r>
          </w:p>
        </w:tc>
        <w:tc>
          <w:tcPr>
            <w:tcW w:w="2100" w:type="dxa"/>
            <w:vAlign w:val="bottom"/>
            <w:tcBorders>
              <w:right w:val="single" w:sz="8" w:color="auto"/>
            </w:tcBorders>
          </w:tcPr>
          <w:p>
            <w:pPr>
              <w:ind w:left="960"/>
              <w:spacing w:after="0" w:line="149"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760" w:type="dxa"/>
            <w:vAlign w:val="bottom"/>
            <w:tcBorders>
              <w:left w:val="single" w:sz="8" w:color="auto"/>
              <w:right w:val="single" w:sz="8" w:color="auto"/>
            </w:tcBorders>
          </w:tcPr>
          <w:p>
            <w:pPr>
              <w:spacing w:after="0"/>
              <w:rPr>
                <w:sz w:val="22"/>
                <w:szCs w:val="22"/>
                <w:color w:val="auto"/>
              </w:rPr>
            </w:pPr>
          </w:p>
        </w:tc>
        <w:tc>
          <w:tcPr>
            <w:tcW w:w="170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2100" w:type="dxa"/>
            <w:vAlign w:val="bottom"/>
            <w:tcBorders>
              <w:right w:val="single" w:sz="8" w:color="auto"/>
            </w:tcBorders>
          </w:tcPr>
          <w:p>
            <w:pPr>
              <w:ind w:left="96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r>
        <w:trPr>
          <w:trHeight w:val="180"/>
        </w:trPr>
        <w:tc>
          <w:tcPr>
            <w:tcW w:w="1760" w:type="dxa"/>
            <w:vAlign w:val="bottom"/>
            <w:tcBorders>
              <w:left w:val="single" w:sz="8" w:color="auto"/>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spacing w:after="0"/>
              <w:rPr>
                <w:sz w:val="15"/>
                <w:szCs w:val="15"/>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3</w:t>
            </w:r>
          </w:p>
        </w:tc>
        <w:tc>
          <w:tcPr>
            <w:tcW w:w="170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4</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Delaware</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179"/>
        </w:trPr>
        <w:tc>
          <w:tcPr>
            <w:tcW w:w="1760" w:type="dxa"/>
            <w:vAlign w:val="bottom"/>
            <w:tcBorders>
              <w:left w:val="single" w:sz="8" w:color="auto"/>
              <w:right w:val="single" w:sz="8" w:color="auto"/>
            </w:tcBorders>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00" w:type="dxa"/>
            <w:vAlign w:val="bottom"/>
            <w:tcBorders>
              <w:right w:val="single" w:sz="8" w:color="auto"/>
            </w:tcBorders>
          </w:tcPr>
          <w:p>
            <w:pPr>
              <w:ind w:left="800"/>
              <w:spacing w:after="0" w:line="179" w:lineRule="exact"/>
              <w:rPr>
                <w:sz w:val="20"/>
                <w:szCs w:val="20"/>
                <w:color w:val="auto"/>
              </w:rPr>
            </w:pPr>
            <w:r>
              <w:rPr>
                <w:rFonts w:ascii="Arial" w:cs="Arial" w:eastAsia="Arial" w:hAnsi="Arial"/>
                <w:sz w:val="17"/>
                <w:szCs w:val="17"/>
                <w:color w:val="auto"/>
              </w:rPr>
              <w:t>5</w:t>
            </w:r>
          </w:p>
        </w:tc>
        <w:tc>
          <w:tcPr>
            <w:tcW w:w="5860" w:type="dxa"/>
            <w:vAlign w:val="bottom"/>
          </w:tcPr>
          <w:p>
            <w:pPr>
              <w:ind w:left="100"/>
              <w:spacing w:after="0" w:line="179" w:lineRule="exact"/>
              <w:rPr>
                <w:sz w:val="20"/>
                <w:szCs w:val="20"/>
                <w:color w:val="auto"/>
              </w:rPr>
            </w:pPr>
            <w:r>
              <w:rPr>
                <w:rFonts w:ascii="Arial" w:cs="Arial" w:eastAsia="Arial" w:hAnsi="Arial"/>
                <w:sz w:val="17"/>
                <w:szCs w:val="17"/>
                <w:color w:val="auto"/>
              </w:rPr>
              <w:t>SOLE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SHARES</w:t>
            </w:r>
          </w:p>
        </w:tc>
        <w:tc>
          <w:tcPr>
            <w:tcW w:w="170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BENEFICIALLY</w:t>
            </w:r>
          </w:p>
        </w:tc>
        <w:tc>
          <w:tcPr>
            <w:tcW w:w="17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18"/>
                <w:szCs w:val="18"/>
                <w:color w:val="auto"/>
              </w:rPr>
            </w:pPr>
          </w:p>
        </w:tc>
      </w:tr>
      <w:tr>
        <w:trPr>
          <w:trHeight w:val="180"/>
        </w:trPr>
        <w:tc>
          <w:tcPr>
            <w:tcW w:w="176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00" w:type="dxa"/>
            <w:vAlign w:val="bottom"/>
            <w:tcBorders>
              <w:right w:val="single" w:sz="8" w:color="auto"/>
            </w:tcBorders>
          </w:tcPr>
          <w:p>
            <w:pPr>
              <w:ind w:left="800"/>
              <w:spacing w:after="0" w:line="180" w:lineRule="exact"/>
              <w:rPr>
                <w:sz w:val="20"/>
                <w:szCs w:val="20"/>
                <w:color w:val="auto"/>
              </w:rPr>
            </w:pPr>
            <w:r>
              <w:rPr>
                <w:rFonts w:ascii="Arial" w:cs="Arial" w:eastAsia="Arial" w:hAnsi="Arial"/>
                <w:sz w:val="17"/>
                <w:szCs w:val="17"/>
                <w:color w:val="auto"/>
              </w:rPr>
              <w:t>6</w:t>
            </w:r>
          </w:p>
        </w:tc>
        <w:tc>
          <w:tcPr>
            <w:tcW w:w="5860" w:type="dxa"/>
            <w:vAlign w:val="bottom"/>
          </w:tcPr>
          <w:p>
            <w:pPr>
              <w:ind w:left="100"/>
              <w:spacing w:after="0" w:line="180" w:lineRule="exact"/>
              <w:rPr>
                <w:sz w:val="20"/>
                <w:szCs w:val="20"/>
                <w:color w:val="auto"/>
              </w:rPr>
            </w:pPr>
            <w:r>
              <w:rPr>
                <w:rFonts w:ascii="Arial" w:cs="Arial" w:eastAsia="Arial" w:hAnsi="Arial"/>
                <w:sz w:val="17"/>
                <w:szCs w:val="17"/>
                <w:color w:val="auto"/>
              </w:rPr>
              <w:t>SHARED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EACH</w:t>
            </w:r>
          </w:p>
        </w:tc>
        <w:tc>
          <w:tcPr>
            <w:tcW w:w="170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REPORTING</w:t>
            </w:r>
          </w:p>
        </w:tc>
        <w:tc>
          <w:tcPr>
            <w:tcW w:w="17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945,674</w:t>
            </w:r>
          </w:p>
        </w:tc>
        <w:tc>
          <w:tcPr>
            <w:tcW w:w="2100" w:type="dxa"/>
            <w:vAlign w:val="bottom"/>
            <w:tcBorders>
              <w:bottom w:val="single" w:sz="8" w:color="auto"/>
              <w:right w:val="single" w:sz="8" w:color="auto"/>
            </w:tcBorders>
          </w:tcPr>
          <w:p>
            <w:pPr>
              <w:spacing w:after="0"/>
              <w:rPr>
                <w:sz w:val="18"/>
                <w:szCs w:val="18"/>
                <w:color w:val="auto"/>
              </w:rPr>
            </w:pPr>
          </w:p>
        </w:tc>
      </w:tr>
      <w:tr>
        <w:trPr>
          <w:trHeight w:val="203"/>
        </w:trPr>
        <w:tc>
          <w:tcPr>
            <w:tcW w:w="17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7</w:t>
            </w:r>
          </w:p>
        </w:tc>
        <w:tc>
          <w:tcPr>
            <w:tcW w:w="586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8</w:t>
            </w:r>
          </w:p>
        </w:tc>
        <w:tc>
          <w:tcPr>
            <w:tcW w:w="586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945,674</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9</w:t>
            </w:r>
          </w:p>
        </w:tc>
        <w:tc>
          <w:tcPr>
            <w:tcW w:w="1700" w:type="dxa"/>
            <w:vAlign w:val="bottom"/>
          </w:tcPr>
          <w:p>
            <w:pPr>
              <w:ind w:left="100"/>
              <w:spacing w:after="0"/>
              <w:rPr>
                <w:sz w:val="20"/>
                <w:szCs w:val="20"/>
                <w:color w:val="auto"/>
              </w:rPr>
            </w:pPr>
            <w:r>
              <w:rPr>
                <w:rFonts w:ascii="Arial" w:cs="Arial" w:eastAsia="Arial" w:hAnsi="Arial"/>
                <w:sz w:val="17"/>
                <w:szCs w:val="17"/>
                <w:color w:val="auto"/>
                <w:w w:val="83"/>
              </w:rPr>
              <w:t>AGGREGATE AMOUNT</w:t>
            </w:r>
          </w:p>
        </w:tc>
        <w:tc>
          <w:tcPr>
            <w:tcW w:w="5860" w:type="dxa"/>
            <w:vAlign w:val="bottom"/>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945,674</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5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100" w:type="dxa"/>
            <w:vAlign w:val="bottom"/>
            <w:tcBorders>
              <w:right w:val="single" w:sz="8" w:color="auto"/>
            </w:tcBorders>
          </w:tcPr>
          <w:p>
            <w:pPr>
              <w:ind w:left="114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11</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(9)</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2.4%</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PN</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
        </w:trPr>
        <w:tc>
          <w:tcPr>
            <w:tcW w:w="1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497"/>
        </w:trPr>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2220"/>
              <w:spacing w:after="0"/>
              <w:rPr>
                <w:sz w:val="20"/>
                <w:szCs w:val="20"/>
                <w:color w:val="auto"/>
              </w:rPr>
            </w:pPr>
            <w:r>
              <w:rPr>
                <w:rFonts w:ascii="Arial" w:cs="Arial" w:eastAsia="Arial" w:hAnsi="Arial"/>
                <w:sz w:val="17"/>
                <w:szCs w:val="17"/>
                <w:color w:val="auto"/>
              </w:rPr>
              <w:t>2</w:t>
            </w: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9"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CUSIP No. 09627Y109</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7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586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right w:val="single" w:sz="8" w:color="auto"/>
            </w:tcBorders>
          </w:tcPr>
          <w:p>
            <w:pPr>
              <w:spacing w:after="0"/>
              <w:rPr>
                <w:sz w:val="3"/>
                <w:szCs w:val="3"/>
                <w:color w:val="auto"/>
              </w:rPr>
            </w:pPr>
          </w:p>
        </w:tc>
      </w:tr>
      <w:tr>
        <w:trPr>
          <w:trHeight w:val="186"/>
        </w:trPr>
        <w:tc>
          <w:tcPr>
            <w:tcW w:w="1760" w:type="dxa"/>
            <w:vAlign w:val="bottom"/>
            <w:tcBorders>
              <w:left w:val="single" w:sz="8" w:color="auto"/>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1</w:t>
            </w:r>
          </w:p>
        </w:tc>
        <w:tc>
          <w:tcPr>
            <w:tcW w:w="756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NAME OF REPORTING PERSON</w:t>
            </w:r>
          </w:p>
        </w:tc>
        <w:tc>
          <w:tcPr>
            <w:tcW w:w="2100" w:type="dxa"/>
            <w:vAlign w:val="bottom"/>
            <w:tcBorders>
              <w:right w:val="single" w:sz="8" w:color="auto"/>
            </w:tcBorders>
          </w:tcPr>
          <w:p>
            <w:pPr>
              <w:spacing w:after="0"/>
              <w:rPr>
                <w:sz w:val="16"/>
                <w:szCs w:val="16"/>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Biotechnology Value Fund II, L.P.</w:t>
            </w:r>
          </w:p>
        </w:tc>
        <w:tc>
          <w:tcPr>
            <w:tcW w:w="2100" w:type="dxa"/>
            <w:vAlign w:val="bottom"/>
            <w:tcBorders>
              <w:bottom w:val="single" w:sz="8" w:color="auto"/>
              <w:right w:val="single" w:sz="8" w:color="auto"/>
            </w:tcBorders>
          </w:tcPr>
          <w:p>
            <w:pPr>
              <w:spacing w:after="0"/>
              <w:rPr>
                <w:sz w:val="24"/>
                <w:szCs w:val="24"/>
                <w:color w:val="auto"/>
              </w:rPr>
            </w:pPr>
          </w:p>
        </w:tc>
      </w:tr>
      <w:tr>
        <w:trPr>
          <w:trHeight w:val="149"/>
        </w:trPr>
        <w:tc>
          <w:tcPr>
            <w:tcW w:w="176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7"/>
                <w:szCs w:val="17"/>
                <w:color w:val="auto"/>
                <w:w w:val="84"/>
              </w:rPr>
              <w:t>2</w:t>
            </w:r>
          </w:p>
        </w:tc>
        <w:tc>
          <w:tcPr>
            <w:tcW w:w="7560" w:type="dxa"/>
            <w:vAlign w:val="bottom"/>
            <w:gridSpan w:val="2"/>
          </w:tcPr>
          <w:p>
            <w:pPr>
              <w:ind w:left="100"/>
              <w:spacing w:after="0" w:line="149" w:lineRule="exact"/>
              <w:rPr>
                <w:sz w:val="20"/>
                <w:szCs w:val="20"/>
                <w:color w:val="auto"/>
              </w:rPr>
            </w:pPr>
            <w:r>
              <w:rPr>
                <w:rFonts w:ascii="Arial" w:cs="Arial" w:eastAsia="Arial" w:hAnsi="Arial"/>
                <w:sz w:val="17"/>
                <w:szCs w:val="17"/>
                <w:color w:val="auto"/>
              </w:rPr>
              <w:t>CHECK THE APPROPRIATE BOX IF A MEMBER OF A GROUP</w:t>
            </w:r>
          </w:p>
        </w:tc>
        <w:tc>
          <w:tcPr>
            <w:tcW w:w="2100" w:type="dxa"/>
            <w:vAlign w:val="bottom"/>
            <w:tcBorders>
              <w:right w:val="single" w:sz="8" w:color="auto"/>
            </w:tcBorders>
          </w:tcPr>
          <w:p>
            <w:pPr>
              <w:ind w:left="960"/>
              <w:spacing w:after="0" w:line="149"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760" w:type="dxa"/>
            <w:vAlign w:val="bottom"/>
            <w:tcBorders>
              <w:left w:val="single" w:sz="8" w:color="auto"/>
              <w:right w:val="single" w:sz="8" w:color="auto"/>
            </w:tcBorders>
          </w:tcPr>
          <w:p>
            <w:pPr>
              <w:spacing w:after="0"/>
              <w:rPr>
                <w:sz w:val="22"/>
                <w:szCs w:val="22"/>
                <w:color w:val="auto"/>
              </w:rPr>
            </w:pPr>
          </w:p>
        </w:tc>
        <w:tc>
          <w:tcPr>
            <w:tcW w:w="170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2100" w:type="dxa"/>
            <w:vAlign w:val="bottom"/>
            <w:tcBorders>
              <w:right w:val="single" w:sz="8" w:color="auto"/>
            </w:tcBorders>
          </w:tcPr>
          <w:p>
            <w:pPr>
              <w:ind w:left="96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r>
        <w:trPr>
          <w:trHeight w:val="180"/>
        </w:trPr>
        <w:tc>
          <w:tcPr>
            <w:tcW w:w="1760" w:type="dxa"/>
            <w:vAlign w:val="bottom"/>
            <w:tcBorders>
              <w:left w:val="single" w:sz="8" w:color="auto"/>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spacing w:after="0"/>
              <w:rPr>
                <w:sz w:val="15"/>
                <w:szCs w:val="15"/>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3</w:t>
            </w:r>
          </w:p>
        </w:tc>
        <w:tc>
          <w:tcPr>
            <w:tcW w:w="170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4</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Delaware</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179"/>
        </w:trPr>
        <w:tc>
          <w:tcPr>
            <w:tcW w:w="1760" w:type="dxa"/>
            <w:vAlign w:val="bottom"/>
            <w:tcBorders>
              <w:left w:val="single" w:sz="8" w:color="auto"/>
              <w:right w:val="single" w:sz="8" w:color="auto"/>
            </w:tcBorders>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00" w:type="dxa"/>
            <w:vAlign w:val="bottom"/>
            <w:tcBorders>
              <w:right w:val="single" w:sz="8" w:color="auto"/>
            </w:tcBorders>
          </w:tcPr>
          <w:p>
            <w:pPr>
              <w:ind w:left="800"/>
              <w:spacing w:after="0" w:line="179" w:lineRule="exact"/>
              <w:rPr>
                <w:sz w:val="20"/>
                <w:szCs w:val="20"/>
                <w:color w:val="auto"/>
              </w:rPr>
            </w:pPr>
            <w:r>
              <w:rPr>
                <w:rFonts w:ascii="Arial" w:cs="Arial" w:eastAsia="Arial" w:hAnsi="Arial"/>
                <w:sz w:val="17"/>
                <w:szCs w:val="17"/>
                <w:color w:val="auto"/>
              </w:rPr>
              <w:t>5</w:t>
            </w:r>
          </w:p>
        </w:tc>
        <w:tc>
          <w:tcPr>
            <w:tcW w:w="5860" w:type="dxa"/>
            <w:vAlign w:val="bottom"/>
          </w:tcPr>
          <w:p>
            <w:pPr>
              <w:ind w:left="100"/>
              <w:spacing w:after="0" w:line="179" w:lineRule="exact"/>
              <w:rPr>
                <w:sz w:val="20"/>
                <w:szCs w:val="20"/>
                <w:color w:val="auto"/>
              </w:rPr>
            </w:pPr>
            <w:r>
              <w:rPr>
                <w:rFonts w:ascii="Arial" w:cs="Arial" w:eastAsia="Arial" w:hAnsi="Arial"/>
                <w:sz w:val="17"/>
                <w:szCs w:val="17"/>
                <w:color w:val="auto"/>
              </w:rPr>
              <w:t>SOLE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SHARES</w:t>
            </w:r>
          </w:p>
        </w:tc>
        <w:tc>
          <w:tcPr>
            <w:tcW w:w="170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BENEFICIALLY</w:t>
            </w:r>
          </w:p>
        </w:tc>
        <w:tc>
          <w:tcPr>
            <w:tcW w:w="17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18"/>
                <w:szCs w:val="18"/>
                <w:color w:val="auto"/>
              </w:rPr>
            </w:pPr>
          </w:p>
        </w:tc>
      </w:tr>
      <w:tr>
        <w:trPr>
          <w:trHeight w:val="180"/>
        </w:trPr>
        <w:tc>
          <w:tcPr>
            <w:tcW w:w="176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00" w:type="dxa"/>
            <w:vAlign w:val="bottom"/>
            <w:tcBorders>
              <w:right w:val="single" w:sz="8" w:color="auto"/>
            </w:tcBorders>
          </w:tcPr>
          <w:p>
            <w:pPr>
              <w:ind w:left="800"/>
              <w:spacing w:after="0" w:line="180" w:lineRule="exact"/>
              <w:rPr>
                <w:sz w:val="20"/>
                <w:szCs w:val="20"/>
                <w:color w:val="auto"/>
              </w:rPr>
            </w:pPr>
            <w:r>
              <w:rPr>
                <w:rFonts w:ascii="Arial" w:cs="Arial" w:eastAsia="Arial" w:hAnsi="Arial"/>
                <w:sz w:val="17"/>
                <w:szCs w:val="17"/>
                <w:color w:val="auto"/>
              </w:rPr>
              <w:t>6</w:t>
            </w:r>
          </w:p>
        </w:tc>
        <w:tc>
          <w:tcPr>
            <w:tcW w:w="5860" w:type="dxa"/>
            <w:vAlign w:val="bottom"/>
          </w:tcPr>
          <w:p>
            <w:pPr>
              <w:ind w:left="100"/>
              <w:spacing w:after="0" w:line="180" w:lineRule="exact"/>
              <w:rPr>
                <w:sz w:val="20"/>
                <w:szCs w:val="20"/>
                <w:color w:val="auto"/>
              </w:rPr>
            </w:pPr>
            <w:r>
              <w:rPr>
                <w:rFonts w:ascii="Arial" w:cs="Arial" w:eastAsia="Arial" w:hAnsi="Arial"/>
                <w:sz w:val="17"/>
                <w:szCs w:val="17"/>
                <w:color w:val="auto"/>
              </w:rPr>
              <w:t>SHARED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EACH</w:t>
            </w:r>
          </w:p>
        </w:tc>
        <w:tc>
          <w:tcPr>
            <w:tcW w:w="170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REPORTING</w:t>
            </w:r>
          </w:p>
        </w:tc>
        <w:tc>
          <w:tcPr>
            <w:tcW w:w="17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568,797</w:t>
            </w:r>
          </w:p>
        </w:tc>
        <w:tc>
          <w:tcPr>
            <w:tcW w:w="2100" w:type="dxa"/>
            <w:vAlign w:val="bottom"/>
            <w:tcBorders>
              <w:bottom w:val="single" w:sz="8" w:color="auto"/>
              <w:right w:val="single" w:sz="8" w:color="auto"/>
            </w:tcBorders>
          </w:tcPr>
          <w:p>
            <w:pPr>
              <w:spacing w:after="0"/>
              <w:rPr>
                <w:sz w:val="18"/>
                <w:szCs w:val="18"/>
                <w:color w:val="auto"/>
              </w:rPr>
            </w:pPr>
          </w:p>
        </w:tc>
      </w:tr>
      <w:tr>
        <w:trPr>
          <w:trHeight w:val="203"/>
        </w:trPr>
        <w:tc>
          <w:tcPr>
            <w:tcW w:w="17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7</w:t>
            </w:r>
          </w:p>
        </w:tc>
        <w:tc>
          <w:tcPr>
            <w:tcW w:w="586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8</w:t>
            </w:r>
          </w:p>
        </w:tc>
        <w:tc>
          <w:tcPr>
            <w:tcW w:w="586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568,797</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9</w:t>
            </w:r>
          </w:p>
        </w:tc>
        <w:tc>
          <w:tcPr>
            <w:tcW w:w="1700" w:type="dxa"/>
            <w:vAlign w:val="bottom"/>
          </w:tcPr>
          <w:p>
            <w:pPr>
              <w:ind w:left="100"/>
              <w:spacing w:after="0"/>
              <w:rPr>
                <w:sz w:val="20"/>
                <w:szCs w:val="20"/>
                <w:color w:val="auto"/>
              </w:rPr>
            </w:pPr>
            <w:r>
              <w:rPr>
                <w:rFonts w:ascii="Arial" w:cs="Arial" w:eastAsia="Arial" w:hAnsi="Arial"/>
                <w:sz w:val="17"/>
                <w:szCs w:val="17"/>
                <w:color w:val="auto"/>
                <w:w w:val="83"/>
              </w:rPr>
              <w:t>AGGREGATE AMOUNT</w:t>
            </w:r>
          </w:p>
        </w:tc>
        <w:tc>
          <w:tcPr>
            <w:tcW w:w="5860" w:type="dxa"/>
            <w:vAlign w:val="bottom"/>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568,797</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5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100" w:type="dxa"/>
            <w:vAlign w:val="bottom"/>
            <w:tcBorders>
              <w:right w:val="single" w:sz="8" w:color="auto"/>
            </w:tcBorders>
          </w:tcPr>
          <w:p>
            <w:pPr>
              <w:ind w:left="114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11</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(9)</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1.5%</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PN</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
        </w:trPr>
        <w:tc>
          <w:tcPr>
            <w:tcW w:w="1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497"/>
        </w:trPr>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2220"/>
              <w:spacing w:after="0"/>
              <w:rPr>
                <w:sz w:val="20"/>
                <w:szCs w:val="20"/>
                <w:color w:val="auto"/>
              </w:rPr>
            </w:pPr>
            <w:r>
              <w:rPr>
                <w:rFonts w:ascii="Arial" w:cs="Arial" w:eastAsia="Arial" w:hAnsi="Arial"/>
                <w:sz w:val="17"/>
                <w:szCs w:val="17"/>
                <w:color w:val="auto"/>
              </w:rPr>
              <w:t>3</w:t>
            </w: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9"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t>CUSIP No. 09627Y109</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7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586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right w:val="single" w:sz="8" w:color="auto"/>
            </w:tcBorders>
          </w:tcPr>
          <w:p>
            <w:pPr>
              <w:spacing w:after="0"/>
              <w:rPr>
                <w:sz w:val="3"/>
                <w:szCs w:val="3"/>
                <w:color w:val="auto"/>
              </w:rPr>
            </w:pPr>
          </w:p>
        </w:tc>
      </w:tr>
      <w:tr>
        <w:trPr>
          <w:trHeight w:val="186"/>
        </w:trPr>
        <w:tc>
          <w:tcPr>
            <w:tcW w:w="1760" w:type="dxa"/>
            <w:vAlign w:val="bottom"/>
            <w:tcBorders>
              <w:left w:val="single" w:sz="8" w:color="auto"/>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1</w:t>
            </w:r>
          </w:p>
        </w:tc>
        <w:tc>
          <w:tcPr>
            <w:tcW w:w="756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NAME OF REPORTING PERSON</w:t>
            </w:r>
          </w:p>
        </w:tc>
        <w:tc>
          <w:tcPr>
            <w:tcW w:w="2100" w:type="dxa"/>
            <w:vAlign w:val="bottom"/>
            <w:tcBorders>
              <w:right w:val="single" w:sz="8" w:color="auto"/>
            </w:tcBorders>
          </w:tcPr>
          <w:p>
            <w:pPr>
              <w:spacing w:after="0"/>
              <w:rPr>
                <w:sz w:val="16"/>
                <w:szCs w:val="16"/>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Biotechnology Value Trading Fund OS LP</w:t>
            </w:r>
          </w:p>
        </w:tc>
        <w:tc>
          <w:tcPr>
            <w:tcW w:w="2100" w:type="dxa"/>
            <w:vAlign w:val="bottom"/>
            <w:tcBorders>
              <w:bottom w:val="single" w:sz="8" w:color="auto"/>
              <w:right w:val="single" w:sz="8" w:color="auto"/>
            </w:tcBorders>
          </w:tcPr>
          <w:p>
            <w:pPr>
              <w:spacing w:after="0"/>
              <w:rPr>
                <w:sz w:val="24"/>
                <w:szCs w:val="24"/>
                <w:color w:val="auto"/>
              </w:rPr>
            </w:pPr>
          </w:p>
        </w:tc>
      </w:tr>
      <w:tr>
        <w:trPr>
          <w:trHeight w:val="149"/>
        </w:trPr>
        <w:tc>
          <w:tcPr>
            <w:tcW w:w="176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7"/>
                <w:szCs w:val="17"/>
                <w:color w:val="auto"/>
                <w:w w:val="84"/>
              </w:rPr>
              <w:t>2</w:t>
            </w:r>
          </w:p>
        </w:tc>
        <w:tc>
          <w:tcPr>
            <w:tcW w:w="7560" w:type="dxa"/>
            <w:vAlign w:val="bottom"/>
            <w:gridSpan w:val="2"/>
          </w:tcPr>
          <w:p>
            <w:pPr>
              <w:ind w:left="100"/>
              <w:spacing w:after="0" w:line="149" w:lineRule="exact"/>
              <w:rPr>
                <w:sz w:val="20"/>
                <w:szCs w:val="20"/>
                <w:color w:val="auto"/>
              </w:rPr>
            </w:pPr>
            <w:r>
              <w:rPr>
                <w:rFonts w:ascii="Arial" w:cs="Arial" w:eastAsia="Arial" w:hAnsi="Arial"/>
                <w:sz w:val="17"/>
                <w:szCs w:val="17"/>
                <w:color w:val="auto"/>
              </w:rPr>
              <w:t>CHECK THE APPROPRIATE BOX IF A MEMBER OF A GROUP</w:t>
            </w:r>
          </w:p>
        </w:tc>
        <w:tc>
          <w:tcPr>
            <w:tcW w:w="2100" w:type="dxa"/>
            <w:vAlign w:val="bottom"/>
            <w:tcBorders>
              <w:right w:val="single" w:sz="8" w:color="auto"/>
            </w:tcBorders>
          </w:tcPr>
          <w:p>
            <w:pPr>
              <w:ind w:left="960"/>
              <w:spacing w:after="0" w:line="149"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760" w:type="dxa"/>
            <w:vAlign w:val="bottom"/>
            <w:tcBorders>
              <w:left w:val="single" w:sz="8" w:color="auto"/>
              <w:right w:val="single" w:sz="8" w:color="auto"/>
            </w:tcBorders>
          </w:tcPr>
          <w:p>
            <w:pPr>
              <w:spacing w:after="0"/>
              <w:rPr>
                <w:sz w:val="22"/>
                <w:szCs w:val="22"/>
                <w:color w:val="auto"/>
              </w:rPr>
            </w:pPr>
          </w:p>
        </w:tc>
        <w:tc>
          <w:tcPr>
            <w:tcW w:w="170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2100" w:type="dxa"/>
            <w:vAlign w:val="bottom"/>
            <w:tcBorders>
              <w:right w:val="single" w:sz="8" w:color="auto"/>
            </w:tcBorders>
          </w:tcPr>
          <w:p>
            <w:pPr>
              <w:ind w:left="96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r>
        <w:trPr>
          <w:trHeight w:val="180"/>
        </w:trPr>
        <w:tc>
          <w:tcPr>
            <w:tcW w:w="1760" w:type="dxa"/>
            <w:vAlign w:val="bottom"/>
            <w:tcBorders>
              <w:left w:val="single" w:sz="8" w:color="auto"/>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spacing w:after="0"/>
              <w:rPr>
                <w:sz w:val="15"/>
                <w:szCs w:val="15"/>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3</w:t>
            </w:r>
          </w:p>
        </w:tc>
        <w:tc>
          <w:tcPr>
            <w:tcW w:w="170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4</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w w:val="90"/>
              </w:rPr>
              <w:t>Cayman Islands</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179"/>
        </w:trPr>
        <w:tc>
          <w:tcPr>
            <w:tcW w:w="1760" w:type="dxa"/>
            <w:vAlign w:val="bottom"/>
            <w:tcBorders>
              <w:left w:val="single" w:sz="8" w:color="auto"/>
              <w:right w:val="single" w:sz="8" w:color="auto"/>
            </w:tcBorders>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00" w:type="dxa"/>
            <w:vAlign w:val="bottom"/>
            <w:tcBorders>
              <w:right w:val="single" w:sz="8" w:color="auto"/>
            </w:tcBorders>
          </w:tcPr>
          <w:p>
            <w:pPr>
              <w:ind w:left="800"/>
              <w:spacing w:after="0" w:line="179" w:lineRule="exact"/>
              <w:rPr>
                <w:sz w:val="20"/>
                <w:szCs w:val="20"/>
                <w:color w:val="auto"/>
              </w:rPr>
            </w:pPr>
            <w:r>
              <w:rPr>
                <w:rFonts w:ascii="Arial" w:cs="Arial" w:eastAsia="Arial" w:hAnsi="Arial"/>
                <w:sz w:val="17"/>
                <w:szCs w:val="17"/>
                <w:color w:val="auto"/>
              </w:rPr>
              <w:t>5</w:t>
            </w:r>
          </w:p>
        </w:tc>
        <w:tc>
          <w:tcPr>
            <w:tcW w:w="5860" w:type="dxa"/>
            <w:vAlign w:val="bottom"/>
          </w:tcPr>
          <w:p>
            <w:pPr>
              <w:ind w:left="100"/>
              <w:spacing w:after="0" w:line="179" w:lineRule="exact"/>
              <w:rPr>
                <w:sz w:val="20"/>
                <w:szCs w:val="20"/>
                <w:color w:val="auto"/>
              </w:rPr>
            </w:pPr>
            <w:r>
              <w:rPr>
                <w:rFonts w:ascii="Arial" w:cs="Arial" w:eastAsia="Arial" w:hAnsi="Arial"/>
                <w:sz w:val="17"/>
                <w:szCs w:val="17"/>
                <w:color w:val="auto"/>
              </w:rPr>
              <w:t>SOLE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SHARES</w:t>
            </w:r>
          </w:p>
        </w:tc>
        <w:tc>
          <w:tcPr>
            <w:tcW w:w="170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BENEFICIALLY</w:t>
            </w:r>
          </w:p>
        </w:tc>
        <w:tc>
          <w:tcPr>
            <w:tcW w:w="17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18"/>
                <w:szCs w:val="18"/>
                <w:color w:val="auto"/>
              </w:rPr>
            </w:pPr>
          </w:p>
        </w:tc>
      </w:tr>
      <w:tr>
        <w:trPr>
          <w:trHeight w:val="180"/>
        </w:trPr>
        <w:tc>
          <w:tcPr>
            <w:tcW w:w="176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00" w:type="dxa"/>
            <w:vAlign w:val="bottom"/>
            <w:tcBorders>
              <w:right w:val="single" w:sz="8" w:color="auto"/>
            </w:tcBorders>
          </w:tcPr>
          <w:p>
            <w:pPr>
              <w:ind w:left="800"/>
              <w:spacing w:after="0" w:line="180" w:lineRule="exact"/>
              <w:rPr>
                <w:sz w:val="20"/>
                <w:szCs w:val="20"/>
                <w:color w:val="auto"/>
              </w:rPr>
            </w:pPr>
            <w:r>
              <w:rPr>
                <w:rFonts w:ascii="Arial" w:cs="Arial" w:eastAsia="Arial" w:hAnsi="Arial"/>
                <w:sz w:val="17"/>
                <w:szCs w:val="17"/>
                <w:color w:val="auto"/>
              </w:rPr>
              <w:t>6</w:t>
            </w:r>
          </w:p>
        </w:tc>
        <w:tc>
          <w:tcPr>
            <w:tcW w:w="5860" w:type="dxa"/>
            <w:vAlign w:val="bottom"/>
          </w:tcPr>
          <w:p>
            <w:pPr>
              <w:ind w:left="100"/>
              <w:spacing w:after="0" w:line="180" w:lineRule="exact"/>
              <w:rPr>
                <w:sz w:val="20"/>
                <w:szCs w:val="20"/>
                <w:color w:val="auto"/>
              </w:rPr>
            </w:pPr>
            <w:r>
              <w:rPr>
                <w:rFonts w:ascii="Arial" w:cs="Arial" w:eastAsia="Arial" w:hAnsi="Arial"/>
                <w:sz w:val="17"/>
                <w:szCs w:val="17"/>
                <w:color w:val="auto"/>
              </w:rPr>
              <w:t>SHARED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EACH</w:t>
            </w:r>
          </w:p>
        </w:tc>
        <w:tc>
          <w:tcPr>
            <w:tcW w:w="170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REPORTING</w:t>
            </w:r>
          </w:p>
        </w:tc>
        <w:tc>
          <w:tcPr>
            <w:tcW w:w="17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111,366</w:t>
            </w:r>
          </w:p>
        </w:tc>
        <w:tc>
          <w:tcPr>
            <w:tcW w:w="2100" w:type="dxa"/>
            <w:vAlign w:val="bottom"/>
            <w:tcBorders>
              <w:bottom w:val="single" w:sz="8" w:color="auto"/>
              <w:right w:val="single" w:sz="8" w:color="auto"/>
            </w:tcBorders>
          </w:tcPr>
          <w:p>
            <w:pPr>
              <w:spacing w:after="0"/>
              <w:rPr>
                <w:sz w:val="18"/>
                <w:szCs w:val="18"/>
                <w:color w:val="auto"/>
              </w:rPr>
            </w:pPr>
          </w:p>
        </w:tc>
      </w:tr>
      <w:tr>
        <w:trPr>
          <w:trHeight w:val="203"/>
        </w:trPr>
        <w:tc>
          <w:tcPr>
            <w:tcW w:w="17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7</w:t>
            </w:r>
          </w:p>
        </w:tc>
        <w:tc>
          <w:tcPr>
            <w:tcW w:w="586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8</w:t>
            </w:r>
          </w:p>
        </w:tc>
        <w:tc>
          <w:tcPr>
            <w:tcW w:w="586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111,366</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9</w:t>
            </w:r>
          </w:p>
        </w:tc>
        <w:tc>
          <w:tcPr>
            <w:tcW w:w="1700" w:type="dxa"/>
            <w:vAlign w:val="bottom"/>
          </w:tcPr>
          <w:p>
            <w:pPr>
              <w:ind w:left="100"/>
              <w:spacing w:after="0"/>
              <w:rPr>
                <w:sz w:val="20"/>
                <w:szCs w:val="20"/>
                <w:color w:val="auto"/>
              </w:rPr>
            </w:pPr>
            <w:r>
              <w:rPr>
                <w:rFonts w:ascii="Arial" w:cs="Arial" w:eastAsia="Arial" w:hAnsi="Arial"/>
                <w:sz w:val="17"/>
                <w:szCs w:val="17"/>
                <w:color w:val="auto"/>
                <w:w w:val="83"/>
              </w:rPr>
              <w:t>AGGREGATE AMOUNT</w:t>
            </w:r>
          </w:p>
        </w:tc>
        <w:tc>
          <w:tcPr>
            <w:tcW w:w="5860" w:type="dxa"/>
            <w:vAlign w:val="bottom"/>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111,366</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5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100" w:type="dxa"/>
            <w:vAlign w:val="bottom"/>
            <w:tcBorders>
              <w:right w:val="single" w:sz="8" w:color="auto"/>
            </w:tcBorders>
          </w:tcPr>
          <w:p>
            <w:pPr>
              <w:ind w:left="114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11</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(9)</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Less than 1%</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5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PN</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
        </w:trPr>
        <w:tc>
          <w:tcPr>
            <w:tcW w:w="1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497"/>
        </w:trPr>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2220"/>
              <w:spacing w:after="0"/>
              <w:rPr>
                <w:sz w:val="20"/>
                <w:szCs w:val="20"/>
                <w:color w:val="auto"/>
              </w:rPr>
            </w:pPr>
            <w:r>
              <w:rPr>
                <w:rFonts w:ascii="Arial" w:cs="Arial" w:eastAsia="Arial" w:hAnsi="Arial"/>
                <w:sz w:val="17"/>
                <w:szCs w:val="17"/>
                <w:color w:val="auto"/>
              </w:rPr>
              <w:t>4</w:t>
            </w: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9"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212090</wp:posOffset>
            </wp:positionV>
            <wp:extent cx="3619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339" w:lineRule="exact"/>
        <w:rPr>
          <w:sz w:val="20"/>
          <w:szCs w:val="20"/>
          <w:color w:val="auto"/>
        </w:rPr>
      </w:pPr>
    </w:p>
    <w:p>
      <w:pPr>
        <w:ind w:left="1860" w:hanging="1029"/>
        <w:spacing w:after="0"/>
        <w:tabs>
          <w:tab w:leader="none" w:pos="1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0" w:lineRule="exact"/>
        <w:rPr>
          <w:rFonts w:ascii="Arial" w:cs="Arial" w:eastAsia="Arial" w:hAnsi="Arial"/>
          <w:sz w:val="17"/>
          <w:szCs w:val="17"/>
          <w:color w:val="auto"/>
        </w:rPr>
      </w:pPr>
    </w:p>
    <w:p>
      <w:pPr>
        <w:ind w:left="2320"/>
        <w:spacing w:after="0"/>
        <w:rPr>
          <w:rFonts w:ascii="Arial" w:cs="Arial" w:eastAsia="Arial" w:hAnsi="Arial"/>
          <w:sz w:val="17"/>
          <w:szCs w:val="17"/>
          <w:color w:val="auto"/>
        </w:rPr>
      </w:pPr>
      <w:r>
        <w:rPr>
          <w:rFonts w:ascii="Arial" w:cs="Arial" w:eastAsia="Arial" w:hAnsi="Arial"/>
          <w:sz w:val="17"/>
          <w:szCs w:val="17"/>
          <w:color w:val="auto"/>
        </w:rPr>
        <w:t>BVF Partners OS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-375285</wp:posOffset>
            </wp:positionV>
            <wp:extent cx="3619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1740" w:type="dxa"/>
            <w:vAlign w:val="bottom"/>
            <w:tcBorders>
              <w:top w:val="single" w:sz="8" w:color="auto"/>
            </w:tcBorders>
          </w:tcPr>
          <w:p>
            <w:pPr>
              <w:jc w:val="center"/>
              <w:spacing w:after="0" w:line="150" w:lineRule="exact"/>
              <w:rPr>
                <w:sz w:val="20"/>
                <w:szCs w:val="20"/>
                <w:color w:val="auto"/>
              </w:rPr>
            </w:pPr>
            <w:r>
              <w:rPr>
                <w:rFonts w:ascii="Arial" w:cs="Arial" w:eastAsia="Arial" w:hAnsi="Arial"/>
                <w:sz w:val="17"/>
                <w:szCs w:val="17"/>
                <w:color w:val="auto"/>
                <w:w w:val="84"/>
              </w:rPr>
              <w:t>2</w:t>
            </w:r>
          </w:p>
        </w:tc>
        <w:tc>
          <w:tcPr>
            <w:tcW w:w="7580" w:type="dxa"/>
            <w:vAlign w:val="bottom"/>
            <w:tcBorders>
              <w:top w:val="single" w:sz="8" w:color="auto"/>
            </w:tcBorders>
            <w:gridSpan w:val="2"/>
          </w:tcPr>
          <w:p>
            <w:pPr>
              <w:ind w:left="120"/>
              <w:spacing w:after="0" w:line="150" w:lineRule="exact"/>
              <w:rPr>
                <w:sz w:val="20"/>
                <w:szCs w:val="20"/>
                <w:color w:val="auto"/>
              </w:rPr>
            </w:pPr>
            <w:r>
              <w:rPr>
                <w:rFonts w:ascii="Arial" w:cs="Arial" w:eastAsia="Arial" w:hAnsi="Arial"/>
                <w:sz w:val="17"/>
                <w:szCs w:val="17"/>
                <w:color w:val="auto"/>
              </w:rPr>
              <w:t>CHECK THE APPROPRIATE BOX IF A MEMBER OF A GROUP</w:t>
            </w:r>
          </w:p>
        </w:tc>
        <w:tc>
          <w:tcPr>
            <w:tcW w:w="2100" w:type="dxa"/>
            <w:vAlign w:val="bottom"/>
            <w:tcBorders>
              <w:top w:val="single" w:sz="8" w:color="auto"/>
            </w:tcBorders>
          </w:tcPr>
          <w:p>
            <w:pPr>
              <w:ind w:left="960"/>
              <w:spacing w:after="0" w:line="150"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7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2100" w:type="dxa"/>
            <w:vAlign w:val="bottom"/>
          </w:tcPr>
          <w:p>
            <w:pPr>
              <w:ind w:left="96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r>
        <w:trPr>
          <w:trHeight w:val="180"/>
        </w:trPr>
        <w:tc>
          <w:tcPr>
            <w:tcW w:w="17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720" w:type="dxa"/>
            <w:vAlign w:val="bottom"/>
          </w:tcPr>
          <w:p>
            <w:pPr>
              <w:ind w:left="120"/>
              <w:spacing w:after="0"/>
              <w:rPr>
                <w:sz w:val="20"/>
                <w:szCs w:val="20"/>
                <w:color w:val="auto"/>
              </w:rPr>
            </w:pPr>
            <w:r>
              <w:rPr>
                <w:rFonts w:ascii="Arial" w:cs="Arial" w:eastAsia="Arial" w:hAnsi="Arial"/>
                <w:sz w:val="17"/>
                <w:szCs w:val="17"/>
                <w:color w:val="auto"/>
              </w:rPr>
              <w:t>SEC USE ONLY</w:t>
            </w:r>
          </w:p>
        </w:tc>
        <w:tc>
          <w:tcPr>
            <w:tcW w:w="58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7580" w:type="dxa"/>
            <w:vAlign w:val="bottom"/>
            <w:gridSpan w:val="2"/>
          </w:tcPr>
          <w:p>
            <w:pPr>
              <w:ind w:left="120"/>
              <w:spacing w:after="0"/>
              <w:rPr>
                <w:sz w:val="20"/>
                <w:szCs w:val="20"/>
                <w:color w:val="auto"/>
              </w:rPr>
            </w:pPr>
            <w:r>
              <w:rPr>
                <w:rFonts w:ascii="Arial" w:cs="Arial" w:eastAsia="Arial" w:hAnsi="Arial"/>
                <w:sz w:val="17"/>
                <w:szCs w:val="17"/>
                <w:color w:val="auto"/>
              </w:rPr>
              <w:t>CITIZENSHIP OR PLACE OF ORGANIZATION</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w w:val="90"/>
              </w:rPr>
              <w:t>Cayman Islands</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179"/>
        </w:trPr>
        <w:tc>
          <w:tcPr>
            <w:tcW w:w="1740" w:type="dxa"/>
            <w:vAlign w:val="bottom"/>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7"/>
                <w:szCs w:val="17"/>
                <w:color w:val="auto"/>
                <w:w w:val="84"/>
              </w:rPr>
              <w:t>5</w:t>
            </w:r>
          </w:p>
        </w:tc>
        <w:tc>
          <w:tcPr>
            <w:tcW w:w="5860" w:type="dxa"/>
            <w:vAlign w:val="bottom"/>
          </w:tcPr>
          <w:p>
            <w:pPr>
              <w:ind w:left="100"/>
              <w:spacing w:after="0" w:line="179" w:lineRule="exact"/>
              <w:rPr>
                <w:sz w:val="20"/>
                <w:szCs w:val="20"/>
                <w:color w:val="auto"/>
              </w:rPr>
            </w:pPr>
            <w:r>
              <w:rPr>
                <w:rFonts w:ascii="Arial" w:cs="Arial" w:eastAsia="Arial" w:hAnsi="Arial"/>
                <w:sz w:val="17"/>
                <w:szCs w:val="17"/>
                <w:color w:val="auto"/>
              </w:rPr>
              <w:t>SOLE VOTING POWER</w:t>
            </w:r>
          </w:p>
        </w:tc>
        <w:tc>
          <w:tcPr>
            <w:tcW w:w="2100" w:type="dxa"/>
            <w:vAlign w:val="bottom"/>
          </w:tcPr>
          <w:p>
            <w:pPr>
              <w:spacing w:after="0"/>
              <w:rPr>
                <w:sz w:val="15"/>
                <w:szCs w:val="15"/>
                <w:color w:val="auto"/>
              </w:rPr>
            </w:pPr>
          </w:p>
        </w:tc>
      </w:tr>
      <w:tr>
        <w:trPr>
          <w:trHeight w:val="198"/>
        </w:trPr>
        <w:tc>
          <w:tcPr>
            <w:tcW w:w="1740" w:type="dxa"/>
            <w:vAlign w:val="bottom"/>
          </w:tcPr>
          <w:p>
            <w:pPr>
              <w:jc w:val="center"/>
              <w:spacing w:after="0"/>
              <w:rPr>
                <w:sz w:val="20"/>
                <w:szCs w:val="20"/>
                <w:color w:val="auto"/>
              </w:rPr>
            </w:pPr>
            <w:r>
              <w:rPr>
                <w:rFonts w:ascii="Arial" w:cs="Arial" w:eastAsia="Arial" w:hAnsi="Arial"/>
                <w:sz w:val="17"/>
                <w:szCs w:val="17"/>
                <w:color w:val="auto"/>
                <w:w w:val="88"/>
              </w:rPr>
              <w:t>SHARES</w:t>
            </w:r>
          </w:p>
        </w:tc>
        <w:tc>
          <w:tcPr>
            <w:tcW w:w="172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98"/>
              </w:rPr>
              <w:t>BENEFICIALLY</w:t>
            </w:r>
          </w:p>
        </w:tc>
        <w:tc>
          <w:tcPr>
            <w:tcW w:w="172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tcBorders>
          </w:tcPr>
          <w:p>
            <w:pPr>
              <w:spacing w:after="0"/>
              <w:rPr>
                <w:sz w:val="18"/>
                <w:szCs w:val="18"/>
                <w:color w:val="auto"/>
              </w:rPr>
            </w:pPr>
          </w:p>
        </w:tc>
      </w:tr>
      <w:tr>
        <w:trPr>
          <w:trHeight w:val="180"/>
        </w:trPr>
        <w:tc>
          <w:tcPr>
            <w:tcW w:w="1740" w:type="dxa"/>
            <w:vAlign w:val="bottom"/>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84"/>
              </w:rPr>
              <w:t>6</w:t>
            </w:r>
          </w:p>
        </w:tc>
        <w:tc>
          <w:tcPr>
            <w:tcW w:w="5860" w:type="dxa"/>
            <w:vAlign w:val="bottom"/>
          </w:tcPr>
          <w:p>
            <w:pPr>
              <w:ind w:left="100"/>
              <w:spacing w:after="0" w:line="180" w:lineRule="exact"/>
              <w:rPr>
                <w:sz w:val="20"/>
                <w:szCs w:val="20"/>
                <w:color w:val="auto"/>
              </w:rPr>
            </w:pPr>
            <w:r>
              <w:rPr>
                <w:rFonts w:ascii="Arial" w:cs="Arial" w:eastAsia="Arial" w:hAnsi="Arial"/>
                <w:sz w:val="17"/>
                <w:szCs w:val="17"/>
                <w:color w:val="auto"/>
              </w:rPr>
              <w:t>SHARED VOTING POWER</w:t>
            </w:r>
          </w:p>
        </w:tc>
        <w:tc>
          <w:tcPr>
            <w:tcW w:w="2100" w:type="dxa"/>
            <w:vAlign w:val="bottom"/>
          </w:tcPr>
          <w:p>
            <w:pPr>
              <w:spacing w:after="0"/>
              <w:rPr>
                <w:sz w:val="15"/>
                <w:szCs w:val="15"/>
                <w:color w:val="auto"/>
              </w:rPr>
            </w:pPr>
          </w:p>
        </w:tc>
      </w:tr>
      <w:tr>
        <w:trPr>
          <w:trHeight w:val="198"/>
        </w:trPr>
        <w:tc>
          <w:tcPr>
            <w:tcW w:w="1740" w:type="dxa"/>
            <w:vAlign w:val="bottom"/>
          </w:tcPr>
          <w:p>
            <w:pPr>
              <w:jc w:val="center"/>
              <w:spacing w:after="0"/>
              <w:rPr>
                <w:sz w:val="20"/>
                <w:szCs w:val="20"/>
                <w:color w:val="auto"/>
              </w:rPr>
            </w:pPr>
            <w:r>
              <w:rPr>
                <w:rFonts w:ascii="Arial" w:cs="Arial" w:eastAsia="Arial" w:hAnsi="Arial"/>
                <w:sz w:val="17"/>
                <w:szCs w:val="17"/>
                <w:color w:val="auto"/>
                <w:w w:val="97"/>
              </w:rPr>
              <w:t>EACH</w:t>
            </w:r>
          </w:p>
        </w:tc>
        <w:tc>
          <w:tcPr>
            <w:tcW w:w="1720" w:type="dxa"/>
            <w:vAlign w:val="bottom"/>
            <w:tcBorders>
              <w:right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89"/>
              </w:rPr>
              <w:t>REPORTING</w:t>
            </w:r>
          </w:p>
        </w:tc>
        <w:tc>
          <w:tcPr>
            <w:tcW w:w="172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111,366</w:t>
            </w:r>
          </w:p>
        </w:tc>
        <w:tc>
          <w:tcPr>
            <w:tcW w:w="2100" w:type="dxa"/>
            <w:vAlign w:val="bottom"/>
            <w:tcBorders>
              <w:bottom w:val="single" w:sz="8" w:color="auto"/>
            </w:tcBorders>
          </w:tcPr>
          <w:p>
            <w:pPr>
              <w:spacing w:after="0"/>
              <w:rPr>
                <w:sz w:val="18"/>
                <w:szCs w:val="18"/>
                <w:color w:val="auto"/>
              </w:rPr>
            </w:pPr>
          </w:p>
        </w:tc>
      </w:tr>
      <w:tr>
        <w:trPr>
          <w:trHeight w:val="203"/>
        </w:trPr>
        <w:tc>
          <w:tcPr>
            <w:tcW w:w="1740" w:type="dxa"/>
            <w:vAlign w:val="bottom"/>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7</w:t>
            </w:r>
          </w:p>
        </w:tc>
        <w:tc>
          <w:tcPr>
            <w:tcW w:w="586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2100" w:type="dxa"/>
            <w:vAlign w:val="bottom"/>
          </w:tcPr>
          <w:p>
            <w:pPr>
              <w:spacing w:after="0"/>
              <w:rPr>
                <w:sz w:val="17"/>
                <w:szCs w:val="17"/>
                <w:color w:val="auto"/>
              </w:rPr>
            </w:pPr>
          </w:p>
        </w:tc>
      </w:tr>
      <w:tr>
        <w:trPr>
          <w:trHeight w:val="385"/>
        </w:trPr>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spacing w:after="0"/>
              <w:rPr>
                <w:sz w:val="17"/>
                <w:szCs w:val="17"/>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8</w:t>
            </w:r>
          </w:p>
        </w:tc>
        <w:tc>
          <w:tcPr>
            <w:tcW w:w="586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8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111,366</w:t>
            </w:r>
          </w:p>
        </w:tc>
        <w:tc>
          <w:tcPr>
            <w:tcW w:w="210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1720" w:type="dxa"/>
            <w:vAlign w:val="bottom"/>
          </w:tcPr>
          <w:p>
            <w:pPr>
              <w:ind w:left="120"/>
              <w:spacing w:after="0"/>
              <w:rPr>
                <w:sz w:val="20"/>
                <w:szCs w:val="20"/>
                <w:color w:val="auto"/>
              </w:rPr>
            </w:pPr>
            <w:r>
              <w:rPr>
                <w:rFonts w:ascii="Arial" w:cs="Arial" w:eastAsia="Arial" w:hAnsi="Arial"/>
                <w:sz w:val="17"/>
                <w:szCs w:val="17"/>
                <w:color w:val="auto"/>
                <w:w w:val="83"/>
              </w:rPr>
              <w:t>AGGREGATE AMOUNT</w:t>
            </w:r>
          </w:p>
        </w:tc>
        <w:tc>
          <w:tcPr>
            <w:tcW w:w="5860" w:type="dxa"/>
            <w:vAlign w:val="bottom"/>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111,366</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52"/>
        </w:trPr>
        <w:tc>
          <w:tcPr>
            <w:tcW w:w="174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7580" w:type="dxa"/>
            <w:vAlign w:val="bottom"/>
            <w:gridSpan w:val="2"/>
          </w:tcPr>
          <w:p>
            <w:pPr>
              <w:ind w:left="12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100" w:type="dxa"/>
            <w:vAlign w:val="bottom"/>
          </w:tcPr>
          <w:p>
            <w:pPr>
              <w:ind w:left="114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4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11</w:t>
            </w:r>
          </w:p>
        </w:tc>
        <w:tc>
          <w:tcPr>
            <w:tcW w:w="7580" w:type="dxa"/>
            <w:vAlign w:val="bottom"/>
            <w:gridSpan w:val="2"/>
          </w:tcPr>
          <w:p>
            <w:pPr>
              <w:ind w:left="120"/>
              <w:spacing w:after="0"/>
              <w:rPr>
                <w:sz w:val="20"/>
                <w:szCs w:val="20"/>
                <w:color w:val="auto"/>
              </w:rPr>
            </w:pPr>
            <w:r>
              <w:rPr>
                <w:rFonts w:ascii="Arial" w:cs="Arial" w:eastAsia="Arial" w:hAnsi="Arial"/>
                <w:sz w:val="17"/>
                <w:szCs w:val="17"/>
                <w:color w:val="auto"/>
              </w:rPr>
              <w:t>PERCENT OF CLASS REPRESENTED BY AMOUNT IN ROW (9)</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Less than 1%</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7580" w:type="dxa"/>
            <w:vAlign w:val="bottom"/>
            <w:gridSpan w:val="2"/>
          </w:tcPr>
          <w:p>
            <w:pPr>
              <w:ind w:left="120"/>
              <w:spacing w:after="0"/>
              <w:rPr>
                <w:sz w:val="20"/>
                <w:szCs w:val="20"/>
                <w:color w:val="auto"/>
              </w:rPr>
            </w:pPr>
            <w:r>
              <w:rPr>
                <w:rFonts w:ascii="Arial" w:cs="Arial" w:eastAsia="Arial" w:hAnsi="Arial"/>
                <w:sz w:val="17"/>
                <w:szCs w:val="17"/>
                <w:color w:val="auto"/>
              </w:rPr>
              <w:t>TYPE OF REPORTING PERSON</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CO</w:t>
            </w:r>
          </w:p>
        </w:tc>
        <w:tc>
          <w:tcPr>
            <w:tcW w:w="5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497"/>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2220"/>
              <w:spacing w:after="0"/>
              <w:rPr>
                <w:sz w:val="20"/>
                <w:szCs w:val="20"/>
                <w:color w:val="auto"/>
              </w:rPr>
            </w:pPr>
            <w:r>
              <w:rPr>
                <w:rFonts w:ascii="Arial" w:cs="Arial" w:eastAsia="Arial" w:hAnsi="Arial"/>
                <w:sz w:val="17"/>
                <w:szCs w:val="17"/>
                <w:color w:val="auto"/>
              </w:rPr>
              <w:t>5</w:t>
            </w:r>
          </w:p>
        </w:tc>
        <w:tc>
          <w:tcPr>
            <w:tcW w:w="2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-487045</wp:posOffset>
            </wp:positionV>
            <wp:extent cx="7620" cy="149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-487045</wp:posOffset>
            </wp:positionV>
            <wp:extent cx="7620" cy="149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1108075</wp:posOffset>
            </wp:positionH>
            <wp:positionV relativeFrom="paragraph">
              <wp:posOffset>-487045</wp:posOffset>
            </wp:positionV>
            <wp:extent cx="7620" cy="149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7233920</wp:posOffset>
            </wp:positionH>
            <wp:positionV relativeFrom="paragraph">
              <wp:posOffset>-487045</wp:posOffset>
            </wp:positionV>
            <wp:extent cx="7620" cy="149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7249795</wp:posOffset>
            </wp:positionH>
            <wp:positionV relativeFrom="paragraph">
              <wp:posOffset>-487045</wp:posOffset>
            </wp:positionV>
            <wp:extent cx="7620" cy="149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0" cy="149225"/>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212090</wp:posOffset>
            </wp:positionV>
            <wp:extent cx="3619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7580" w:type="dxa"/>
            <w:vAlign w:val="bottom"/>
            <w:gridSpan w:val="3"/>
          </w:tcPr>
          <w:p>
            <w:pPr>
              <w:ind w:left="120"/>
              <w:spacing w:after="0"/>
              <w:rPr>
                <w:sz w:val="20"/>
                <w:szCs w:val="20"/>
                <w:color w:val="auto"/>
              </w:rPr>
            </w:pPr>
            <w:r>
              <w:rPr>
                <w:rFonts w:ascii="Arial" w:cs="Arial" w:eastAsia="Arial" w:hAnsi="Arial"/>
                <w:sz w:val="17"/>
                <w:szCs w:val="17"/>
                <w:color w:val="auto"/>
              </w:rPr>
              <w:t>NAME OF REPORTING PERSON</w:t>
            </w:r>
          </w:p>
        </w:tc>
        <w:tc>
          <w:tcPr>
            <w:tcW w:w="2100" w:type="dxa"/>
            <w:vAlign w:val="bottom"/>
          </w:tcPr>
          <w:p>
            <w:pPr>
              <w:spacing w:after="0"/>
              <w:rPr>
                <w:sz w:val="18"/>
                <w:szCs w:val="18"/>
                <w:color w:val="auto"/>
              </w:rPr>
            </w:pPr>
          </w:p>
        </w:tc>
      </w:tr>
      <w:tr>
        <w:trPr>
          <w:trHeight w:val="397"/>
        </w:trPr>
        <w:tc>
          <w:tcPr>
            <w:tcW w:w="1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80"/>
              <w:spacing w:after="0"/>
              <w:rPr>
                <w:sz w:val="20"/>
                <w:szCs w:val="20"/>
                <w:color w:val="auto"/>
              </w:rPr>
            </w:pPr>
            <w:r>
              <w:rPr>
                <w:rFonts w:ascii="Arial" w:cs="Arial" w:eastAsia="Arial" w:hAnsi="Arial"/>
                <w:sz w:val="17"/>
                <w:szCs w:val="17"/>
                <w:color w:val="auto"/>
                <w:w w:val="87"/>
              </w:rPr>
              <w:t>BVF Partners L.P.</w:t>
            </w:r>
          </w:p>
        </w:tc>
        <w:tc>
          <w:tcPr>
            <w:tcW w:w="5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149"/>
        </w:trPr>
        <w:tc>
          <w:tcPr>
            <w:tcW w:w="1740" w:type="dxa"/>
            <w:vAlign w:val="bottom"/>
          </w:tcPr>
          <w:p>
            <w:pPr>
              <w:jc w:val="center"/>
              <w:spacing w:after="0" w:line="149" w:lineRule="exact"/>
              <w:rPr>
                <w:sz w:val="20"/>
                <w:szCs w:val="20"/>
                <w:color w:val="auto"/>
              </w:rPr>
            </w:pPr>
            <w:r>
              <w:rPr>
                <w:rFonts w:ascii="Arial" w:cs="Arial" w:eastAsia="Arial" w:hAnsi="Arial"/>
                <w:sz w:val="17"/>
                <w:szCs w:val="17"/>
                <w:color w:val="auto"/>
                <w:w w:val="84"/>
              </w:rPr>
              <w:t>2</w:t>
            </w:r>
          </w:p>
        </w:tc>
        <w:tc>
          <w:tcPr>
            <w:tcW w:w="7580" w:type="dxa"/>
            <w:vAlign w:val="bottom"/>
            <w:gridSpan w:val="3"/>
          </w:tcPr>
          <w:p>
            <w:pPr>
              <w:ind w:left="120"/>
              <w:spacing w:after="0" w:line="149" w:lineRule="exact"/>
              <w:rPr>
                <w:sz w:val="20"/>
                <w:szCs w:val="20"/>
                <w:color w:val="auto"/>
              </w:rPr>
            </w:pPr>
            <w:r>
              <w:rPr>
                <w:rFonts w:ascii="Arial" w:cs="Arial" w:eastAsia="Arial" w:hAnsi="Arial"/>
                <w:sz w:val="17"/>
                <w:szCs w:val="17"/>
                <w:color w:val="auto"/>
              </w:rPr>
              <w:t>CHECK THE APPROPRIATE BOX IF A MEMBER OF A GROUP</w:t>
            </w:r>
          </w:p>
        </w:tc>
        <w:tc>
          <w:tcPr>
            <w:tcW w:w="2100" w:type="dxa"/>
            <w:vAlign w:val="bottom"/>
          </w:tcPr>
          <w:p>
            <w:pPr>
              <w:ind w:left="960"/>
              <w:spacing w:after="0" w:line="149"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7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780" w:type="dxa"/>
            <w:vAlign w:val="bottom"/>
          </w:tcPr>
          <w:p>
            <w:pPr>
              <w:spacing w:after="0"/>
              <w:rPr>
                <w:sz w:val="22"/>
                <w:szCs w:val="22"/>
                <w:color w:val="auto"/>
              </w:rPr>
            </w:pPr>
          </w:p>
        </w:tc>
        <w:tc>
          <w:tcPr>
            <w:tcW w:w="2100" w:type="dxa"/>
            <w:vAlign w:val="bottom"/>
          </w:tcPr>
          <w:p>
            <w:pPr>
              <w:ind w:left="96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r>
        <w:trPr>
          <w:trHeight w:val="180"/>
        </w:trPr>
        <w:tc>
          <w:tcPr>
            <w:tcW w:w="17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800" w:type="dxa"/>
            <w:vAlign w:val="bottom"/>
            <w:gridSpan w:val="2"/>
          </w:tcPr>
          <w:p>
            <w:pPr>
              <w:ind w:left="120"/>
              <w:spacing w:after="0"/>
              <w:rPr>
                <w:sz w:val="20"/>
                <w:szCs w:val="20"/>
                <w:color w:val="auto"/>
              </w:rPr>
            </w:pPr>
            <w:r>
              <w:rPr>
                <w:rFonts w:ascii="Arial" w:cs="Arial" w:eastAsia="Arial" w:hAnsi="Arial"/>
                <w:sz w:val="17"/>
                <w:szCs w:val="17"/>
                <w:color w:val="auto"/>
              </w:rPr>
              <w:t>SEC USE ONLY</w:t>
            </w:r>
          </w:p>
        </w:tc>
        <w:tc>
          <w:tcPr>
            <w:tcW w:w="57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7580" w:type="dxa"/>
            <w:vAlign w:val="bottom"/>
            <w:gridSpan w:val="3"/>
          </w:tcPr>
          <w:p>
            <w:pPr>
              <w:ind w:left="120"/>
              <w:spacing w:after="0"/>
              <w:rPr>
                <w:sz w:val="20"/>
                <w:szCs w:val="20"/>
                <w:color w:val="auto"/>
              </w:rPr>
            </w:pPr>
            <w:r>
              <w:rPr>
                <w:rFonts w:ascii="Arial" w:cs="Arial" w:eastAsia="Arial" w:hAnsi="Arial"/>
                <w:sz w:val="17"/>
                <w:szCs w:val="17"/>
                <w:color w:val="auto"/>
              </w:rPr>
              <w:t>CITIZENSHIP OR PLACE OF ORGANIZATION</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80"/>
              <w:spacing w:after="0"/>
              <w:rPr>
                <w:sz w:val="20"/>
                <w:szCs w:val="20"/>
                <w:color w:val="auto"/>
              </w:rPr>
            </w:pPr>
            <w:r>
              <w:rPr>
                <w:rFonts w:ascii="Arial" w:cs="Arial" w:eastAsia="Arial" w:hAnsi="Arial"/>
                <w:sz w:val="17"/>
                <w:szCs w:val="17"/>
                <w:color w:val="auto"/>
              </w:rPr>
              <w:t>Delaware</w:t>
            </w:r>
          </w:p>
        </w:tc>
        <w:tc>
          <w:tcPr>
            <w:tcW w:w="5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179"/>
        </w:trPr>
        <w:tc>
          <w:tcPr>
            <w:tcW w:w="1740" w:type="dxa"/>
            <w:vAlign w:val="bottom"/>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20" w:type="dxa"/>
            <w:vAlign w:val="bottom"/>
            <w:tcBorders>
              <w:right w:val="single" w:sz="8" w:color="auto"/>
            </w:tcBorders>
          </w:tcPr>
          <w:p>
            <w:pPr>
              <w:ind w:left="820"/>
              <w:spacing w:after="0" w:line="179" w:lineRule="exact"/>
              <w:rPr>
                <w:sz w:val="20"/>
                <w:szCs w:val="20"/>
                <w:color w:val="auto"/>
              </w:rPr>
            </w:pPr>
            <w:r>
              <w:rPr>
                <w:rFonts w:ascii="Arial" w:cs="Arial" w:eastAsia="Arial" w:hAnsi="Arial"/>
                <w:sz w:val="17"/>
                <w:szCs w:val="17"/>
                <w:color w:val="auto"/>
              </w:rPr>
              <w:t>5</w:t>
            </w:r>
          </w:p>
        </w:tc>
        <w:tc>
          <w:tcPr>
            <w:tcW w:w="80" w:type="dxa"/>
            <w:vAlign w:val="bottom"/>
          </w:tcPr>
          <w:p>
            <w:pPr>
              <w:spacing w:after="0"/>
              <w:rPr>
                <w:sz w:val="15"/>
                <w:szCs w:val="15"/>
                <w:color w:val="auto"/>
              </w:rPr>
            </w:pPr>
          </w:p>
        </w:tc>
        <w:tc>
          <w:tcPr>
            <w:tcW w:w="5780" w:type="dxa"/>
            <w:vAlign w:val="bottom"/>
          </w:tcPr>
          <w:p>
            <w:pPr>
              <w:ind w:left="20"/>
              <w:spacing w:after="0" w:line="179" w:lineRule="exact"/>
              <w:rPr>
                <w:sz w:val="20"/>
                <w:szCs w:val="20"/>
                <w:color w:val="auto"/>
              </w:rPr>
            </w:pPr>
            <w:r>
              <w:rPr>
                <w:rFonts w:ascii="Arial" w:cs="Arial" w:eastAsia="Arial" w:hAnsi="Arial"/>
                <w:sz w:val="17"/>
                <w:szCs w:val="17"/>
                <w:color w:val="auto"/>
              </w:rPr>
              <w:t>SOLE VOTING POWER</w:t>
            </w:r>
          </w:p>
        </w:tc>
        <w:tc>
          <w:tcPr>
            <w:tcW w:w="2100" w:type="dxa"/>
            <w:vAlign w:val="bottom"/>
          </w:tcPr>
          <w:p>
            <w:pPr>
              <w:spacing w:after="0"/>
              <w:rPr>
                <w:sz w:val="15"/>
                <w:szCs w:val="15"/>
                <w:color w:val="auto"/>
              </w:rPr>
            </w:pPr>
          </w:p>
        </w:tc>
      </w:tr>
      <w:tr>
        <w:trPr>
          <w:trHeight w:val="198"/>
        </w:trPr>
        <w:tc>
          <w:tcPr>
            <w:tcW w:w="1740" w:type="dxa"/>
            <w:vAlign w:val="bottom"/>
          </w:tcPr>
          <w:p>
            <w:pPr>
              <w:jc w:val="center"/>
              <w:spacing w:after="0"/>
              <w:rPr>
                <w:sz w:val="20"/>
                <w:szCs w:val="20"/>
                <w:color w:val="auto"/>
              </w:rPr>
            </w:pPr>
            <w:r>
              <w:rPr>
                <w:rFonts w:ascii="Arial" w:cs="Arial" w:eastAsia="Arial" w:hAnsi="Arial"/>
                <w:sz w:val="17"/>
                <w:szCs w:val="17"/>
                <w:color w:val="auto"/>
                <w:w w:val="88"/>
              </w:rPr>
              <w:t>SHARES</w:t>
            </w:r>
          </w:p>
        </w:tc>
        <w:tc>
          <w:tcPr>
            <w:tcW w:w="17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98"/>
              </w:rPr>
              <w:t>BENEFICIALLY</w:t>
            </w:r>
          </w:p>
        </w:tc>
        <w:tc>
          <w:tcPr>
            <w:tcW w:w="17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7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tcBorders>
          </w:tcPr>
          <w:p>
            <w:pPr>
              <w:spacing w:after="0"/>
              <w:rPr>
                <w:sz w:val="18"/>
                <w:szCs w:val="18"/>
                <w:color w:val="auto"/>
              </w:rPr>
            </w:pPr>
          </w:p>
        </w:tc>
      </w:tr>
      <w:tr>
        <w:trPr>
          <w:trHeight w:val="180"/>
        </w:trPr>
        <w:tc>
          <w:tcPr>
            <w:tcW w:w="1740" w:type="dxa"/>
            <w:vAlign w:val="bottom"/>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20" w:type="dxa"/>
            <w:vAlign w:val="bottom"/>
            <w:tcBorders>
              <w:right w:val="single" w:sz="8" w:color="auto"/>
            </w:tcBorders>
          </w:tcPr>
          <w:p>
            <w:pPr>
              <w:ind w:left="820"/>
              <w:spacing w:after="0" w:line="180" w:lineRule="exact"/>
              <w:rPr>
                <w:sz w:val="20"/>
                <w:szCs w:val="20"/>
                <w:color w:val="auto"/>
              </w:rPr>
            </w:pPr>
            <w:r>
              <w:rPr>
                <w:rFonts w:ascii="Arial" w:cs="Arial" w:eastAsia="Arial" w:hAnsi="Arial"/>
                <w:sz w:val="17"/>
                <w:szCs w:val="17"/>
                <w:color w:val="auto"/>
              </w:rPr>
              <w:t>6</w:t>
            </w:r>
          </w:p>
        </w:tc>
        <w:tc>
          <w:tcPr>
            <w:tcW w:w="80" w:type="dxa"/>
            <w:vAlign w:val="bottom"/>
          </w:tcPr>
          <w:p>
            <w:pPr>
              <w:spacing w:after="0"/>
              <w:rPr>
                <w:sz w:val="15"/>
                <w:szCs w:val="15"/>
                <w:color w:val="auto"/>
              </w:rPr>
            </w:pPr>
          </w:p>
        </w:tc>
        <w:tc>
          <w:tcPr>
            <w:tcW w:w="5780" w:type="dxa"/>
            <w:vAlign w:val="bottom"/>
          </w:tcPr>
          <w:p>
            <w:pPr>
              <w:ind w:left="20"/>
              <w:spacing w:after="0" w:line="180" w:lineRule="exact"/>
              <w:rPr>
                <w:sz w:val="20"/>
                <w:szCs w:val="20"/>
                <w:color w:val="auto"/>
              </w:rPr>
            </w:pPr>
            <w:r>
              <w:rPr>
                <w:rFonts w:ascii="Arial" w:cs="Arial" w:eastAsia="Arial" w:hAnsi="Arial"/>
                <w:sz w:val="17"/>
                <w:szCs w:val="17"/>
                <w:color w:val="auto"/>
              </w:rPr>
              <w:t>SHARED VOTING POWER</w:t>
            </w:r>
          </w:p>
        </w:tc>
        <w:tc>
          <w:tcPr>
            <w:tcW w:w="2100" w:type="dxa"/>
            <w:vAlign w:val="bottom"/>
          </w:tcPr>
          <w:p>
            <w:pPr>
              <w:spacing w:after="0"/>
              <w:rPr>
                <w:sz w:val="15"/>
                <w:szCs w:val="15"/>
                <w:color w:val="auto"/>
              </w:rPr>
            </w:pPr>
          </w:p>
        </w:tc>
      </w:tr>
      <w:tr>
        <w:trPr>
          <w:trHeight w:val="198"/>
        </w:trPr>
        <w:tc>
          <w:tcPr>
            <w:tcW w:w="1740" w:type="dxa"/>
            <w:vAlign w:val="bottom"/>
          </w:tcPr>
          <w:p>
            <w:pPr>
              <w:jc w:val="center"/>
              <w:spacing w:after="0"/>
              <w:rPr>
                <w:sz w:val="20"/>
                <w:szCs w:val="20"/>
                <w:color w:val="auto"/>
              </w:rPr>
            </w:pPr>
            <w:r>
              <w:rPr>
                <w:rFonts w:ascii="Arial" w:cs="Arial" w:eastAsia="Arial" w:hAnsi="Arial"/>
                <w:sz w:val="17"/>
                <w:szCs w:val="17"/>
                <w:color w:val="auto"/>
                <w:w w:val="97"/>
              </w:rPr>
              <w:t>EACH</w:t>
            </w:r>
          </w:p>
        </w:tc>
        <w:tc>
          <w:tcPr>
            <w:tcW w:w="17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89"/>
              </w:rPr>
              <w:t>REPORTING</w:t>
            </w:r>
          </w:p>
        </w:tc>
        <w:tc>
          <w:tcPr>
            <w:tcW w:w="17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7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1,928,546</w:t>
            </w:r>
          </w:p>
        </w:tc>
        <w:tc>
          <w:tcPr>
            <w:tcW w:w="2100" w:type="dxa"/>
            <w:vAlign w:val="bottom"/>
            <w:tcBorders>
              <w:bottom w:val="single" w:sz="8" w:color="auto"/>
            </w:tcBorders>
          </w:tcPr>
          <w:p>
            <w:pPr>
              <w:spacing w:after="0"/>
              <w:rPr>
                <w:sz w:val="18"/>
                <w:szCs w:val="18"/>
                <w:color w:val="auto"/>
              </w:rPr>
            </w:pPr>
          </w:p>
        </w:tc>
      </w:tr>
      <w:tr>
        <w:trPr>
          <w:trHeight w:val="203"/>
        </w:trPr>
        <w:tc>
          <w:tcPr>
            <w:tcW w:w="1740" w:type="dxa"/>
            <w:vAlign w:val="bottom"/>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7"/>
                <w:szCs w:val="17"/>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SOLE DISPOSITIVE POWER</w:t>
            </w:r>
          </w:p>
        </w:tc>
        <w:tc>
          <w:tcPr>
            <w:tcW w:w="2100" w:type="dxa"/>
            <w:vAlign w:val="bottom"/>
          </w:tcPr>
          <w:p>
            <w:pPr>
              <w:spacing w:after="0"/>
              <w:rPr>
                <w:sz w:val="17"/>
                <w:szCs w:val="17"/>
                <w:color w:val="auto"/>
              </w:rPr>
            </w:pPr>
          </w:p>
        </w:tc>
      </w:tr>
      <w:tr>
        <w:trPr>
          <w:trHeight w:val="385"/>
        </w:trPr>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spacing w:after="0"/>
              <w:rPr>
                <w:sz w:val="17"/>
                <w:szCs w:val="17"/>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7"/>
                <w:szCs w:val="17"/>
                <w:color w:val="auto"/>
              </w:rPr>
            </w:pPr>
          </w:p>
        </w:tc>
        <w:tc>
          <w:tcPr>
            <w:tcW w:w="5780" w:type="dxa"/>
            <w:vAlign w:val="bottom"/>
          </w:tcPr>
          <w:p>
            <w:pPr>
              <w:ind w:left="20"/>
              <w:spacing w:after="0"/>
              <w:rPr>
                <w:sz w:val="20"/>
                <w:szCs w:val="20"/>
                <w:color w:val="auto"/>
              </w:rPr>
            </w:pPr>
            <w:r>
              <w:rPr>
                <w:rFonts w:ascii="Arial" w:cs="Arial" w:eastAsia="Arial" w:hAnsi="Arial"/>
                <w:sz w:val="17"/>
                <w:szCs w:val="17"/>
                <w:color w:val="auto"/>
              </w:rPr>
              <w:t>SHARED DISPOSITIVE POWER</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1,928,546</w:t>
            </w:r>
          </w:p>
        </w:tc>
        <w:tc>
          <w:tcPr>
            <w:tcW w:w="210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1720" w:type="dxa"/>
            <w:vAlign w:val="bottom"/>
          </w:tcPr>
          <w:p>
            <w:pPr>
              <w:ind w:left="120"/>
              <w:spacing w:after="0"/>
              <w:rPr>
                <w:sz w:val="20"/>
                <w:szCs w:val="20"/>
                <w:color w:val="auto"/>
              </w:rPr>
            </w:pPr>
            <w:r>
              <w:rPr>
                <w:rFonts w:ascii="Arial" w:cs="Arial" w:eastAsia="Arial" w:hAnsi="Arial"/>
                <w:sz w:val="17"/>
                <w:szCs w:val="17"/>
                <w:color w:val="auto"/>
                <w:w w:val="83"/>
              </w:rPr>
              <w:t>AGGREGATE AMOUNT</w:t>
            </w: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10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1,928,546</w:t>
            </w:r>
          </w:p>
        </w:tc>
        <w:tc>
          <w:tcPr>
            <w:tcW w:w="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52"/>
        </w:trPr>
        <w:tc>
          <w:tcPr>
            <w:tcW w:w="174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7580" w:type="dxa"/>
            <w:vAlign w:val="bottom"/>
            <w:gridSpan w:val="3"/>
          </w:tcPr>
          <w:p>
            <w:pPr>
              <w:ind w:left="12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100" w:type="dxa"/>
            <w:vAlign w:val="bottom"/>
          </w:tcPr>
          <w:p>
            <w:pPr>
              <w:ind w:left="114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4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gridSpan w:val="3"/>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11</w:t>
            </w:r>
          </w:p>
        </w:tc>
        <w:tc>
          <w:tcPr>
            <w:tcW w:w="7580" w:type="dxa"/>
            <w:vAlign w:val="bottom"/>
            <w:gridSpan w:val="3"/>
          </w:tcPr>
          <w:p>
            <w:pPr>
              <w:ind w:left="120"/>
              <w:spacing w:after="0"/>
              <w:rPr>
                <w:sz w:val="20"/>
                <w:szCs w:val="20"/>
                <w:color w:val="auto"/>
              </w:rPr>
            </w:pPr>
            <w:r>
              <w:rPr>
                <w:rFonts w:ascii="Arial" w:cs="Arial" w:eastAsia="Arial" w:hAnsi="Arial"/>
                <w:sz w:val="17"/>
                <w:szCs w:val="17"/>
                <w:color w:val="auto"/>
              </w:rPr>
              <w:t>PERCENT OF CLASS REPRESENTED BY AMOUNT IN ROW (9)</w:t>
            </w:r>
          </w:p>
        </w:tc>
        <w:tc>
          <w:tcPr>
            <w:tcW w:w="2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-3992880</wp:posOffset>
            </wp:positionV>
            <wp:extent cx="3619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155"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4.9%</w:t>
      </w:r>
    </w:p>
    <w:p>
      <w:pPr>
        <w:spacing w:after="0" w:line="15" w:lineRule="exact"/>
        <w:rPr>
          <w:sz w:val="20"/>
          <w:szCs w:val="20"/>
          <w:color w:val="auto"/>
        </w:rPr>
      </w:pPr>
    </w:p>
    <w:p>
      <w:pPr>
        <w:ind w:left="2320" w:right="7260" w:hanging="1531"/>
        <w:spacing w:after="0" w:line="503" w:lineRule="auto"/>
        <w:tabs>
          <w:tab w:leader="none" w:pos="1866"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-519430</wp:posOffset>
            </wp:positionV>
            <wp:extent cx="3619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9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-260350</wp:posOffset>
            </wp:positionV>
            <wp:extent cx="7620" cy="149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-260350</wp:posOffset>
            </wp:positionV>
            <wp:extent cx="7620" cy="149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1108075</wp:posOffset>
            </wp:positionH>
            <wp:positionV relativeFrom="paragraph">
              <wp:posOffset>-260350</wp:posOffset>
            </wp:positionV>
            <wp:extent cx="7620" cy="149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6895465</wp:posOffset>
            </wp:positionH>
            <wp:positionV relativeFrom="paragraph">
              <wp:posOffset>-260350</wp:posOffset>
            </wp:positionV>
            <wp:extent cx="361950" cy="149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950" cy="14922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580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212090</wp:posOffset>
            </wp:positionV>
            <wp:extent cx="36195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339" w:lineRule="exact"/>
        <w:rPr>
          <w:sz w:val="20"/>
          <w:szCs w:val="20"/>
          <w:color w:val="auto"/>
        </w:rPr>
      </w:pPr>
    </w:p>
    <w:p>
      <w:pPr>
        <w:ind w:left="1860" w:hanging="1029"/>
        <w:spacing w:after="0"/>
        <w:tabs>
          <w:tab w:leader="none" w:pos="1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-123190</wp:posOffset>
            </wp:positionV>
            <wp:extent cx="3619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Borders>
              <w:bottom w:val="single" w:sz="8" w:color="auto"/>
            </w:tcBorders>
          </w:tcPr>
          <w:p>
            <w:pPr>
              <w:spacing w:after="0"/>
              <w:rPr>
                <w:sz w:val="18"/>
                <w:szCs w:val="18"/>
                <w:color w:val="auto"/>
              </w:rPr>
            </w:pPr>
          </w:p>
        </w:tc>
        <w:tc>
          <w:tcPr>
            <w:tcW w:w="69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BVF Inc.</w:t>
            </w:r>
          </w:p>
        </w:tc>
        <w:tc>
          <w:tcPr>
            <w:tcW w:w="3060" w:type="dxa"/>
            <w:vAlign w:val="bottom"/>
            <w:tcBorders>
              <w:bottom w:val="single" w:sz="8" w:color="auto"/>
            </w:tcBorders>
          </w:tcPr>
          <w:p>
            <w:pPr>
              <w:spacing w:after="0"/>
              <w:rPr>
                <w:sz w:val="18"/>
                <w:szCs w:val="18"/>
                <w:color w:val="auto"/>
              </w:rPr>
            </w:pPr>
          </w:p>
        </w:tc>
      </w:tr>
      <w:tr>
        <w:trPr>
          <w:trHeight w:val="149"/>
        </w:trPr>
        <w:tc>
          <w:tcPr>
            <w:tcW w:w="1380" w:type="dxa"/>
            <w:vAlign w:val="bottom"/>
          </w:tcPr>
          <w:p>
            <w:pPr>
              <w:jc w:val="right"/>
              <w:ind w:right="377"/>
              <w:spacing w:after="0" w:line="149" w:lineRule="exact"/>
              <w:rPr>
                <w:sz w:val="20"/>
                <w:szCs w:val="20"/>
                <w:color w:val="auto"/>
              </w:rPr>
            </w:pPr>
            <w:r>
              <w:rPr>
                <w:rFonts w:ascii="Arial" w:cs="Arial" w:eastAsia="Arial" w:hAnsi="Arial"/>
                <w:sz w:val="17"/>
                <w:szCs w:val="17"/>
                <w:color w:val="auto"/>
              </w:rPr>
              <w:t>2</w:t>
            </w:r>
          </w:p>
        </w:tc>
        <w:tc>
          <w:tcPr>
            <w:tcW w:w="6980" w:type="dxa"/>
            <w:vAlign w:val="bottom"/>
          </w:tcPr>
          <w:p>
            <w:pPr>
              <w:ind w:left="480"/>
              <w:spacing w:after="0" w:line="149" w:lineRule="exact"/>
              <w:rPr>
                <w:sz w:val="20"/>
                <w:szCs w:val="20"/>
                <w:color w:val="auto"/>
              </w:rPr>
            </w:pPr>
            <w:r>
              <w:rPr>
                <w:rFonts w:ascii="Arial" w:cs="Arial" w:eastAsia="Arial" w:hAnsi="Arial"/>
                <w:sz w:val="17"/>
                <w:szCs w:val="17"/>
                <w:color w:val="auto"/>
              </w:rPr>
              <w:t>CHECK THE APPROPRIATE BOX IF A MEMBER OF A GROUP</w:t>
            </w:r>
          </w:p>
        </w:tc>
        <w:tc>
          <w:tcPr>
            <w:tcW w:w="3060" w:type="dxa"/>
            <w:vAlign w:val="bottom"/>
          </w:tcPr>
          <w:p>
            <w:pPr>
              <w:ind w:left="1920"/>
              <w:spacing w:after="0" w:line="149"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38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3060" w:type="dxa"/>
            <w:vAlign w:val="bottom"/>
          </w:tcPr>
          <w:p>
            <w:pPr>
              <w:ind w:left="192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bl>
    <w:p>
      <w:pPr>
        <w:spacing w:after="0" w:line="180" w:lineRule="exact"/>
        <w:rPr>
          <w:sz w:val="20"/>
          <w:szCs w:val="20"/>
          <w:color w:val="auto"/>
        </w:rPr>
      </w:pPr>
    </w:p>
    <w:p>
      <w:pPr>
        <w:ind w:left="1860" w:hanging="1029"/>
        <w:spacing w:after="0"/>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-123190</wp:posOffset>
            </wp:positionV>
            <wp:extent cx="3619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391" w:lineRule="exact"/>
        <w:rPr>
          <w:sz w:val="20"/>
          <w:szCs w:val="20"/>
          <w:color w:val="auto"/>
        </w:rPr>
      </w:pPr>
    </w:p>
    <w:p>
      <w:pPr>
        <w:ind w:left="1860" w:hanging="1029"/>
        <w:spacing w:after="0"/>
        <w:tabs>
          <w:tab w:leader="none" w:pos="1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-123190</wp:posOffset>
            </wp:positionV>
            <wp:extent cx="36195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950" cy="762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Delaware</w:t>
            </w:r>
          </w:p>
        </w:tc>
        <w:tc>
          <w:tcPr>
            <w:tcW w:w="59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r>
      <w:tr>
        <w:trPr>
          <w:trHeight w:val="179"/>
        </w:trPr>
        <w:tc>
          <w:tcPr>
            <w:tcW w:w="1740" w:type="dxa"/>
            <w:vAlign w:val="bottom"/>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20" w:type="dxa"/>
            <w:vAlign w:val="bottom"/>
            <w:tcBorders>
              <w:right w:val="single" w:sz="8" w:color="auto"/>
            </w:tcBorders>
          </w:tcPr>
          <w:p>
            <w:pPr>
              <w:jc w:val="right"/>
              <w:ind w:right="737"/>
              <w:spacing w:after="0" w:line="179" w:lineRule="exact"/>
              <w:rPr>
                <w:sz w:val="20"/>
                <w:szCs w:val="20"/>
                <w:color w:val="auto"/>
              </w:rPr>
            </w:pPr>
            <w:r>
              <w:rPr>
                <w:rFonts w:ascii="Arial" w:cs="Arial" w:eastAsia="Arial" w:hAnsi="Arial"/>
                <w:sz w:val="17"/>
                <w:szCs w:val="17"/>
                <w:color w:val="auto"/>
              </w:rPr>
              <w:t>5</w:t>
            </w:r>
          </w:p>
        </w:tc>
        <w:tc>
          <w:tcPr>
            <w:tcW w:w="5940" w:type="dxa"/>
            <w:vAlign w:val="bottom"/>
          </w:tcPr>
          <w:p>
            <w:pPr>
              <w:ind w:left="100"/>
              <w:spacing w:after="0" w:line="179" w:lineRule="exact"/>
              <w:rPr>
                <w:sz w:val="20"/>
                <w:szCs w:val="20"/>
                <w:color w:val="auto"/>
              </w:rPr>
            </w:pPr>
            <w:r>
              <w:rPr>
                <w:rFonts w:ascii="Arial" w:cs="Arial" w:eastAsia="Arial" w:hAnsi="Arial"/>
                <w:sz w:val="17"/>
                <w:szCs w:val="17"/>
                <w:color w:val="auto"/>
              </w:rPr>
              <w:t>SOLE VOTING POWER</w:t>
            </w:r>
          </w:p>
        </w:tc>
        <w:tc>
          <w:tcPr>
            <w:tcW w:w="2020" w:type="dxa"/>
            <w:vAlign w:val="bottom"/>
          </w:tcPr>
          <w:p>
            <w:pPr>
              <w:spacing w:after="0"/>
              <w:rPr>
                <w:sz w:val="15"/>
                <w:szCs w:val="15"/>
                <w:color w:val="auto"/>
              </w:rPr>
            </w:pPr>
          </w:p>
        </w:tc>
      </w:tr>
      <w:tr>
        <w:trPr>
          <w:trHeight w:val="198"/>
        </w:trPr>
        <w:tc>
          <w:tcPr>
            <w:tcW w:w="1740" w:type="dxa"/>
            <w:vAlign w:val="bottom"/>
          </w:tcPr>
          <w:p>
            <w:pPr>
              <w:jc w:val="center"/>
              <w:spacing w:after="0"/>
              <w:rPr>
                <w:sz w:val="20"/>
                <w:szCs w:val="20"/>
                <w:color w:val="auto"/>
              </w:rPr>
            </w:pPr>
            <w:r>
              <w:rPr>
                <w:rFonts w:ascii="Arial" w:cs="Arial" w:eastAsia="Arial" w:hAnsi="Arial"/>
                <w:sz w:val="17"/>
                <w:szCs w:val="17"/>
                <w:color w:val="auto"/>
                <w:w w:val="88"/>
              </w:rPr>
              <w:t>SHARES</w:t>
            </w:r>
          </w:p>
        </w:tc>
        <w:tc>
          <w:tcPr>
            <w:tcW w:w="1720" w:type="dxa"/>
            <w:vAlign w:val="bottom"/>
            <w:tcBorders>
              <w:right w:val="single" w:sz="8" w:color="auto"/>
            </w:tcBorders>
          </w:tcPr>
          <w:p>
            <w:pPr>
              <w:spacing w:after="0"/>
              <w:rPr>
                <w:sz w:val="17"/>
                <w:szCs w:val="17"/>
                <w:color w:val="auto"/>
              </w:rPr>
            </w:pPr>
          </w:p>
        </w:tc>
        <w:tc>
          <w:tcPr>
            <w:tcW w:w="59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98"/>
              </w:rPr>
              <w:t>BENEFICIALLY</w:t>
            </w:r>
          </w:p>
        </w:tc>
        <w:tc>
          <w:tcPr>
            <w:tcW w:w="1720" w:type="dxa"/>
            <w:vAlign w:val="bottom"/>
            <w:tcBorders>
              <w:bottom w:val="single" w:sz="8" w:color="auto"/>
              <w:right w:val="single" w:sz="8" w:color="auto"/>
            </w:tcBorders>
          </w:tcPr>
          <w:p>
            <w:pPr>
              <w:spacing w:after="0"/>
              <w:rPr>
                <w:sz w:val="18"/>
                <w:szCs w:val="18"/>
                <w:color w:val="auto"/>
              </w:rPr>
            </w:pPr>
          </w:p>
        </w:tc>
        <w:tc>
          <w:tcPr>
            <w:tcW w:w="59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020" w:type="dxa"/>
            <w:vAlign w:val="bottom"/>
            <w:tcBorders>
              <w:bottom w:val="single" w:sz="8" w:color="auto"/>
            </w:tcBorders>
          </w:tcPr>
          <w:p>
            <w:pPr>
              <w:spacing w:after="0"/>
              <w:rPr>
                <w:sz w:val="18"/>
                <w:szCs w:val="18"/>
                <w:color w:val="auto"/>
              </w:rPr>
            </w:pPr>
          </w:p>
        </w:tc>
      </w:tr>
      <w:tr>
        <w:trPr>
          <w:trHeight w:val="180"/>
        </w:trPr>
        <w:tc>
          <w:tcPr>
            <w:tcW w:w="1740" w:type="dxa"/>
            <w:vAlign w:val="bottom"/>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20" w:type="dxa"/>
            <w:vAlign w:val="bottom"/>
            <w:tcBorders>
              <w:right w:val="single" w:sz="8" w:color="auto"/>
            </w:tcBorders>
          </w:tcPr>
          <w:p>
            <w:pPr>
              <w:jc w:val="right"/>
              <w:ind w:right="737"/>
              <w:spacing w:after="0" w:line="180" w:lineRule="exact"/>
              <w:rPr>
                <w:sz w:val="20"/>
                <w:szCs w:val="20"/>
                <w:color w:val="auto"/>
              </w:rPr>
            </w:pPr>
            <w:r>
              <w:rPr>
                <w:rFonts w:ascii="Arial" w:cs="Arial" w:eastAsia="Arial" w:hAnsi="Arial"/>
                <w:sz w:val="17"/>
                <w:szCs w:val="17"/>
                <w:color w:val="auto"/>
              </w:rPr>
              <w:t>6</w:t>
            </w:r>
          </w:p>
        </w:tc>
        <w:tc>
          <w:tcPr>
            <w:tcW w:w="5940" w:type="dxa"/>
            <w:vAlign w:val="bottom"/>
          </w:tcPr>
          <w:p>
            <w:pPr>
              <w:ind w:left="100"/>
              <w:spacing w:after="0" w:line="180" w:lineRule="exact"/>
              <w:rPr>
                <w:sz w:val="20"/>
                <w:szCs w:val="20"/>
                <w:color w:val="auto"/>
              </w:rPr>
            </w:pPr>
            <w:r>
              <w:rPr>
                <w:rFonts w:ascii="Arial" w:cs="Arial" w:eastAsia="Arial" w:hAnsi="Arial"/>
                <w:sz w:val="17"/>
                <w:szCs w:val="17"/>
                <w:color w:val="auto"/>
              </w:rPr>
              <w:t>SHARED VOTING POWER</w:t>
            </w:r>
          </w:p>
        </w:tc>
        <w:tc>
          <w:tcPr>
            <w:tcW w:w="2020" w:type="dxa"/>
            <w:vAlign w:val="bottom"/>
          </w:tcPr>
          <w:p>
            <w:pPr>
              <w:spacing w:after="0"/>
              <w:rPr>
                <w:sz w:val="15"/>
                <w:szCs w:val="15"/>
                <w:color w:val="auto"/>
              </w:rPr>
            </w:pPr>
          </w:p>
        </w:tc>
      </w:tr>
      <w:tr>
        <w:trPr>
          <w:trHeight w:val="198"/>
        </w:trPr>
        <w:tc>
          <w:tcPr>
            <w:tcW w:w="1740" w:type="dxa"/>
            <w:vAlign w:val="bottom"/>
          </w:tcPr>
          <w:p>
            <w:pPr>
              <w:jc w:val="center"/>
              <w:spacing w:after="0"/>
              <w:rPr>
                <w:sz w:val="20"/>
                <w:szCs w:val="20"/>
                <w:color w:val="auto"/>
              </w:rPr>
            </w:pPr>
            <w:r>
              <w:rPr>
                <w:rFonts w:ascii="Arial" w:cs="Arial" w:eastAsia="Arial" w:hAnsi="Arial"/>
                <w:sz w:val="17"/>
                <w:szCs w:val="17"/>
                <w:color w:val="auto"/>
                <w:w w:val="97"/>
              </w:rPr>
              <w:t>EACH</w:t>
            </w:r>
          </w:p>
        </w:tc>
        <w:tc>
          <w:tcPr>
            <w:tcW w:w="1720" w:type="dxa"/>
            <w:vAlign w:val="bottom"/>
            <w:tcBorders>
              <w:right w:val="single" w:sz="8" w:color="auto"/>
            </w:tcBorders>
          </w:tcPr>
          <w:p>
            <w:pPr>
              <w:spacing w:after="0"/>
              <w:rPr>
                <w:sz w:val="17"/>
                <w:szCs w:val="17"/>
                <w:color w:val="auto"/>
              </w:rPr>
            </w:pPr>
          </w:p>
        </w:tc>
        <w:tc>
          <w:tcPr>
            <w:tcW w:w="59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9"/>
        </w:trPr>
        <w:tc>
          <w:tcPr>
            <w:tcW w:w="1740" w:type="dxa"/>
            <w:vAlign w:val="bottom"/>
          </w:tcPr>
          <w:p>
            <w:pPr>
              <w:jc w:val="center"/>
              <w:spacing w:after="0"/>
              <w:rPr>
                <w:sz w:val="20"/>
                <w:szCs w:val="20"/>
                <w:color w:val="auto"/>
              </w:rPr>
            </w:pPr>
            <w:r>
              <w:rPr>
                <w:rFonts w:ascii="Arial" w:cs="Arial" w:eastAsia="Arial" w:hAnsi="Arial"/>
                <w:sz w:val="17"/>
                <w:szCs w:val="17"/>
                <w:color w:val="auto"/>
                <w:w w:val="89"/>
              </w:rPr>
              <w:t>REPORTING</w:t>
            </w:r>
          </w:p>
        </w:tc>
        <w:tc>
          <w:tcPr>
            <w:tcW w:w="1720" w:type="dxa"/>
            <w:vAlign w:val="bottom"/>
            <w:tcBorders>
              <w:bottom w:val="single" w:sz="8" w:color="auto"/>
              <w:right w:val="single" w:sz="8" w:color="auto"/>
            </w:tcBorders>
          </w:tcPr>
          <w:p>
            <w:pPr>
              <w:spacing w:after="0"/>
              <w:rPr>
                <w:sz w:val="18"/>
                <w:szCs w:val="18"/>
                <w:color w:val="auto"/>
              </w:rPr>
            </w:pPr>
          </w:p>
        </w:tc>
        <w:tc>
          <w:tcPr>
            <w:tcW w:w="59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1,928,546</w:t>
            </w:r>
          </w:p>
        </w:tc>
        <w:tc>
          <w:tcPr>
            <w:tcW w:w="2020" w:type="dxa"/>
            <w:vAlign w:val="bottom"/>
            <w:tcBorders>
              <w:bottom w:val="single" w:sz="8" w:color="auto"/>
            </w:tcBorders>
          </w:tcPr>
          <w:p>
            <w:pPr>
              <w:spacing w:after="0"/>
              <w:rPr>
                <w:sz w:val="18"/>
                <w:szCs w:val="18"/>
                <w:color w:val="auto"/>
              </w:rPr>
            </w:pPr>
          </w:p>
        </w:tc>
      </w:tr>
      <w:tr>
        <w:trPr>
          <w:trHeight w:val="203"/>
        </w:trPr>
        <w:tc>
          <w:tcPr>
            <w:tcW w:w="1740" w:type="dxa"/>
            <w:vAlign w:val="bottom"/>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20" w:type="dxa"/>
            <w:vAlign w:val="bottom"/>
            <w:tcBorders>
              <w:right w:val="single" w:sz="8" w:color="auto"/>
            </w:tcBorders>
          </w:tcPr>
          <w:p>
            <w:pPr>
              <w:jc w:val="right"/>
              <w:ind w:right="737"/>
              <w:spacing w:after="0"/>
              <w:rPr>
                <w:sz w:val="20"/>
                <w:szCs w:val="20"/>
                <w:color w:val="auto"/>
              </w:rPr>
            </w:pPr>
            <w:r>
              <w:rPr>
                <w:rFonts w:ascii="Arial" w:cs="Arial" w:eastAsia="Arial" w:hAnsi="Arial"/>
                <w:sz w:val="17"/>
                <w:szCs w:val="17"/>
                <w:color w:val="auto"/>
              </w:rPr>
              <w:t>7</w:t>
            </w:r>
          </w:p>
        </w:tc>
        <w:tc>
          <w:tcPr>
            <w:tcW w:w="594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2020" w:type="dxa"/>
            <w:vAlign w:val="bottom"/>
          </w:tcPr>
          <w:p>
            <w:pPr>
              <w:spacing w:after="0"/>
              <w:rPr>
                <w:sz w:val="17"/>
                <w:szCs w:val="17"/>
                <w:color w:val="auto"/>
              </w:rPr>
            </w:pPr>
          </w:p>
        </w:tc>
      </w:tr>
      <w:tr>
        <w:trPr>
          <w:trHeight w:val="385"/>
        </w:trPr>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0 shares</w:t>
            </w:r>
          </w:p>
        </w:tc>
        <w:tc>
          <w:tcPr>
            <w:tcW w:w="202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spacing w:after="0"/>
              <w:rPr>
                <w:sz w:val="17"/>
                <w:szCs w:val="17"/>
                <w:color w:val="auto"/>
              </w:rPr>
            </w:pPr>
          </w:p>
        </w:tc>
        <w:tc>
          <w:tcPr>
            <w:tcW w:w="1720" w:type="dxa"/>
            <w:vAlign w:val="bottom"/>
            <w:tcBorders>
              <w:right w:val="single" w:sz="8" w:color="auto"/>
            </w:tcBorders>
          </w:tcPr>
          <w:p>
            <w:pPr>
              <w:jc w:val="right"/>
              <w:ind w:right="737"/>
              <w:spacing w:after="0"/>
              <w:rPr>
                <w:sz w:val="20"/>
                <w:szCs w:val="20"/>
                <w:color w:val="auto"/>
              </w:rPr>
            </w:pPr>
            <w:r>
              <w:rPr>
                <w:rFonts w:ascii="Arial" w:cs="Arial" w:eastAsia="Arial" w:hAnsi="Arial"/>
                <w:sz w:val="17"/>
                <w:szCs w:val="17"/>
                <w:color w:val="auto"/>
              </w:rPr>
              <w:t>8</w:t>
            </w:r>
          </w:p>
        </w:tc>
        <w:tc>
          <w:tcPr>
            <w:tcW w:w="594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202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1,928,546</w:t>
            </w:r>
          </w:p>
        </w:tc>
        <w:tc>
          <w:tcPr>
            <w:tcW w:w="2020" w:type="dxa"/>
            <w:vAlign w:val="bottom"/>
            <w:tcBorders>
              <w:bottom w:val="single" w:sz="8" w:color="auto"/>
            </w:tcBorders>
          </w:tcPr>
          <w:p>
            <w:pPr>
              <w:spacing w:after="0"/>
              <w:rPr>
                <w:sz w:val="24"/>
                <w:szCs w:val="24"/>
                <w:color w:val="auto"/>
              </w:rPr>
            </w:pPr>
          </w:p>
        </w:tc>
      </w:tr>
      <w:tr>
        <w:trPr>
          <w:trHeight w:val="202"/>
        </w:trPr>
        <w:tc>
          <w:tcPr>
            <w:tcW w:w="174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1720" w:type="dxa"/>
            <w:vAlign w:val="bottom"/>
          </w:tcPr>
          <w:p>
            <w:pPr>
              <w:ind w:left="120"/>
              <w:spacing w:after="0"/>
              <w:rPr>
                <w:sz w:val="20"/>
                <w:szCs w:val="20"/>
                <w:color w:val="auto"/>
              </w:rPr>
            </w:pPr>
            <w:r>
              <w:rPr>
                <w:rFonts w:ascii="Arial" w:cs="Arial" w:eastAsia="Arial" w:hAnsi="Arial"/>
                <w:sz w:val="17"/>
                <w:szCs w:val="17"/>
                <w:color w:val="auto"/>
                <w:w w:val="83"/>
              </w:rPr>
              <w:t>AGGREGATE AMOUNT</w:t>
            </w:r>
          </w:p>
        </w:tc>
        <w:tc>
          <w:tcPr>
            <w:tcW w:w="5940" w:type="dxa"/>
            <w:vAlign w:val="bottom"/>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020" w:type="dxa"/>
            <w:vAlign w:val="bottom"/>
          </w:tcPr>
          <w:p>
            <w:pPr>
              <w:spacing w:after="0"/>
              <w:rPr>
                <w:sz w:val="17"/>
                <w:szCs w:val="17"/>
                <w:color w:val="auto"/>
              </w:rPr>
            </w:pPr>
          </w:p>
        </w:tc>
      </w:tr>
      <w:tr>
        <w:trPr>
          <w:trHeight w:val="385"/>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1,928,546</w:t>
            </w:r>
          </w:p>
        </w:tc>
        <w:tc>
          <w:tcPr>
            <w:tcW w:w="59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52"/>
        </w:trPr>
        <w:tc>
          <w:tcPr>
            <w:tcW w:w="174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020" w:type="dxa"/>
            <w:vAlign w:val="bottom"/>
          </w:tcPr>
          <w:p>
            <w:pPr>
              <w:ind w:left="106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gridSpan w:val="2"/>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01"/>
        </w:trPr>
        <w:tc>
          <w:tcPr>
            <w:tcW w:w="1740" w:type="dxa"/>
            <w:vAlign w:val="bottom"/>
          </w:tcPr>
          <w:p>
            <w:pPr>
              <w:jc w:val="center"/>
              <w:spacing w:after="0"/>
              <w:rPr>
                <w:sz w:val="20"/>
                <w:szCs w:val="20"/>
                <w:color w:val="auto"/>
              </w:rPr>
            </w:pPr>
            <w:r>
              <w:rPr>
                <w:rFonts w:ascii="Arial" w:cs="Arial" w:eastAsia="Arial" w:hAnsi="Arial"/>
                <w:sz w:val="17"/>
                <w:szCs w:val="17"/>
                <w:color w:val="auto"/>
                <w:w w:val="84"/>
              </w:rPr>
              <w:t>11</w:t>
            </w: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PERCENT OF CLASS REPRESENTED BY AMOUNT IN ROW (9)</w:t>
            </w:r>
          </w:p>
        </w:tc>
        <w:tc>
          <w:tcPr>
            <w:tcW w:w="2020" w:type="dxa"/>
            <w:vAlign w:val="bottom"/>
          </w:tcPr>
          <w:p>
            <w:pPr>
              <w:spacing w:after="0"/>
              <w:rPr>
                <w:sz w:val="17"/>
                <w:szCs w:val="17"/>
                <w:color w:val="auto"/>
              </w:rPr>
            </w:pPr>
          </w:p>
        </w:tc>
      </w:tr>
    </w:tbl>
    <w:p>
      <w:pPr>
        <w:spacing w:after="0" w:line="175"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4.9%</w:t>
      </w:r>
    </w:p>
    <w:p>
      <w:pPr>
        <w:spacing w:after="0" w:line="15" w:lineRule="exact"/>
        <w:rPr>
          <w:sz w:val="20"/>
          <w:szCs w:val="20"/>
          <w:color w:val="auto"/>
        </w:rPr>
      </w:pPr>
    </w:p>
    <w:p>
      <w:pPr>
        <w:ind w:left="2320" w:right="7260" w:hanging="1531"/>
        <w:spacing w:after="0" w:line="503" w:lineRule="auto"/>
        <w:tabs>
          <w:tab w:leader="none" w:pos="186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6895465</wp:posOffset>
            </wp:positionH>
            <wp:positionV relativeFrom="paragraph">
              <wp:posOffset>-519430</wp:posOffset>
            </wp:positionV>
            <wp:extent cx="36195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9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-260350</wp:posOffset>
            </wp:positionV>
            <wp:extent cx="7620" cy="149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-260350</wp:posOffset>
            </wp:positionV>
            <wp:extent cx="7620" cy="149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1108075</wp:posOffset>
            </wp:positionH>
            <wp:positionV relativeFrom="paragraph">
              <wp:posOffset>-260350</wp:posOffset>
            </wp:positionV>
            <wp:extent cx="7620" cy="149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0" cy="149225"/>
                    </a:xfrm>
                    <a:prstGeom prst="rect">
                      <a:avLst/>
                    </a:prstGeom>
                    <a:noFill/>
                  </pic:spPr>
                </pic:pic>
              </a:graphicData>
            </a:graphic>
          </wp:anchor>
        </w:drawing>
        <w:drawing>
          <wp:anchor simplePos="0" relativeHeight="251657728" behindDoc="1" locked="0" layoutInCell="0" allowOverlap="1">
            <wp:simplePos x="0" y="0"/>
            <wp:positionH relativeFrom="column">
              <wp:posOffset>6895465</wp:posOffset>
            </wp:positionH>
            <wp:positionV relativeFrom="paragraph">
              <wp:posOffset>-260350</wp:posOffset>
            </wp:positionV>
            <wp:extent cx="361950" cy="149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950" cy="14922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580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CUSIP No. 09627Y109</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7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580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right w:val="single" w:sz="8" w:color="auto"/>
            </w:tcBorders>
          </w:tcPr>
          <w:p>
            <w:pPr>
              <w:spacing w:after="0"/>
              <w:rPr>
                <w:sz w:val="3"/>
                <w:szCs w:val="3"/>
                <w:color w:val="auto"/>
              </w:rPr>
            </w:pPr>
          </w:p>
        </w:tc>
      </w:tr>
      <w:tr>
        <w:trPr>
          <w:trHeight w:val="186"/>
        </w:trPr>
        <w:tc>
          <w:tcPr>
            <w:tcW w:w="1760" w:type="dxa"/>
            <w:vAlign w:val="bottom"/>
            <w:tcBorders>
              <w:left w:val="single" w:sz="8" w:color="auto"/>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1</w:t>
            </w:r>
          </w:p>
        </w:tc>
        <w:tc>
          <w:tcPr>
            <w:tcW w:w="7560" w:type="dxa"/>
            <w:vAlign w:val="bottom"/>
            <w:gridSpan w:val="3"/>
          </w:tcPr>
          <w:p>
            <w:pPr>
              <w:ind w:left="100"/>
              <w:spacing w:after="0" w:line="186" w:lineRule="exact"/>
              <w:rPr>
                <w:sz w:val="20"/>
                <w:szCs w:val="20"/>
                <w:color w:val="auto"/>
              </w:rPr>
            </w:pPr>
            <w:r>
              <w:rPr>
                <w:rFonts w:ascii="Arial" w:cs="Arial" w:eastAsia="Arial" w:hAnsi="Arial"/>
                <w:sz w:val="17"/>
                <w:szCs w:val="17"/>
                <w:color w:val="auto"/>
              </w:rPr>
              <w:t>NAME OF REPORTING PERSON</w:t>
            </w:r>
          </w:p>
        </w:tc>
        <w:tc>
          <w:tcPr>
            <w:tcW w:w="2100" w:type="dxa"/>
            <w:vAlign w:val="bottom"/>
            <w:tcBorders>
              <w:right w:val="single" w:sz="8" w:color="auto"/>
            </w:tcBorders>
          </w:tcPr>
          <w:p>
            <w:pPr>
              <w:spacing w:after="0"/>
              <w:rPr>
                <w:sz w:val="16"/>
                <w:szCs w:val="16"/>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w w:val="93"/>
              </w:rPr>
              <w:t>Mark N. Lampert</w:t>
            </w:r>
          </w:p>
        </w:tc>
        <w:tc>
          <w:tcPr>
            <w:tcW w:w="58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149"/>
        </w:trPr>
        <w:tc>
          <w:tcPr>
            <w:tcW w:w="176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7"/>
                <w:szCs w:val="17"/>
                <w:color w:val="auto"/>
                <w:w w:val="84"/>
              </w:rPr>
              <w:t>2</w:t>
            </w:r>
          </w:p>
        </w:tc>
        <w:tc>
          <w:tcPr>
            <w:tcW w:w="7560" w:type="dxa"/>
            <w:vAlign w:val="bottom"/>
            <w:gridSpan w:val="3"/>
          </w:tcPr>
          <w:p>
            <w:pPr>
              <w:ind w:left="100"/>
              <w:spacing w:after="0" w:line="149" w:lineRule="exact"/>
              <w:rPr>
                <w:sz w:val="20"/>
                <w:szCs w:val="20"/>
                <w:color w:val="auto"/>
              </w:rPr>
            </w:pPr>
            <w:r>
              <w:rPr>
                <w:rFonts w:ascii="Arial" w:cs="Arial" w:eastAsia="Arial" w:hAnsi="Arial"/>
                <w:sz w:val="17"/>
                <w:szCs w:val="17"/>
                <w:color w:val="auto"/>
              </w:rPr>
              <w:t>CHECK THE APPROPRIATE BOX IF A MEMBER OF A GROUP</w:t>
            </w:r>
          </w:p>
        </w:tc>
        <w:tc>
          <w:tcPr>
            <w:tcW w:w="2100" w:type="dxa"/>
            <w:vAlign w:val="bottom"/>
            <w:tcBorders>
              <w:right w:val="single" w:sz="8" w:color="auto"/>
            </w:tcBorders>
          </w:tcPr>
          <w:p>
            <w:pPr>
              <w:ind w:left="960"/>
              <w:spacing w:after="0" w:line="149"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r>
      <w:tr>
        <w:trPr>
          <w:trHeight w:val="259"/>
        </w:trPr>
        <w:tc>
          <w:tcPr>
            <w:tcW w:w="1760" w:type="dxa"/>
            <w:vAlign w:val="bottom"/>
            <w:tcBorders>
              <w:left w:val="single" w:sz="8" w:color="auto"/>
              <w:right w:val="single" w:sz="8" w:color="auto"/>
            </w:tcBorders>
          </w:tcPr>
          <w:p>
            <w:pPr>
              <w:spacing w:after="0"/>
              <w:rPr>
                <w:sz w:val="22"/>
                <w:szCs w:val="22"/>
                <w:color w:val="auto"/>
              </w:rPr>
            </w:pPr>
          </w:p>
        </w:tc>
        <w:tc>
          <w:tcPr>
            <w:tcW w:w="1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2100" w:type="dxa"/>
            <w:vAlign w:val="bottom"/>
            <w:tcBorders>
              <w:right w:val="single" w:sz="8" w:color="auto"/>
            </w:tcBorders>
          </w:tcPr>
          <w:p>
            <w:pPr>
              <w:ind w:left="96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r>
        <w:trPr>
          <w:trHeight w:val="180"/>
        </w:trPr>
        <w:tc>
          <w:tcPr>
            <w:tcW w:w="1760" w:type="dxa"/>
            <w:vAlign w:val="bottom"/>
            <w:tcBorders>
              <w:left w:val="single" w:sz="8" w:color="auto"/>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spacing w:after="0"/>
              <w:rPr>
                <w:sz w:val="15"/>
                <w:szCs w:val="15"/>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3</w:t>
            </w:r>
          </w:p>
        </w:tc>
        <w:tc>
          <w:tcPr>
            <w:tcW w:w="1760" w:type="dxa"/>
            <w:vAlign w:val="bottom"/>
            <w:gridSpan w:val="2"/>
          </w:tcPr>
          <w:p>
            <w:pPr>
              <w:ind w:left="100"/>
              <w:spacing w:after="0"/>
              <w:rPr>
                <w:sz w:val="20"/>
                <w:szCs w:val="20"/>
                <w:color w:val="auto"/>
              </w:rPr>
            </w:pPr>
            <w:r>
              <w:rPr>
                <w:rFonts w:ascii="Arial" w:cs="Arial" w:eastAsia="Arial" w:hAnsi="Arial"/>
                <w:sz w:val="17"/>
                <w:szCs w:val="17"/>
                <w:color w:val="auto"/>
              </w:rPr>
              <w:t>SEC USE ONLY</w:t>
            </w:r>
          </w:p>
        </w:tc>
        <w:tc>
          <w:tcPr>
            <w:tcW w:w="580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4</w:t>
            </w:r>
          </w:p>
        </w:tc>
        <w:tc>
          <w:tcPr>
            <w:tcW w:w="7560" w:type="dxa"/>
            <w:vAlign w:val="bottom"/>
            <w:gridSpan w:val="3"/>
          </w:tcPr>
          <w:p>
            <w:pPr>
              <w:ind w:left="100"/>
              <w:spacing w:after="0"/>
              <w:rPr>
                <w:sz w:val="20"/>
                <w:szCs w:val="20"/>
                <w:color w:val="auto"/>
              </w:rPr>
            </w:pPr>
            <w:r>
              <w:rPr>
                <w:rFonts w:ascii="Arial" w:cs="Arial" w:eastAsia="Arial" w:hAnsi="Arial"/>
                <w:sz w:val="17"/>
                <w:szCs w:val="17"/>
                <w:color w:val="auto"/>
              </w:rPr>
              <w:t>CITIZENSHIP OR PLACE OF ORGANIZATION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United States</w:t>
            </w:r>
          </w:p>
        </w:tc>
        <w:tc>
          <w:tcPr>
            <w:tcW w:w="58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179"/>
        </w:trPr>
        <w:tc>
          <w:tcPr>
            <w:tcW w:w="1760" w:type="dxa"/>
            <w:vAlign w:val="bottom"/>
            <w:tcBorders>
              <w:left w:val="single" w:sz="8" w:color="auto"/>
              <w:right w:val="single" w:sz="8" w:color="auto"/>
            </w:tcBorders>
          </w:tcPr>
          <w:p>
            <w:pPr>
              <w:jc w:val="center"/>
              <w:spacing w:after="0" w:line="179" w:lineRule="exact"/>
              <w:rPr>
                <w:sz w:val="20"/>
                <w:szCs w:val="20"/>
                <w:color w:val="auto"/>
              </w:rPr>
            </w:pPr>
            <w:r>
              <w:rPr>
                <w:rFonts w:ascii="Arial" w:cs="Arial" w:eastAsia="Arial" w:hAnsi="Arial"/>
                <w:sz w:val="17"/>
                <w:szCs w:val="17"/>
                <w:color w:val="auto"/>
                <w:w w:val="92"/>
              </w:rPr>
              <w:t>NUMBER OF</w:t>
            </w:r>
          </w:p>
        </w:tc>
        <w:tc>
          <w:tcPr>
            <w:tcW w:w="1700" w:type="dxa"/>
            <w:vAlign w:val="bottom"/>
            <w:tcBorders>
              <w:right w:val="single" w:sz="8" w:color="auto"/>
            </w:tcBorders>
          </w:tcPr>
          <w:p>
            <w:pPr>
              <w:ind w:left="800"/>
              <w:spacing w:after="0" w:line="179" w:lineRule="exact"/>
              <w:rPr>
                <w:sz w:val="20"/>
                <w:szCs w:val="20"/>
                <w:color w:val="auto"/>
              </w:rPr>
            </w:pPr>
            <w:r>
              <w:rPr>
                <w:rFonts w:ascii="Arial" w:cs="Arial" w:eastAsia="Arial" w:hAnsi="Arial"/>
                <w:sz w:val="17"/>
                <w:szCs w:val="17"/>
                <w:color w:val="auto"/>
              </w:rPr>
              <w:t>5</w:t>
            </w:r>
          </w:p>
        </w:tc>
        <w:tc>
          <w:tcPr>
            <w:tcW w:w="60" w:type="dxa"/>
            <w:vAlign w:val="bottom"/>
          </w:tcPr>
          <w:p>
            <w:pPr>
              <w:spacing w:after="0"/>
              <w:rPr>
                <w:sz w:val="15"/>
                <w:szCs w:val="15"/>
                <w:color w:val="auto"/>
              </w:rPr>
            </w:pPr>
          </w:p>
        </w:tc>
        <w:tc>
          <w:tcPr>
            <w:tcW w:w="5800" w:type="dxa"/>
            <w:vAlign w:val="bottom"/>
          </w:tcPr>
          <w:p>
            <w:pPr>
              <w:ind w:left="40"/>
              <w:spacing w:after="0" w:line="179" w:lineRule="exact"/>
              <w:rPr>
                <w:sz w:val="20"/>
                <w:szCs w:val="20"/>
                <w:color w:val="auto"/>
              </w:rPr>
            </w:pPr>
            <w:r>
              <w:rPr>
                <w:rFonts w:ascii="Arial" w:cs="Arial" w:eastAsia="Arial" w:hAnsi="Arial"/>
                <w:sz w:val="17"/>
                <w:szCs w:val="17"/>
                <w:color w:val="auto"/>
              </w:rPr>
              <w:t>SOLE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SHARES</w:t>
            </w:r>
          </w:p>
        </w:tc>
        <w:tc>
          <w:tcPr>
            <w:tcW w:w="17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BENEFICIALLY</w:t>
            </w:r>
          </w:p>
        </w:tc>
        <w:tc>
          <w:tcPr>
            <w:tcW w:w="17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18"/>
                <w:szCs w:val="18"/>
                <w:color w:val="auto"/>
              </w:rPr>
            </w:pPr>
          </w:p>
        </w:tc>
      </w:tr>
      <w:tr>
        <w:trPr>
          <w:trHeight w:val="180"/>
        </w:trPr>
        <w:tc>
          <w:tcPr>
            <w:tcW w:w="176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97"/>
              </w:rPr>
              <w:t>OWNED BY</w:t>
            </w:r>
          </w:p>
        </w:tc>
        <w:tc>
          <w:tcPr>
            <w:tcW w:w="1700" w:type="dxa"/>
            <w:vAlign w:val="bottom"/>
            <w:tcBorders>
              <w:right w:val="single" w:sz="8" w:color="auto"/>
            </w:tcBorders>
          </w:tcPr>
          <w:p>
            <w:pPr>
              <w:ind w:left="800"/>
              <w:spacing w:after="0" w:line="180" w:lineRule="exact"/>
              <w:rPr>
                <w:sz w:val="20"/>
                <w:szCs w:val="20"/>
                <w:color w:val="auto"/>
              </w:rPr>
            </w:pPr>
            <w:r>
              <w:rPr>
                <w:rFonts w:ascii="Arial" w:cs="Arial" w:eastAsia="Arial" w:hAnsi="Arial"/>
                <w:sz w:val="17"/>
                <w:szCs w:val="17"/>
                <w:color w:val="auto"/>
              </w:rPr>
              <w:t>6</w:t>
            </w:r>
          </w:p>
        </w:tc>
        <w:tc>
          <w:tcPr>
            <w:tcW w:w="60" w:type="dxa"/>
            <w:vAlign w:val="bottom"/>
          </w:tcPr>
          <w:p>
            <w:pPr>
              <w:spacing w:after="0"/>
              <w:rPr>
                <w:sz w:val="15"/>
                <w:szCs w:val="15"/>
                <w:color w:val="auto"/>
              </w:rPr>
            </w:pPr>
          </w:p>
        </w:tc>
        <w:tc>
          <w:tcPr>
            <w:tcW w:w="5800" w:type="dxa"/>
            <w:vAlign w:val="bottom"/>
          </w:tcPr>
          <w:p>
            <w:pPr>
              <w:ind w:left="40"/>
              <w:spacing w:after="0" w:line="180" w:lineRule="exact"/>
              <w:rPr>
                <w:sz w:val="20"/>
                <w:szCs w:val="20"/>
                <w:color w:val="auto"/>
              </w:rPr>
            </w:pPr>
            <w:r>
              <w:rPr>
                <w:rFonts w:ascii="Arial" w:cs="Arial" w:eastAsia="Arial" w:hAnsi="Arial"/>
                <w:sz w:val="17"/>
                <w:szCs w:val="17"/>
                <w:color w:val="auto"/>
              </w:rPr>
              <w:t>SHARED VOTING POWER</w:t>
            </w:r>
          </w:p>
        </w:tc>
        <w:tc>
          <w:tcPr>
            <w:tcW w:w="2100" w:type="dxa"/>
            <w:vAlign w:val="bottom"/>
            <w:tcBorders>
              <w:right w:val="single" w:sz="8" w:color="auto"/>
            </w:tcBorders>
          </w:tcPr>
          <w:p>
            <w:pPr>
              <w:spacing w:after="0"/>
              <w:rPr>
                <w:sz w:val="15"/>
                <w:szCs w:val="15"/>
                <w:color w:val="auto"/>
              </w:rPr>
            </w:pPr>
          </w:p>
        </w:tc>
      </w:tr>
      <w:tr>
        <w:trPr>
          <w:trHeight w:val="198"/>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EACH</w:t>
            </w:r>
          </w:p>
        </w:tc>
        <w:tc>
          <w:tcPr>
            <w:tcW w:w="17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r>
      <w:tr>
        <w:trPr>
          <w:trHeight w:val="209"/>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REPORTING</w:t>
            </w:r>
          </w:p>
        </w:tc>
        <w:tc>
          <w:tcPr>
            <w:tcW w:w="17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1,928,546</w:t>
            </w:r>
          </w:p>
        </w:tc>
        <w:tc>
          <w:tcPr>
            <w:tcW w:w="2100" w:type="dxa"/>
            <w:vAlign w:val="bottom"/>
            <w:tcBorders>
              <w:bottom w:val="single" w:sz="8" w:color="auto"/>
              <w:right w:val="single" w:sz="8" w:color="auto"/>
            </w:tcBorders>
          </w:tcPr>
          <w:p>
            <w:pPr>
              <w:spacing w:after="0"/>
              <w:rPr>
                <w:sz w:val="18"/>
                <w:szCs w:val="18"/>
                <w:color w:val="auto"/>
              </w:rPr>
            </w:pPr>
          </w:p>
        </w:tc>
      </w:tr>
      <w:tr>
        <w:trPr>
          <w:trHeight w:val="203"/>
        </w:trPr>
        <w:tc>
          <w:tcPr>
            <w:tcW w:w="17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1"/>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7"/>
                <w:szCs w:val="17"/>
                <w:color w:val="auto"/>
              </w:rPr>
            </w:pPr>
          </w:p>
        </w:tc>
        <w:tc>
          <w:tcPr>
            <w:tcW w:w="5800" w:type="dxa"/>
            <w:vAlign w:val="bottom"/>
          </w:tcPr>
          <w:p>
            <w:pPr>
              <w:ind w:left="40"/>
              <w:spacing w:after="0"/>
              <w:rPr>
                <w:sz w:val="20"/>
                <w:szCs w:val="20"/>
                <w:color w:val="auto"/>
              </w:rPr>
            </w:pPr>
            <w:r>
              <w:rPr>
                <w:rFonts w:ascii="Arial" w:cs="Arial" w:eastAsia="Arial" w:hAnsi="Arial"/>
                <w:sz w:val="17"/>
                <w:szCs w:val="17"/>
                <w:color w:val="auto"/>
              </w:rPr>
              <w:t>SOLE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0 shares</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7"/>
                <w:szCs w:val="17"/>
                <w:color w:val="auto"/>
              </w:rPr>
            </w:pPr>
          </w:p>
        </w:tc>
        <w:tc>
          <w:tcPr>
            <w:tcW w:w="5800" w:type="dxa"/>
            <w:vAlign w:val="bottom"/>
          </w:tcPr>
          <w:p>
            <w:pPr>
              <w:ind w:left="40"/>
              <w:spacing w:after="0"/>
              <w:rPr>
                <w:sz w:val="20"/>
                <w:szCs w:val="20"/>
                <w:color w:val="auto"/>
              </w:rPr>
            </w:pPr>
            <w:r>
              <w:rPr>
                <w:rFonts w:ascii="Arial" w:cs="Arial" w:eastAsia="Arial" w:hAnsi="Arial"/>
                <w:sz w:val="17"/>
                <w:szCs w:val="17"/>
                <w:color w:val="auto"/>
              </w:rPr>
              <w:t>SHARED DISPOSITIVE POWER</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1,928,546</w:t>
            </w: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9</w:t>
            </w:r>
          </w:p>
        </w:tc>
        <w:tc>
          <w:tcPr>
            <w:tcW w:w="1700" w:type="dxa"/>
            <w:vAlign w:val="bottom"/>
          </w:tcPr>
          <w:p>
            <w:pPr>
              <w:ind w:left="100"/>
              <w:spacing w:after="0"/>
              <w:rPr>
                <w:sz w:val="20"/>
                <w:szCs w:val="20"/>
                <w:color w:val="auto"/>
              </w:rPr>
            </w:pPr>
            <w:r>
              <w:rPr>
                <w:rFonts w:ascii="Arial" w:cs="Arial" w:eastAsia="Arial" w:hAnsi="Arial"/>
                <w:sz w:val="17"/>
                <w:szCs w:val="17"/>
                <w:color w:val="auto"/>
                <w:w w:val="83"/>
              </w:rPr>
              <w:t>AGGREGATE AMOUNT</w:t>
            </w:r>
          </w:p>
        </w:tc>
        <w:tc>
          <w:tcPr>
            <w:tcW w:w="5860" w:type="dxa"/>
            <w:vAlign w:val="bottom"/>
            <w:gridSpan w:val="2"/>
          </w:tcPr>
          <w:p>
            <w:pPr>
              <w:ind w:left="200"/>
              <w:spacing w:after="0"/>
              <w:rPr>
                <w:sz w:val="20"/>
                <w:szCs w:val="20"/>
                <w:color w:val="auto"/>
              </w:rPr>
            </w:pPr>
            <w:r>
              <w:rPr>
                <w:rFonts w:ascii="Arial" w:cs="Arial" w:eastAsia="Arial" w:hAnsi="Arial"/>
                <w:sz w:val="17"/>
                <w:szCs w:val="17"/>
                <w:color w:val="auto"/>
              </w:rPr>
              <w:t>BENEFICIALLY OWNED BY EACH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1,928,546</w:t>
            </w:r>
          </w:p>
        </w:tc>
        <w:tc>
          <w:tcPr>
            <w:tcW w:w="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5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7560" w:type="dxa"/>
            <w:vAlign w:val="bottom"/>
            <w:gridSpan w:val="3"/>
          </w:tcPr>
          <w:p>
            <w:pPr>
              <w:ind w:left="100"/>
              <w:spacing w:after="0"/>
              <w:rPr>
                <w:sz w:val="20"/>
                <w:szCs w:val="20"/>
                <w:color w:val="auto"/>
              </w:rPr>
            </w:pPr>
            <w:r>
              <w:rPr>
                <w:rFonts w:ascii="Arial" w:cs="Arial" w:eastAsia="Arial" w:hAnsi="Arial"/>
                <w:sz w:val="17"/>
                <w:szCs w:val="17"/>
                <w:color w:val="auto"/>
              </w:rPr>
              <w:t>CHECK BOX IF THE AGGREGATE AMOUNT IN ROW (9) EXCLUDES CERTAIN SHARES</w:t>
            </w:r>
          </w:p>
        </w:tc>
        <w:tc>
          <w:tcPr>
            <w:tcW w:w="2100" w:type="dxa"/>
            <w:vAlign w:val="bottom"/>
            <w:tcBorders>
              <w:right w:val="single" w:sz="8" w:color="auto"/>
            </w:tcBorders>
          </w:tcPr>
          <w:p>
            <w:pPr>
              <w:ind w:left="1140"/>
              <w:spacing w:after="0" w:line="171" w:lineRule="exact"/>
              <w:rPr>
                <w:sz w:val="20"/>
                <w:szCs w:val="20"/>
                <w:color w:val="auto"/>
              </w:rPr>
            </w:pPr>
            <w:r>
              <w:rPr>
                <w:rFonts w:ascii="MS PGothic" w:cs="MS PGothic" w:eastAsia="MS PGothic" w:hAnsi="MS PGothic"/>
                <w:sz w:val="17"/>
                <w:szCs w:val="17"/>
                <w:color w:val="auto"/>
              </w:rPr>
              <w:t>☐</w:t>
            </w:r>
          </w:p>
        </w:tc>
      </w:tr>
      <w:tr>
        <w:trPr>
          <w:trHeight w:val="33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gridSpan w:val="3"/>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1"/>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11</w:t>
            </w:r>
          </w:p>
        </w:tc>
        <w:tc>
          <w:tcPr>
            <w:tcW w:w="7560" w:type="dxa"/>
            <w:vAlign w:val="bottom"/>
            <w:gridSpan w:val="3"/>
          </w:tcPr>
          <w:p>
            <w:pPr>
              <w:ind w:left="100"/>
              <w:spacing w:after="0"/>
              <w:rPr>
                <w:sz w:val="20"/>
                <w:szCs w:val="20"/>
                <w:color w:val="auto"/>
              </w:rPr>
            </w:pPr>
            <w:r>
              <w:rPr>
                <w:rFonts w:ascii="Arial" w:cs="Arial" w:eastAsia="Arial" w:hAnsi="Arial"/>
                <w:sz w:val="17"/>
                <w:szCs w:val="17"/>
                <w:color w:val="auto"/>
              </w:rPr>
              <w:t>PERCENT OF CLASS REPRESENTED BY AMOUNT IN ROW (9)</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4.9%</w:t>
            </w:r>
          </w:p>
        </w:tc>
        <w:tc>
          <w:tcPr>
            <w:tcW w:w="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2"/>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560" w:type="dxa"/>
            <w:vAlign w:val="bottom"/>
            <w:gridSpan w:val="3"/>
          </w:tcPr>
          <w:p>
            <w:pPr>
              <w:ind w:left="100"/>
              <w:spacing w:after="0"/>
              <w:rPr>
                <w:sz w:val="20"/>
                <w:szCs w:val="20"/>
                <w:color w:val="auto"/>
              </w:rPr>
            </w:pPr>
            <w:r>
              <w:rPr>
                <w:rFonts w:ascii="Arial" w:cs="Arial" w:eastAsia="Arial" w:hAnsi="Arial"/>
                <w:sz w:val="17"/>
                <w:szCs w:val="17"/>
                <w:color w:val="auto"/>
              </w:rPr>
              <w:t>TYPE OF REPORTING PERSON</w:t>
            </w:r>
          </w:p>
        </w:tc>
        <w:tc>
          <w:tcPr>
            <w:tcW w:w="2100" w:type="dxa"/>
            <w:vAlign w:val="bottom"/>
            <w:tcBorders>
              <w:right w:val="single" w:sz="8" w:color="auto"/>
            </w:tcBorders>
          </w:tcPr>
          <w:p>
            <w:pPr>
              <w:spacing w:after="0"/>
              <w:rPr>
                <w:sz w:val="17"/>
                <w:szCs w:val="17"/>
                <w:color w:val="auto"/>
              </w:rPr>
            </w:pPr>
          </w:p>
        </w:tc>
      </w:tr>
      <w:tr>
        <w:trPr>
          <w:trHeight w:val="385"/>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IN</w:t>
            </w:r>
          </w:p>
        </w:tc>
        <w:tc>
          <w:tcPr>
            <w:tcW w:w="580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r>
      <w:tr>
        <w:trPr>
          <w:trHeight w:val="20"/>
        </w:trPr>
        <w:tc>
          <w:tcPr>
            <w:tcW w:w="1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r>
      <w:tr>
        <w:trPr>
          <w:trHeight w:val="497"/>
        </w:trPr>
        <w:tc>
          <w:tcPr>
            <w:tcW w:w="1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ind w:left="2160"/>
              <w:spacing w:after="0"/>
              <w:rPr>
                <w:sz w:val="20"/>
                <w:szCs w:val="20"/>
                <w:color w:val="auto"/>
              </w:rPr>
            </w:pPr>
            <w:r>
              <w:rPr>
                <w:rFonts w:ascii="Arial" w:cs="Arial" w:eastAsia="Arial" w:hAnsi="Arial"/>
                <w:sz w:val="17"/>
                <w:szCs w:val="17"/>
                <w:color w:val="auto"/>
              </w:rPr>
              <w:t>8</w:t>
            </w: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9"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t>CUSIP No. 09627Y109</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0" w:type="dxa"/>
            <w:vAlign w:val="bottom"/>
          </w:tcPr>
          <w:p>
            <w:pPr>
              <w:spacing w:after="0"/>
              <w:rPr>
                <w:sz w:val="20"/>
                <w:szCs w:val="20"/>
                <w:color w:val="auto"/>
              </w:rPr>
            </w:pPr>
            <w:r>
              <w:rPr>
                <w:rFonts w:ascii="Arial" w:cs="Arial" w:eastAsia="Arial" w:hAnsi="Arial"/>
                <w:sz w:val="17"/>
                <w:szCs w:val="17"/>
                <w:color w:val="auto"/>
              </w:rPr>
              <w:t>Item 1(a).</w:t>
            </w:r>
          </w:p>
        </w:tc>
        <w:tc>
          <w:tcPr>
            <w:tcW w:w="10500" w:type="dxa"/>
            <w:vAlign w:val="bottom"/>
          </w:tcPr>
          <w:p>
            <w:pPr>
              <w:ind w:left="260"/>
              <w:spacing w:after="0"/>
              <w:rPr>
                <w:sz w:val="20"/>
                <w:szCs w:val="20"/>
                <w:color w:val="auto"/>
              </w:rPr>
            </w:pPr>
            <w:r>
              <w:rPr>
                <w:rFonts w:ascii="Arial" w:cs="Arial" w:eastAsia="Arial" w:hAnsi="Arial"/>
                <w:sz w:val="17"/>
                <w:szCs w:val="17"/>
                <w:color w:val="auto"/>
              </w:rPr>
              <w:t>Name of Issuer:</w:t>
            </w:r>
          </w:p>
        </w:tc>
      </w:tr>
      <w:tr>
        <w:trPr>
          <w:trHeight w:val="396"/>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Blueprint Medicines Corporation, a Delaware corporation (the “Issuer”).</w:t>
            </w:r>
          </w:p>
        </w:tc>
      </w:tr>
      <w:tr>
        <w:trPr>
          <w:trHeight w:val="396"/>
        </w:trPr>
        <w:tc>
          <w:tcPr>
            <w:tcW w:w="920" w:type="dxa"/>
            <w:vAlign w:val="bottom"/>
          </w:tcPr>
          <w:p>
            <w:pPr>
              <w:spacing w:after="0"/>
              <w:rPr>
                <w:sz w:val="20"/>
                <w:szCs w:val="20"/>
                <w:color w:val="auto"/>
              </w:rPr>
            </w:pPr>
            <w:r>
              <w:rPr>
                <w:rFonts w:ascii="Arial" w:cs="Arial" w:eastAsia="Arial" w:hAnsi="Arial"/>
                <w:sz w:val="17"/>
                <w:szCs w:val="17"/>
                <w:color w:val="auto"/>
              </w:rPr>
              <w:t>Item 1(b).</w:t>
            </w:r>
          </w:p>
        </w:tc>
        <w:tc>
          <w:tcPr>
            <w:tcW w:w="10500" w:type="dxa"/>
            <w:vAlign w:val="bottom"/>
          </w:tcPr>
          <w:p>
            <w:pPr>
              <w:ind w:left="260"/>
              <w:spacing w:after="0"/>
              <w:rPr>
                <w:sz w:val="20"/>
                <w:szCs w:val="20"/>
                <w:color w:val="auto"/>
              </w:rPr>
            </w:pPr>
            <w:r>
              <w:rPr>
                <w:rFonts w:ascii="Arial" w:cs="Arial" w:eastAsia="Arial" w:hAnsi="Arial"/>
                <w:sz w:val="17"/>
                <w:szCs w:val="17"/>
                <w:color w:val="auto"/>
              </w:rPr>
              <w:t>Address of Issuer's Principal Executive Offices:</w:t>
            </w:r>
          </w:p>
        </w:tc>
      </w:tr>
      <w:tr>
        <w:trPr>
          <w:trHeight w:val="385"/>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38 Sidney Street, Suite 200</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Cambridge, Massachusetts 02139</w:t>
            </w:r>
          </w:p>
        </w:tc>
      </w:tr>
      <w:tr>
        <w:trPr>
          <w:trHeight w:val="385"/>
        </w:trPr>
        <w:tc>
          <w:tcPr>
            <w:tcW w:w="920" w:type="dxa"/>
            <w:vAlign w:val="bottom"/>
          </w:tcPr>
          <w:p>
            <w:pPr>
              <w:spacing w:after="0"/>
              <w:rPr>
                <w:sz w:val="20"/>
                <w:szCs w:val="20"/>
                <w:color w:val="auto"/>
              </w:rPr>
            </w:pPr>
            <w:r>
              <w:rPr>
                <w:rFonts w:ascii="Arial" w:cs="Arial" w:eastAsia="Arial" w:hAnsi="Arial"/>
                <w:sz w:val="17"/>
                <w:szCs w:val="17"/>
                <w:color w:val="auto"/>
              </w:rPr>
              <w:t>Item 2(a).</w:t>
            </w:r>
          </w:p>
        </w:tc>
        <w:tc>
          <w:tcPr>
            <w:tcW w:w="10500" w:type="dxa"/>
            <w:vAlign w:val="bottom"/>
          </w:tcPr>
          <w:p>
            <w:pPr>
              <w:ind w:left="260"/>
              <w:spacing w:after="0"/>
              <w:rPr>
                <w:sz w:val="20"/>
                <w:szCs w:val="20"/>
                <w:color w:val="auto"/>
              </w:rPr>
            </w:pPr>
            <w:r>
              <w:rPr>
                <w:rFonts w:ascii="Arial" w:cs="Arial" w:eastAsia="Arial" w:hAnsi="Arial"/>
                <w:sz w:val="17"/>
                <w:szCs w:val="17"/>
                <w:color w:val="auto"/>
              </w:rPr>
              <w:t>Name of Person Filing</w:t>
            </w:r>
          </w:p>
        </w:tc>
      </w:tr>
      <w:tr>
        <w:trPr>
          <w:trHeight w:val="198"/>
        </w:trPr>
        <w:tc>
          <w:tcPr>
            <w:tcW w:w="920" w:type="dxa"/>
            <w:vAlign w:val="bottom"/>
          </w:tcPr>
          <w:p>
            <w:pPr>
              <w:spacing w:after="0"/>
              <w:rPr>
                <w:sz w:val="20"/>
                <w:szCs w:val="20"/>
                <w:color w:val="auto"/>
              </w:rPr>
            </w:pPr>
            <w:r>
              <w:rPr>
                <w:rFonts w:ascii="Arial" w:cs="Arial" w:eastAsia="Arial" w:hAnsi="Arial"/>
                <w:sz w:val="17"/>
                <w:szCs w:val="17"/>
                <w:color w:val="auto"/>
              </w:rPr>
              <w:t>Item 2(b).</w:t>
            </w:r>
          </w:p>
        </w:tc>
        <w:tc>
          <w:tcPr>
            <w:tcW w:w="10500" w:type="dxa"/>
            <w:vAlign w:val="bottom"/>
          </w:tcPr>
          <w:p>
            <w:pPr>
              <w:ind w:left="260"/>
              <w:spacing w:after="0"/>
              <w:rPr>
                <w:sz w:val="20"/>
                <w:szCs w:val="20"/>
                <w:color w:val="auto"/>
              </w:rPr>
            </w:pPr>
            <w:r>
              <w:rPr>
                <w:rFonts w:ascii="Arial" w:cs="Arial" w:eastAsia="Arial" w:hAnsi="Arial"/>
                <w:sz w:val="17"/>
                <w:szCs w:val="17"/>
                <w:color w:val="auto"/>
              </w:rPr>
              <w:t>Address of Principal Business Office or, if None, Residence</w:t>
            </w:r>
          </w:p>
        </w:tc>
      </w:tr>
      <w:tr>
        <w:trPr>
          <w:trHeight w:val="209"/>
        </w:trPr>
        <w:tc>
          <w:tcPr>
            <w:tcW w:w="920" w:type="dxa"/>
            <w:vAlign w:val="bottom"/>
          </w:tcPr>
          <w:p>
            <w:pPr>
              <w:spacing w:after="0"/>
              <w:rPr>
                <w:sz w:val="20"/>
                <w:szCs w:val="20"/>
                <w:color w:val="auto"/>
              </w:rPr>
            </w:pPr>
            <w:r>
              <w:rPr>
                <w:rFonts w:ascii="Arial" w:cs="Arial" w:eastAsia="Arial" w:hAnsi="Arial"/>
                <w:sz w:val="17"/>
                <w:szCs w:val="17"/>
                <w:color w:val="auto"/>
              </w:rPr>
              <w:t>Item 2(c).</w:t>
            </w: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w:t>
            </w:r>
          </w:p>
        </w:tc>
      </w:tr>
      <w:tr>
        <w:trPr>
          <w:trHeight w:val="387"/>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Biotechnology Value Fund, L.P. (“BVF”)</w:t>
            </w:r>
          </w:p>
        </w:tc>
      </w:tr>
      <w:tr>
        <w:trPr>
          <w:trHeight w:val="234"/>
        </w:trPr>
        <w:tc>
          <w:tcPr>
            <w:tcW w:w="920" w:type="dxa"/>
            <w:vAlign w:val="bottom"/>
          </w:tcPr>
          <w:p>
            <w:pPr>
              <w:spacing w:after="0"/>
              <w:rPr>
                <w:sz w:val="20"/>
                <w:szCs w:val="20"/>
                <w:color w:val="auto"/>
              </w:rPr>
            </w:pPr>
          </w:p>
        </w:tc>
        <w:tc>
          <w:tcPr>
            <w:tcW w:w="10500" w:type="dxa"/>
            <w:vAlign w:val="bottom"/>
          </w:tcPr>
          <w:p>
            <w:pPr>
              <w:ind w:left="260"/>
              <w:spacing w:after="0" w:line="233" w:lineRule="exact"/>
              <w:rPr>
                <w:sz w:val="20"/>
                <w:szCs w:val="20"/>
                <w:color w:val="auto"/>
              </w:rPr>
            </w:pPr>
            <w:r>
              <w:rPr>
                <w:rFonts w:ascii="Arial" w:cs="Arial" w:eastAsia="Arial" w:hAnsi="Arial"/>
                <w:sz w:val="17"/>
                <w:szCs w:val="17"/>
                <w:color w:val="auto"/>
              </w:rPr>
              <w:t>1 Sansome Street,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San Francisco, California 94104</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Delaware</w:t>
            </w:r>
          </w:p>
        </w:tc>
      </w:tr>
      <w:tr>
        <w:trPr>
          <w:trHeight w:val="387"/>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Biotechnology Value Fund II, L.P. (“BVF2”)</w:t>
            </w:r>
          </w:p>
        </w:tc>
      </w:tr>
      <w:tr>
        <w:trPr>
          <w:trHeight w:val="234"/>
        </w:trPr>
        <w:tc>
          <w:tcPr>
            <w:tcW w:w="920" w:type="dxa"/>
            <w:vAlign w:val="bottom"/>
          </w:tcPr>
          <w:p>
            <w:pPr>
              <w:spacing w:after="0"/>
              <w:rPr>
                <w:sz w:val="20"/>
                <w:szCs w:val="20"/>
                <w:color w:val="auto"/>
              </w:rPr>
            </w:pPr>
          </w:p>
        </w:tc>
        <w:tc>
          <w:tcPr>
            <w:tcW w:w="10500" w:type="dxa"/>
            <w:vAlign w:val="bottom"/>
          </w:tcPr>
          <w:p>
            <w:pPr>
              <w:ind w:left="260"/>
              <w:spacing w:after="0" w:line="233" w:lineRule="exact"/>
              <w:rPr>
                <w:sz w:val="20"/>
                <w:szCs w:val="20"/>
                <w:color w:val="auto"/>
              </w:rPr>
            </w:pPr>
            <w:r>
              <w:rPr>
                <w:rFonts w:ascii="Arial" w:cs="Arial" w:eastAsia="Arial" w:hAnsi="Arial"/>
                <w:sz w:val="17"/>
                <w:szCs w:val="17"/>
                <w:color w:val="auto"/>
              </w:rPr>
              <w:t>1 Sansome Street,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San Francisco, California 94104</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Delaware</w:t>
            </w:r>
          </w:p>
        </w:tc>
      </w:tr>
      <w:tr>
        <w:trPr>
          <w:trHeight w:val="385"/>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Biotechnology Value Trading Fund OS LP (“Trading Fund OS”)</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PO Box 309 Ugland House</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Grand Cayman, KY1-1104</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Cayman Islands</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Cayman Islands</w:t>
            </w:r>
          </w:p>
        </w:tc>
      </w:tr>
      <w:tr>
        <w:trPr>
          <w:trHeight w:val="385"/>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BVF Partners OS Ltd. (“Partners OS”)</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PO Box 309 Ugland House</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Grand Cayman, KY1-1104</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Cayman Islands</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Cayman Islands</w:t>
            </w:r>
          </w:p>
        </w:tc>
      </w:tr>
      <w:tr>
        <w:trPr>
          <w:trHeight w:val="385"/>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BVF Partners L.P. (“Partners”)</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1 Sansome Street, 30th Floor</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San Francisco, California 94104</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Delaware</w:t>
            </w:r>
          </w:p>
        </w:tc>
      </w:tr>
      <w:tr>
        <w:trPr>
          <w:trHeight w:val="387"/>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BVF Inc.</w:t>
            </w:r>
          </w:p>
        </w:tc>
      </w:tr>
      <w:tr>
        <w:trPr>
          <w:trHeight w:val="234"/>
        </w:trPr>
        <w:tc>
          <w:tcPr>
            <w:tcW w:w="920" w:type="dxa"/>
            <w:vAlign w:val="bottom"/>
          </w:tcPr>
          <w:p>
            <w:pPr>
              <w:spacing w:after="0"/>
              <w:rPr>
                <w:sz w:val="20"/>
                <w:szCs w:val="20"/>
                <w:color w:val="auto"/>
              </w:rPr>
            </w:pPr>
          </w:p>
        </w:tc>
        <w:tc>
          <w:tcPr>
            <w:tcW w:w="10500" w:type="dxa"/>
            <w:vAlign w:val="bottom"/>
          </w:tcPr>
          <w:p>
            <w:pPr>
              <w:ind w:left="260"/>
              <w:spacing w:after="0" w:line="233" w:lineRule="exact"/>
              <w:rPr>
                <w:sz w:val="20"/>
                <w:szCs w:val="20"/>
                <w:color w:val="auto"/>
              </w:rPr>
            </w:pPr>
            <w:r>
              <w:rPr>
                <w:rFonts w:ascii="Arial" w:cs="Arial" w:eastAsia="Arial" w:hAnsi="Arial"/>
                <w:sz w:val="17"/>
                <w:szCs w:val="17"/>
                <w:color w:val="auto"/>
              </w:rPr>
              <w:t>1 Sansome Street,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San Francisco, California 94104</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Delaware</w:t>
            </w:r>
          </w:p>
        </w:tc>
      </w:tr>
      <w:tr>
        <w:trPr>
          <w:trHeight w:val="387"/>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Mark N. Lampert (“Mr. Lampert”)</w:t>
            </w:r>
          </w:p>
        </w:tc>
      </w:tr>
      <w:tr>
        <w:trPr>
          <w:trHeight w:val="234"/>
        </w:trPr>
        <w:tc>
          <w:tcPr>
            <w:tcW w:w="920" w:type="dxa"/>
            <w:vAlign w:val="bottom"/>
          </w:tcPr>
          <w:p>
            <w:pPr>
              <w:spacing w:after="0"/>
              <w:rPr>
                <w:sz w:val="20"/>
                <w:szCs w:val="20"/>
                <w:color w:val="auto"/>
              </w:rPr>
            </w:pPr>
          </w:p>
        </w:tc>
        <w:tc>
          <w:tcPr>
            <w:tcW w:w="10500" w:type="dxa"/>
            <w:vAlign w:val="bottom"/>
          </w:tcPr>
          <w:p>
            <w:pPr>
              <w:ind w:left="260"/>
              <w:spacing w:after="0" w:line="233" w:lineRule="exact"/>
              <w:rPr>
                <w:sz w:val="20"/>
                <w:szCs w:val="20"/>
                <w:color w:val="auto"/>
              </w:rPr>
            </w:pPr>
            <w:r>
              <w:rPr>
                <w:rFonts w:ascii="Arial" w:cs="Arial" w:eastAsia="Arial" w:hAnsi="Arial"/>
                <w:sz w:val="17"/>
                <w:szCs w:val="17"/>
                <w:color w:val="auto"/>
              </w:rPr>
              <w:t>1 Sansome Street,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r>
      <w:tr>
        <w:trPr>
          <w:trHeight w:val="198"/>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San Francisco, California 94104</w:t>
            </w:r>
          </w:p>
        </w:tc>
      </w:tr>
      <w:tr>
        <w:trPr>
          <w:trHeight w:val="209"/>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Citizenship: United States</w:t>
            </w:r>
          </w:p>
        </w:tc>
      </w:tr>
      <w:tr>
        <w:trPr>
          <w:trHeight w:val="396"/>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7"/>
                <w:szCs w:val="17"/>
                <w:color w:val="auto"/>
              </w:rPr>
              <w:t>Each of the foregoing is referred to as a “Reporting Person” and collectively as the “Reporting Persons.”</w:t>
            </w:r>
          </w:p>
        </w:tc>
      </w:tr>
      <w:tr>
        <w:trPr>
          <w:trHeight w:val="496"/>
        </w:trPr>
        <w:tc>
          <w:tcPr>
            <w:tcW w:w="9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ind w:left="4760"/>
              <w:spacing w:after="0"/>
              <w:rPr>
                <w:sz w:val="20"/>
                <w:szCs w:val="20"/>
                <w:color w:val="auto"/>
              </w:rPr>
            </w:pPr>
            <w:r>
              <w:rPr>
                <w:rFonts w:ascii="Arial" w:cs="Arial" w:eastAsia="Arial" w:hAnsi="Arial"/>
                <w:sz w:val="17"/>
                <w:szCs w:val="17"/>
                <w:color w:val="auto"/>
              </w:rPr>
              <w:t>9</w:t>
            </w:r>
          </w:p>
        </w:tc>
      </w:tr>
    </w:tbl>
    <w:p>
      <w:pPr>
        <w:sectPr>
          <w:pgSz w:w="11900" w:h="16838" w:orient="portrait"/>
          <w:cols w:equalWidth="0" w:num="1">
            <w:col w:w="11420"/>
          </w:cols>
          <w:pgMar w:left="240" w:top="21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09627Y109</w:t>
      </w:r>
    </w:p>
    <w:p>
      <w:pPr>
        <w:sectPr>
          <w:pgSz w:w="11900" w:h="16838" w:orient="portrait"/>
          <w:cols w:equalWidth="0" w:num="1">
            <w:col w:w="11520"/>
          </w:cols>
          <w:pgMar w:left="240" w:top="219" w:right="13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Item 3.</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Title of Class of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Common Stock, $0.001 par value (the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CUSIP Number: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09627Y109</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If This Statement is Filed Pursuant to Rule 13d-1(b), or 13d-2(b) or (c), Check Whether the Person Filing is a:</w:t>
      </w:r>
    </w:p>
    <w:p>
      <w:pPr>
        <w:spacing w:after="0" w:line="224"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7"/>
          <w:szCs w:val="17"/>
          <w:color w:val="auto"/>
        </w:rPr>
        <w:t>/x/</w:t>
      </w:r>
      <w:r>
        <w:rPr>
          <w:sz w:val="20"/>
          <w:szCs w:val="20"/>
          <w:color w:val="auto"/>
        </w:rPr>
        <w:tab/>
      </w:r>
      <w:r>
        <w:rPr>
          <w:rFonts w:ascii="Arial" w:cs="Arial" w:eastAsia="Arial" w:hAnsi="Arial"/>
          <w:sz w:val="17"/>
          <w:szCs w:val="17"/>
          <w:color w:val="auto"/>
        </w:rPr>
        <w:t>Not applicable.</w:t>
      </w:r>
    </w:p>
    <w:p>
      <w:pPr>
        <w:spacing w:after="0" w:line="200" w:lineRule="exact"/>
        <w:rPr>
          <w:sz w:val="20"/>
          <w:szCs w:val="20"/>
          <w:color w:val="auto"/>
        </w:rPr>
      </w:pPr>
    </w:p>
    <w:p>
      <w:pPr>
        <w:sectPr>
          <w:pgSz w:w="11900" w:h="16838" w:orient="portrait"/>
          <w:cols w:equalWidth="0" w:num="2">
            <w:col w:w="660" w:space="520"/>
            <w:col w:w="10340"/>
          </w:cols>
          <w:pgMar w:left="240" w:top="219" w:right="139" w:bottom="1440" w:gutter="0" w:footer="0" w:header="0"/>
          <w:type w:val="continuous"/>
        </w:sectPr>
      </w:pPr>
    </w:p>
    <w:p>
      <w:pPr>
        <w:spacing w:after="0" w:line="1" w:lineRule="exact"/>
        <w:rPr>
          <w:sz w:val="20"/>
          <w:szCs w:val="20"/>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4"/>
          <w:szCs w:val="14"/>
          <w:color w:val="auto"/>
        </w:rPr>
        <w:t>Broker or dealer registered under Section 15 of the Exchange Act.</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5"/>
          <w:szCs w:val="15"/>
          <w:color w:val="auto"/>
        </w:rPr>
        <w:t>Bank as defined in Section 3(a)(6) of the Exchange Act.</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4"/>
          <w:szCs w:val="14"/>
          <w:color w:val="auto"/>
        </w:rPr>
        <w:t>Insurance company as defined in Section 3(a)(19) of the Exchange Act.</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4"/>
          <w:szCs w:val="14"/>
          <w:color w:val="auto"/>
        </w:rPr>
        <w:t>Investment company registered under Section 8 of the Investment Company Act.</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5"/>
          <w:szCs w:val="15"/>
          <w:color w:val="auto"/>
        </w:rPr>
        <w:t>An investment adviser in accordance with Rule 13d-1(b)(1)(ii)(E).</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5"/>
          <w:szCs w:val="15"/>
          <w:color w:val="auto"/>
        </w:rPr>
        <w:t>An employee benefit plan or endowment fund in accordance with Rule 13d-1(b)(1)(ii)(F).</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5"/>
          <w:szCs w:val="15"/>
          <w:color w:val="auto"/>
        </w:rPr>
        <w:t>A parent holding company or control person in accordance with Rule 13d-1(b)(1)(ii)(G).</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4"/>
          <w:szCs w:val="14"/>
          <w:color w:val="auto"/>
        </w:rPr>
        <w:t>A savings association as defined in Section 3(b) of the Federal Deposit Insurance Act.</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5"/>
          <w:szCs w:val="15"/>
          <w:color w:val="auto"/>
        </w:rPr>
        <w:t>A church plan that is excluded from the definition of an investment company under Section 3(c)(14) of the Investment Company Act.</w:t>
      </w:r>
    </w:p>
    <w:p>
      <w:pPr>
        <w:spacing w:after="0" w:line="200" w:lineRule="exact"/>
        <w:rPr>
          <w:rFonts w:ascii="Arial" w:cs="Arial" w:eastAsia="Arial" w:hAnsi="Arial"/>
          <w:sz w:val="17"/>
          <w:szCs w:val="17"/>
          <w:color w:val="auto"/>
        </w:rPr>
      </w:pPr>
    </w:p>
    <w:p>
      <w:pPr>
        <w:ind w:left="1740" w:hanging="582"/>
        <w:spacing w:after="0"/>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w:t>
      </w:r>
      <w:r>
        <w:rPr>
          <w:rFonts w:ascii="Arial" w:cs="Arial" w:eastAsia="Arial" w:hAnsi="Arial"/>
          <w:sz w:val="15"/>
          <w:szCs w:val="15"/>
          <w:color w:val="auto"/>
        </w:rPr>
        <w:t>Group, in accordance with Rule 13d-1(b)(1)(ii)(J).</w:t>
      </w:r>
    </w:p>
    <w:p>
      <w:pPr>
        <w:spacing w:after="0" w:line="200" w:lineRule="exact"/>
        <w:rPr>
          <w:rFonts w:ascii="Arial" w:cs="Arial" w:eastAsia="Arial" w:hAnsi="Arial"/>
          <w:sz w:val="17"/>
          <w:szCs w:val="17"/>
          <w:color w:val="auto"/>
        </w:rPr>
      </w:pPr>
    </w:p>
    <w:p>
      <w:pPr>
        <w:ind w:left="2300" w:hanging="1142"/>
        <w:spacing w:after="0" w:line="259" w:lineRule="auto"/>
        <w:tabs>
          <w:tab w:leader="none" w:pos="173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/Group, in accordance with Rule 240.13d-1(b)(1)(ii)(K). If filing as a non-U.S. institution in accordance with Rule 240.13d-1(b)(1)(ii)(J), p the type of institution: ____</w:t>
      </w:r>
    </w:p>
    <w:p>
      <w:pPr>
        <w:spacing w:after="0" w:line="17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4.</w:t>
      </w:r>
      <w:r>
        <w:rPr>
          <w:sz w:val="20"/>
          <w:szCs w:val="20"/>
          <w:color w:val="auto"/>
        </w:rPr>
        <w:tab/>
      </w:r>
      <w:r>
        <w:rPr>
          <w:rFonts w:ascii="Arial" w:cs="Arial" w:eastAsia="Arial" w:hAnsi="Arial"/>
          <w:sz w:val="15"/>
          <w:szCs w:val="15"/>
          <w:color w:val="auto"/>
        </w:rPr>
        <w:t>Ownership</w:t>
      </w:r>
    </w:p>
    <w:p>
      <w:pPr>
        <w:spacing w:after="0" w:line="201" w:lineRule="exact"/>
        <w:rPr>
          <w:sz w:val="20"/>
          <w:szCs w:val="20"/>
          <w:color w:val="auto"/>
        </w:rPr>
      </w:pPr>
    </w:p>
    <w:p>
      <w:pPr>
        <w:ind w:left="1180" w:hanging="587"/>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00" w:lineRule="exact"/>
        <w:rPr>
          <w:rFonts w:ascii="Arial" w:cs="Arial" w:eastAsia="Arial" w:hAnsi="Arial"/>
          <w:sz w:val="17"/>
          <w:szCs w:val="17"/>
          <w:color w:val="auto"/>
        </w:rPr>
      </w:pPr>
    </w:p>
    <w:p>
      <w:pPr>
        <w:ind w:left="1180" w:right="100"/>
        <w:spacing w:after="0" w:line="259" w:lineRule="auto"/>
        <w:rPr>
          <w:rFonts w:ascii="Arial" w:cs="Arial" w:eastAsia="Arial" w:hAnsi="Arial"/>
          <w:sz w:val="17"/>
          <w:szCs w:val="17"/>
          <w:color w:val="auto"/>
        </w:rPr>
      </w:pPr>
      <w:r>
        <w:rPr>
          <w:rFonts w:ascii="Arial" w:cs="Arial" w:eastAsia="Arial" w:hAnsi="Arial"/>
          <w:sz w:val="17"/>
          <w:szCs w:val="17"/>
          <w:color w:val="auto"/>
        </w:rPr>
        <w:t>As of the close of business on May 3, 2017 (i) BVF beneficially owned 945,674 shares of Common Stock, (ii) BVF2 beneficially owned 568,797 shares of Common Stock, and (iii) Trading Fund OS beneficially owned 111,366 shares of Common Stock.</w:t>
      </w:r>
    </w:p>
    <w:p>
      <w:pPr>
        <w:spacing w:after="0" w:line="172" w:lineRule="exact"/>
        <w:rPr>
          <w:rFonts w:ascii="Arial" w:cs="Arial" w:eastAsia="Arial" w:hAnsi="Arial"/>
          <w:sz w:val="17"/>
          <w:szCs w:val="17"/>
          <w:color w:val="auto"/>
        </w:rPr>
      </w:pPr>
    </w:p>
    <w:p>
      <w:pPr>
        <w:ind w:left="1180" w:right="100"/>
        <w:spacing w:after="0" w:line="259" w:lineRule="auto"/>
        <w:rPr>
          <w:rFonts w:ascii="Arial" w:cs="Arial" w:eastAsia="Arial" w:hAnsi="Arial"/>
          <w:sz w:val="17"/>
          <w:szCs w:val="17"/>
          <w:color w:val="auto"/>
        </w:rPr>
      </w:pPr>
      <w:r>
        <w:rPr>
          <w:rFonts w:ascii="Arial" w:cs="Arial" w:eastAsia="Arial" w:hAnsi="Arial"/>
          <w:sz w:val="17"/>
          <w:szCs w:val="17"/>
          <w:color w:val="auto"/>
        </w:rPr>
        <w:t>Partners OS as the general partner of Trading Fund OS may be deemed to beneficially own the 111,366 shares of Common Stock beneficially owned by Trading Fund OS.</w:t>
      </w: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5805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520"/>
          </w:cols>
          <w:pgMar w:left="240" w:top="219" w:right="1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color w:val="auto"/>
        </w:rPr>
        <w:t>CUSIP No. 09627Y109</w:t>
      </w:r>
    </w:p>
    <w:p>
      <w:pPr>
        <w:spacing w:after="0" w:line="297" w:lineRule="exact"/>
        <w:rPr>
          <w:sz w:val="20"/>
          <w:szCs w:val="20"/>
          <w:color w:val="auto"/>
        </w:rPr>
      </w:pPr>
    </w:p>
    <w:p>
      <w:pPr>
        <w:jc w:val="both"/>
        <w:ind w:left="1180"/>
        <w:spacing w:after="0" w:line="301" w:lineRule="auto"/>
        <w:rPr>
          <w:sz w:val="20"/>
          <w:szCs w:val="20"/>
          <w:color w:val="auto"/>
        </w:rPr>
      </w:pPr>
      <w:r>
        <w:rPr>
          <w:rFonts w:ascii="Arial" w:cs="Arial" w:eastAsia="Arial" w:hAnsi="Arial"/>
          <w:sz w:val="15"/>
          <w:szCs w:val="15"/>
          <w:color w:val="auto"/>
        </w:rPr>
        <w:t>Partners, as the general partner of BVF, BVF2, the investment manager of Trading Fund OS, and the sole member of Partners OS, may be deemed to beneficially own the 1,928,546 shares of Common Stock beneficially owned in the aggregate by BVF, BVF2, Trading Fund OS, and certain Partners managed accounts (the “Partners Managed Accounts”), including 302,709 shares of Common Stock held in the Partners Managed Accounts.</w:t>
      </w:r>
    </w:p>
    <w:p>
      <w:pPr>
        <w:spacing w:after="0" w:line="144"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BVF Inc., as the general partner of Partners, may be deemed to beneficially own the 1,928,546 shares of Common Stock beneficially owned by Partners.</w:t>
      </w:r>
    </w:p>
    <w:p>
      <w:pPr>
        <w:spacing w:after="0" w:line="224" w:lineRule="exact"/>
        <w:rPr>
          <w:sz w:val="20"/>
          <w:szCs w:val="20"/>
          <w:color w:val="auto"/>
        </w:rPr>
      </w:pPr>
    </w:p>
    <w:p>
      <w:pPr>
        <w:jc w:val="both"/>
        <w:ind w:left="1180"/>
        <w:spacing w:after="0" w:line="259" w:lineRule="auto"/>
        <w:rPr>
          <w:sz w:val="20"/>
          <w:szCs w:val="20"/>
          <w:color w:val="auto"/>
        </w:rPr>
      </w:pPr>
      <w:r>
        <w:rPr>
          <w:rFonts w:ascii="Arial" w:cs="Arial" w:eastAsia="Arial" w:hAnsi="Arial"/>
          <w:sz w:val="17"/>
          <w:szCs w:val="17"/>
          <w:color w:val="auto"/>
        </w:rPr>
        <w:t>Mr. Lampert, as a director and officer of BVF Inc., may be deemed to beneficially own the 1,928,546 shares of Common Stock beneficially owned by BVF Inc.</w:t>
      </w:r>
    </w:p>
    <w:p>
      <w:pPr>
        <w:spacing w:after="0" w:line="173" w:lineRule="exact"/>
        <w:rPr>
          <w:sz w:val="20"/>
          <w:szCs w:val="20"/>
          <w:color w:val="auto"/>
        </w:rPr>
      </w:pPr>
    </w:p>
    <w:p>
      <w:pPr>
        <w:jc w:val="both"/>
        <w:ind w:left="1180"/>
        <w:spacing w:after="0" w:line="247" w:lineRule="auto"/>
        <w:rPr>
          <w:sz w:val="20"/>
          <w:szCs w:val="20"/>
          <w:color w:val="auto"/>
        </w:rPr>
      </w:pPr>
      <w:r>
        <w:rPr>
          <w:rFonts w:ascii="Arial" w:cs="Arial" w:eastAsia="Arial" w:hAnsi="Arial"/>
          <w:sz w:val="17"/>
          <w:szCs w:val="17"/>
          <w:color w:val="auto"/>
        </w:rPr>
        <w:t>The foregoing should not be construed in and of itself as an admission by any Reporting Person as to beneficial ownership of any shares of Common Stock owned by another Reporting Person. Partners OS disclaims beneficial ownership of the shares of Common Stock beneficially owned by Trading Fund OS. Each of Partners, BVF Inc. and Mr. Lampert disclaims beneficial ownership of the shares of Common Stock beneficially owned by BVF, BVF2, Trading Fund OS, and the Partners Managed Accounts, and the filing of this statement shall not be construed as an admission that any such person or entity is the beneficial owner of any such securities.</w:t>
      </w:r>
    </w:p>
    <w:p>
      <w:pPr>
        <w:spacing w:after="0" w:line="183" w:lineRule="exact"/>
        <w:rPr>
          <w:sz w:val="20"/>
          <w:szCs w:val="20"/>
          <w:color w:val="auto"/>
        </w:rPr>
      </w:pPr>
    </w:p>
    <w:p>
      <w:pPr>
        <w:ind w:left="1180" w:hanging="587"/>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0" w:lineRule="exact"/>
        <w:rPr>
          <w:rFonts w:ascii="Arial" w:cs="Arial" w:eastAsia="Arial" w:hAnsi="Arial"/>
          <w:sz w:val="17"/>
          <w:szCs w:val="17"/>
          <w:color w:val="auto"/>
        </w:rPr>
      </w:pPr>
    </w:p>
    <w:p>
      <w:pPr>
        <w:ind w:left="1180"/>
        <w:spacing w:after="0" w:line="259" w:lineRule="auto"/>
        <w:rPr>
          <w:rFonts w:ascii="Arial" w:cs="Arial" w:eastAsia="Arial" w:hAnsi="Arial"/>
          <w:sz w:val="17"/>
          <w:szCs w:val="17"/>
          <w:color w:val="auto"/>
        </w:rPr>
      </w:pPr>
      <w:r>
        <w:rPr>
          <w:rFonts w:ascii="Arial" w:cs="Arial" w:eastAsia="Arial" w:hAnsi="Arial"/>
          <w:sz w:val="17"/>
          <w:szCs w:val="17"/>
          <w:color w:val="auto"/>
        </w:rPr>
        <w:t>The following percentages are based on 39,016,421 shares of Common Stock outstanding, as disclosed in the Issuer’s Definitive Proxy Statement on Form DEF 14A filed with the Securities and Exchange Commission on April 28, 2017.</w:t>
      </w:r>
    </w:p>
    <w:p>
      <w:pPr>
        <w:spacing w:after="0" w:line="172" w:lineRule="exact"/>
        <w:rPr>
          <w:rFonts w:ascii="Arial" w:cs="Arial" w:eastAsia="Arial" w:hAnsi="Arial"/>
          <w:sz w:val="17"/>
          <w:szCs w:val="17"/>
          <w:color w:val="auto"/>
        </w:rPr>
      </w:pPr>
    </w:p>
    <w:p>
      <w:pPr>
        <w:jc w:val="both"/>
        <w:ind w:left="1180"/>
        <w:spacing w:after="0" w:line="280" w:lineRule="auto"/>
        <w:rPr>
          <w:rFonts w:ascii="Arial" w:cs="Arial" w:eastAsia="Arial" w:hAnsi="Arial"/>
          <w:sz w:val="17"/>
          <w:szCs w:val="17"/>
          <w:color w:val="auto"/>
        </w:rPr>
      </w:pPr>
      <w:r>
        <w:rPr>
          <w:rFonts w:ascii="Arial" w:cs="Arial" w:eastAsia="Arial" w:hAnsi="Arial"/>
          <w:sz w:val="15"/>
          <w:szCs w:val="15"/>
          <w:color w:val="auto"/>
        </w:rPr>
        <w:t>As of the close of business on May 3, 2017 (i) BVF beneficially owned approximately 2.4% of the outstanding shares of Common Stock, (ii) BVF2 beneficially owned approximately 1.5% of the outstanding shares of Common Stock, (iii) Trading Fund OS beneficially owned less than 1% of the outstanding shares of Common Stock (iv) Partners OS may be deemed to beneficially own less than 1% of the outstanding shares of Common Stock, and</w:t>
      </w:r>
    </w:p>
    <w:p>
      <w:pPr>
        <w:spacing w:after="0" w:line="1" w:lineRule="exact"/>
        <w:rPr>
          <w:rFonts w:ascii="Arial" w:cs="Arial" w:eastAsia="Arial" w:hAnsi="Arial"/>
          <w:sz w:val="17"/>
          <w:szCs w:val="17"/>
          <w:color w:val="auto"/>
        </w:rPr>
      </w:pPr>
    </w:p>
    <w:p>
      <w:pPr>
        <w:ind w:left="1180"/>
        <w:spacing w:after="0" w:line="246" w:lineRule="auto"/>
        <w:rPr>
          <w:rFonts w:ascii="Arial" w:cs="Arial" w:eastAsia="Arial" w:hAnsi="Arial"/>
          <w:sz w:val="17"/>
          <w:szCs w:val="17"/>
          <w:color w:val="auto"/>
        </w:rPr>
      </w:pPr>
      <w:r>
        <w:rPr>
          <w:rFonts w:ascii="Arial" w:cs="Arial" w:eastAsia="Arial" w:hAnsi="Arial"/>
          <w:sz w:val="17"/>
          <w:szCs w:val="17"/>
          <w:color w:val="auto"/>
        </w:rPr>
        <w:t>(v) each of Partners, BVF Inc. and Mr. Lampert may be deemed to beneficially own approximately 4.9% of the outstanding shares of Common Stock (less than 1% of which is held in the Partners Managed Accounts).</w:t>
      </w:r>
    </w:p>
    <w:p>
      <w:pPr>
        <w:spacing w:after="0" w:line="182" w:lineRule="exact"/>
        <w:rPr>
          <w:rFonts w:ascii="Arial" w:cs="Arial" w:eastAsia="Arial" w:hAnsi="Arial"/>
          <w:sz w:val="17"/>
          <w:szCs w:val="17"/>
          <w:color w:val="auto"/>
        </w:rPr>
      </w:pPr>
    </w:p>
    <w:p>
      <w:pPr>
        <w:ind w:left="1180" w:hanging="587"/>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1" w:lineRule="exact"/>
        <w:rPr>
          <w:sz w:val="20"/>
          <w:szCs w:val="20"/>
          <w:color w:val="auto"/>
        </w:rPr>
      </w:pPr>
    </w:p>
    <w:p>
      <w:pPr>
        <w:ind w:left="1180" w:right="7660" w:hanging="587"/>
        <w:spacing w:after="0" w:line="486"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Sole power to vote or to direct the vote See Cover Pages Items 5-9.</w:t>
      </w:r>
    </w:p>
    <w:p>
      <w:pPr>
        <w:ind w:left="1180" w:right="7500" w:hanging="587"/>
        <w:spacing w:after="0" w:line="551" w:lineRule="auto"/>
        <w:tabs>
          <w:tab w:leader="none" w:pos="11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Shared power to vote or to direct the vote See Cover Pages Items 5-9.</w:t>
      </w:r>
    </w:p>
    <w:p>
      <w:pPr>
        <w:ind w:left="1180" w:right="6820" w:hanging="587"/>
        <w:spacing w:after="0" w:line="503"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See Cover Pages Items 5-9.</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5805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t>CUSIP No. 09627Y109</w:t>
      </w:r>
    </w:p>
    <w:p>
      <w:pPr>
        <w:spacing w:after="0" w:line="297" w:lineRule="exact"/>
        <w:rPr>
          <w:sz w:val="20"/>
          <w:szCs w:val="20"/>
          <w:color w:val="auto"/>
        </w:rPr>
      </w:pPr>
    </w:p>
    <w:p>
      <w:pPr>
        <w:ind w:left="1180" w:right="6660" w:hanging="587"/>
        <w:spacing w:after="0" w:line="486"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See Cover Pages Items 5-9.</w:t>
      </w:r>
    </w:p>
    <w:p>
      <w:pPr>
        <w:spacing w:after="0" w:line="1"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5.</w:t>
      </w:r>
      <w:r>
        <w:rPr>
          <w:sz w:val="20"/>
          <w:szCs w:val="20"/>
          <w:color w:val="auto"/>
        </w:rPr>
        <w:tab/>
      </w:r>
      <w:r>
        <w:rPr>
          <w:rFonts w:ascii="Arial" w:cs="Arial" w:eastAsia="Arial" w:hAnsi="Arial"/>
          <w:sz w:val="14"/>
          <w:szCs w:val="14"/>
          <w:color w:val="auto"/>
        </w:rPr>
        <w:t>Ownership of Five Percent or Less of a Class.</w:t>
      </w:r>
    </w:p>
    <w:p>
      <w:pPr>
        <w:spacing w:after="0" w:line="201" w:lineRule="exact"/>
        <w:rPr>
          <w:sz w:val="20"/>
          <w:szCs w:val="20"/>
          <w:color w:val="auto"/>
        </w:rPr>
      </w:pPr>
    </w:p>
    <w:p>
      <w:pPr>
        <w:ind w:left="1180"/>
        <w:spacing w:after="0" w:line="259" w:lineRule="auto"/>
        <w:rPr>
          <w:sz w:val="20"/>
          <w:szCs w:val="20"/>
          <w:color w:val="auto"/>
        </w:rPr>
      </w:pPr>
      <w:r>
        <w:rPr>
          <w:rFonts w:ascii="Arial" w:cs="Arial" w:eastAsia="Arial" w:hAnsi="Arial"/>
          <w:sz w:val="17"/>
          <w:szCs w:val="17"/>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6.</w:t>
      </w:r>
      <w:r>
        <w:rPr>
          <w:sz w:val="20"/>
          <w:szCs w:val="20"/>
          <w:color w:val="auto"/>
        </w:rPr>
        <w:tab/>
      </w:r>
      <w:r>
        <w:rPr>
          <w:rFonts w:ascii="Arial" w:cs="Arial" w:eastAsia="Arial" w:hAnsi="Arial"/>
          <w:sz w:val="15"/>
          <w:szCs w:val="15"/>
          <w:color w:val="auto"/>
        </w:rPr>
        <w:t>Ownership of More than Five Percent on Behalf of Another Person.</w:t>
      </w:r>
    </w:p>
    <w:p>
      <w:pPr>
        <w:spacing w:after="0" w:line="201" w:lineRule="exact"/>
        <w:rPr>
          <w:sz w:val="20"/>
          <w:szCs w:val="20"/>
          <w:color w:val="auto"/>
        </w:rPr>
      </w:pPr>
    </w:p>
    <w:p>
      <w:pPr>
        <w:ind w:left="1180"/>
        <w:spacing w:after="0" w:line="259" w:lineRule="auto"/>
        <w:rPr>
          <w:sz w:val="20"/>
          <w:szCs w:val="20"/>
          <w:color w:val="auto"/>
        </w:rPr>
      </w:pPr>
      <w:r>
        <w:rPr>
          <w:rFonts w:ascii="Arial" w:cs="Arial" w:eastAsia="Arial" w:hAnsi="Arial"/>
          <w:sz w:val="17"/>
          <w:szCs w:val="17"/>
          <w:color w:val="auto"/>
        </w:rPr>
        <w:t>Partners, BVF Inc. and Mr. Lampert share voting and dispositive power over the shares of Common Stock beneficially owned by BVF, BVF2, Trading Fund OS, and the Partners Managed Accounts.</w:t>
      </w:r>
    </w:p>
    <w:p>
      <w:pPr>
        <w:spacing w:after="0" w:line="17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7.</w:t>
      </w:r>
      <w:r>
        <w:rPr>
          <w:sz w:val="20"/>
          <w:szCs w:val="20"/>
          <w:color w:val="auto"/>
        </w:rPr>
        <w:tab/>
      </w:r>
      <w:r>
        <w:rPr>
          <w:rFonts w:ascii="Arial" w:cs="Arial" w:eastAsia="Arial" w:hAnsi="Arial"/>
          <w:sz w:val="15"/>
          <w:szCs w:val="15"/>
          <w:color w:val="auto"/>
        </w:rPr>
        <w:t>Identification and Classification of the Subsidiary That Acquired the Security Being Reported on by the Parent Holding Company or Control Person.</w:t>
      </w:r>
    </w:p>
    <w:p>
      <w:pPr>
        <w:spacing w:after="0" w:line="20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Not Applicable.</w:t>
      </w:r>
    </w:p>
    <w:p>
      <w:pPr>
        <w:spacing w:after="0" w:line="201"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8.</w:t>
      </w:r>
      <w:r>
        <w:rPr>
          <w:sz w:val="20"/>
          <w:szCs w:val="20"/>
          <w:color w:val="auto"/>
        </w:rPr>
        <w:tab/>
      </w:r>
      <w:r>
        <w:rPr>
          <w:rFonts w:ascii="Arial" w:cs="Arial" w:eastAsia="Arial" w:hAnsi="Arial"/>
          <w:sz w:val="15"/>
          <w:szCs w:val="15"/>
          <w:color w:val="auto"/>
        </w:rPr>
        <w:t>Identification and Classification of Members of the Group.</w:t>
      </w:r>
    </w:p>
    <w:p>
      <w:pPr>
        <w:spacing w:after="0" w:line="201" w:lineRule="exact"/>
        <w:rPr>
          <w:sz w:val="20"/>
          <w:szCs w:val="20"/>
          <w:color w:val="auto"/>
        </w:rPr>
      </w:pPr>
    </w:p>
    <w:p>
      <w:pPr>
        <w:ind w:left="1180"/>
        <w:spacing w:after="0" w:line="259" w:lineRule="auto"/>
        <w:rPr>
          <w:sz w:val="20"/>
          <w:szCs w:val="20"/>
          <w:color w:val="auto"/>
        </w:rPr>
      </w:pPr>
      <w:r>
        <w:rPr>
          <w:rFonts w:ascii="Arial" w:cs="Arial" w:eastAsia="Arial" w:hAnsi="Arial"/>
          <w:sz w:val="17"/>
          <w:szCs w:val="17"/>
          <w:color w:val="auto"/>
        </w:rPr>
        <w:t>See Exhibit 99.1 to Amendment No. 1 to the Schedule 13G filed by the Reporting Persons with the Securities and Exchange Commission on February 16, 2016.</w:t>
      </w:r>
    </w:p>
    <w:p>
      <w:pPr>
        <w:spacing w:after="0" w:line="17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9.</w:t>
      </w:r>
      <w:r>
        <w:rPr>
          <w:sz w:val="20"/>
          <w:szCs w:val="20"/>
          <w:color w:val="auto"/>
        </w:rPr>
        <w:tab/>
      </w:r>
      <w:r>
        <w:rPr>
          <w:rFonts w:ascii="Arial" w:cs="Arial" w:eastAsia="Arial" w:hAnsi="Arial"/>
          <w:sz w:val="15"/>
          <w:szCs w:val="15"/>
          <w:color w:val="auto"/>
        </w:rPr>
        <w:t>Notice of Dissolution of Group.</w:t>
      </w:r>
    </w:p>
    <w:p>
      <w:pPr>
        <w:spacing w:after="0" w:line="20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Not Applicable.</w:t>
      </w:r>
    </w:p>
    <w:p>
      <w:pPr>
        <w:spacing w:after="0" w:line="201"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Item 10.</w:t>
      </w:r>
      <w:r>
        <w:rPr>
          <w:sz w:val="20"/>
          <w:szCs w:val="20"/>
          <w:color w:val="auto"/>
        </w:rPr>
        <w:tab/>
      </w:r>
      <w:r>
        <w:rPr>
          <w:rFonts w:ascii="Arial" w:cs="Arial" w:eastAsia="Arial" w:hAnsi="Arial"/>
          <w:sz w:val="15"/>
          <w:szCs w:val="15"/>
          <w:color w:val="auto"/>
        </w:rPr>
        <w:t>Certifications.</w:t>
      </w:r>
    </w:p>
    <w:p>
      <w:pPr>
        <w:spacing w:after="0" w:line="201" w:lineRule="exact"/>
        <w:rPr>
          <w:sz w:val="20"/>
          <w:szCs w:val="20"/>
          <w:color w:val="auto"/>
        </w:rPr>
      </w:pPr>
    </w:p>
    <w:p>
      <w:pPr>
        <w:jc w:val="both"/>
        <w:ind w:firstLine="1189"/>
        <w:spacing w:after="0" w:line="251" w:lineRule="auto"/>
        <w:rPr>
          <w:sz w:val="20"/>
          <w:szCs w:val="20"/>
          <w:color w:val="auto"/>
        </w:rPr>
      </w:pPr>
      <w:r>
        <w:rPr>
          <w:rFonts w:ascii="Arial" w:cs="Arial" w:eastAsia="Arial" w:hAnsi="Arial"/>
          <w:sz w:val="17"/>
          <w:szCs w:val="17"/>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5805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CUSIP No. 09627Y109</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w:t>
      </w:r>
    </w:p>
    <w:p>
      <w:pPr>
        <w:spacing w:after="0" w:line="201" w:lineRule="exact"/>
        <w:rPr>
          <w:sz w:val="20"/>
          <w:szCs w:val="20"/>
          <w:color w:val="auto"/>
        </w:rPr>
      </w:pPr>
    </w:p>
    <w:p>
      <w:pPr>
        <w:ind w:firstLine="1189"/>
        <w:spacing w:after="0" w:line="259" w:lineRule="auto"/>
        <w:rPr>
          <w:sz w:val="20"/>
          <w:szCs w:val="20"/>
          <w:color w:val="auto"/>
        </w:rPr>
      </w:pPr>
      <w:r>
        <w:rPr>
          <w:rFonts w:ascii="Arial" w:cs="Arial" w:eastAsia="Arial" w:hAnsi="Arial"/>
          <w:sz w:val="17"/>
          <w:szCs w:val="17"/>
          <w:color w:val="auto"/>
        </w:rPr>
        <w:t>After reasonable inquiry and to the best of his knowledge and belief, each of the undersigned certifies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Dated: May 3, 2017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80" w:type="dxa"/>
            <w:vAlign w:val="bottom"/>
            <w:gridSpan w:val="2"/>
          </w:tcPr>
          <w:p>
            <w:pPr>
              <w:ind w:left="100"/>
              <w:spacing w:after="0"/>
              <w:rPr>
                <w:sz w:val="20"/>
                <w:szCs w:val="20"/>
                <w:color w:val="auto"/>
              </w:rPr>
            </w:pPr>
            <w:r>
              <w:rPr>
                <w:rFonts w:ascii="Arial" w:cs="Arial" w:eastAsia="Arial" w:hAnsi="Arial"/>
                <w:sz w:val="17"/>
                <w:szCs w:val="17"/>
                <w:color w:val="auto"/>
              </w:rPr>
              <w:t>BIOTECHNOLOGY VALUE FUND, L.P.</w:t>
            </w:r>
          </w:p>
        </w:tc>
        <w:tc>
          <w:tcPr>
            <w:tcW w:w="6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7"/>
                <w:szCs w:val="17"/>
                <w:color w:val="auto"/>
              </w:rPr>
              <w:t>BVF INC.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500" w:type="dxa"/>
            <w:vAlign w:val="bottom"/>
          </w:tcPr>
          <w:p>
            <w:pPr>
              <w:spacing w:after="0"/>
              <w:rPr>
                <w:sz w:val="20"/>
                <w:szCs w:val="20"/>
                <w:color w:val="auto"/>
              </w:rPr>
            </w:pPr>
            <w:r>
              <w:rPr>
                <w:rFonts w:ascii="Arial" w:cs="Arial" w:eastAsia="Arial" w:hAnsi="Arial"/>
                <w:sz w:val="17"/>
                <w:szCs w:val="17"/>
                <w:color w:val="auto"/>
              </w:rPr>
              <w:t>BVF Partners L.P., its general partner</w:t>
            </w:r>
          </w:p>
        </w:tc>
        <w:tc>
          <w:tcPr>
            <w:tcW w:w="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N. Lampert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100"/>
              <w:spacing w:after="0" w:line="180" w:lineRule="exact"/>
              <w:rPr>
                <w:sz w:val="20"/>
                <w:szCs w:val="20"/>
                <w:color w:val="auto"/>
              </w:rPr>
            </w:pPr>
            <w:r>
              <w:rPr>
                <w:rFonts w:ascii="Arial" w:cs="Arial" w:eastAsia="Arial" w:hAnsi="Arial"/>
                <w:sz w:val="17"/>
                <w:szCs w:val="17"/>
                <w:color w:val="auto"/>
              </w:rPr>
              <w:t>By:</w:t>
            </w:r>
          </w:p>
        </w:tc>
        <w:tc>
          <w:tcPr>
            <w:tcW w:w="4500" w:type="dxa"/>
            <w:vAlign w:val="bottom"/>
          </w:tcPr>
          <w:p>
            <w:pPr>
              <w:spacing w:after="0" w:line="180" w:lineRule="exact"/>
              <w:rPr>
                <w:sz w:val="20"/>
                <w:szCs w:val="20"/>
                <w:color w:val="auto"/>
              </w:rPr>
            </w:pPr>
            <w:r>
              <w:rPr>
                <w:rFonts w:ascii="Arial" w:cs="Arial" w:eastAsia="Arial" w:hAnsi="Arial"/>
                <w:sz w:val="17"/>
                <w:szCs w:val="17"/>
                <w:color w:val="auto"/>
              </w:rPr>
              <w:t>BVF Inc., its general partner</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40" w:type="dxa"/>
            <w:vAlign w:val="bottom"/>
          </w:tcPr>
          <w:p>
            <w:pPr>
              <w:spacing w:after="0" w:line="180" w:lineRule="exact"/>
              <w:rPr>
                <w:sz w:val="20"/>
                <w:szCs w:val="20"/>
                <w:color w:val="auto"/>
              </w:rPr>
            </w:pPr>
            <w:r>
              <w:rPr>
                <w:rFonts w:ascii="Arial" w:cs="Arial" w:eastAsia="Arial" w:hAnsi="Arial"/>
                <w:sz w:val="17"/>
                <w:szCs w:val="17"/>
                <w:color w:val="auto"/>
              </w:rPr>
              <w:t>Mark N. Lampert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0" w:type="dxa"/>
            <w:vAlign w:val="bottom"/>
            <w:vMerge w:val="restart"/>
          </w:tcPr>
          <w:p>
            <w:pPr>
              <w:ind w:left="100"/>
              <w:spacing w:after="0"/>
              <w:rPr>
                <w:sz w:val="20"/>
                <w:szCs w:val="20"/>
                <w:color w:val="auto"/>
              </w:rPr>
            </w:pPr>
            <w:r>
              <w:rPr>
                <w:rFonts w:ascii="Arial" w:cs="Arial" w:eastAsia="Arial" w:hAnsi="Arial"/>
                <w:sz w:val="17"/>
                <w:szCs w:val="17"/>
                <w:color w:val="auto"/>
              </w:rPr>
              <w:t>By:</w:t>
            </w:r>
          </w:p>
        </w:tc>
        <w:tc>
          <w:tcPr>
            <w:tcW w:w="4500" w:type="dxa"/>
            <w:vAlign w:val="bottom"/>
            <w:vMerge w:val="restart"/>
          </w:tcPr>
          <w:p>
            <w:pPr>
              <w:spacing w:after="0"/>
              <w:rPr>
                <w:sz w:val="20"/>
                <w:szCs w:val="20"/>
                <w:color w:val="auto"/>
              </w:rPr>
            </w:pPr>
            <w:r>
              <w:rPr>
                <w:rFonts w:ascii="Arial" w:cs="Arial" w:eastAsia="Arial" w:hAnsi="Arial"/>
                <w:sz w:val="17"/>
                <w:szCs w:val="17"/>
                <w:color w:val="auto"/>
              </w:rPr>
              <w:t>/s/ Mark N. Lampert</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President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0" w:type="dxa"/>
            <w:vAlign w:val="bottom"/>
            <w:vMerge w:val="continue"/>
          </w:tcPr>
          <w:p>
            <w:pPr>
              <w:spacing w:after="0"/>
              <w:rPr>
                <w:sz w:val="17"/>
                <w:szCs w:val="17"/>
                <w:color w:val="auto"/>
              </w:rPr>
            </w:pPr>
          </w:p>
        </w:tc>
        <w:tc>
          <w:tcPr>
            <w:tcW w:w="4500" w:type="dxa"/>
            <w:vAlign w:val="bottom"/>
            <w:tcBorders>
              <w:bottom w:val="single" w:sz="8" w:color="auto"/>
            </w:tcBorders>
            <w:vMerge w:val="continue"/>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80" w:type="dxa"/>
            <w:vAlign w:val="bottom"/>
          </w:tcPr>
          <w:p>
            <w:pPr>
              <w:spacing w:after="0"/>
              <w:rPr>
                <w:sz w:val="15"/>
                <w:szCs w:val="15"/>
                <w:color w:val="auto"/>
              </w:rPr>
            </w:pPr>
          </w:p>
        </w:tc>
        <w:tc>
          <w:tcPr>
            <w:tcW w:w="4500" w:type="dxa"/>
            <w:vAlign w:val="bottom"/>
          </w:tcPr>
          <w:p>
            <w:pPr>
              <w:spacing w:after="0" w:line="179" w:lineRule="exact"/>
              <w:rPr>
                <w:sz w:val="20"/>
                <w:szCs w:val="20"/>
                <w:color w:val="auto"/>
              </w:rPr>
            </w:pPr>
            <w:r>
              <w:rPr>
                <w:rFonts w:ascii="Arial" w:cs="Arial" w:eastAsia="Arial" w:hAnsi="Arial"/>
                <w:sz w:val="17"/>
                <w:szCs w:val="17"/>
                <w:color w:val="auto"/>
              </w:rPr>
              <w:t>Mark N. Lampert</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President</w:t>
            </w:r>
          </w:p>
        </w:tc>
        <w:tc>
          <w:tcPr>
            <w:tcW w:w="640" w:type="dxa"/>
            <w:vAlign w:val="bottom"/>
          </w:tcPr>
          <w:p>
            <w:pPr>
              <w:spacing w:after="0"/>
              <w:rPr>
                <w:sz w:val="18"/>
                <w:szCs w:val="18"/>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Mark N. Lampert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00" w:type="dxa"/>
            <w:vAlign w:val="bottom"/>
            <w:gridSpan w:val="2"/>
          </w:tcPr>
          <w:p>
            <w:pPr>
              <w:spacing w:after="0"/>
              <w:rPr>
                <w:sz w:val="20"/>
                <w:szCs w:val="20"/>
                <w:color w:val="auto"/>
              </w:rPr>
            </w:pPr>
            <w:r>
              <w:rPr>
                <w:rFonts w:ascii="Arial" w:cs="Arial" w:eastAsia="Arial" w:hAnsi="Arial"/>
                <w:sz w:val="17"/>
                <w:szCs w:val="17"/>
                <w:color w:val="auto"/>
              </w:rPr>
              <w:t>MARK N. LAMPERT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5180" w:type="dxa"/>
            <w:vAlign w:val="bottom"/>
            <w:gridSpan w:val="2"/>
          </w:tcPr>
          <w:p>
            <w:pPr>
              <w:ind w:left="100"/>
              <w:spacing w:after="0"/>
              <w:rPr>
                <w:sz w:val="20"/>
                <w:szCs w:val="20"/>
                <w:color w:val="auto"/>
              </w:rPr>
            </w:pPr>
            <w:r>
              <w:rPr>
                <w:rFonts w:ascii="Arial" w:cs="Arial" w:eastAsia="Arial" w:hAnsi="Arial"/>
                <w:sz w:val="17"/>
                <w:szCs w:val="17"/>
                <w:color w:val="auto"/>
              </w:rPr>
              <w:t>BIOTECHNOLOGY VALUE FUND II, L.P.</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500" w:type="dxa"/>
            <w:vAlign w:val="bottom"/>
          </w:tcPr>
          <w:p>
            <w:pPr>
              <w:spacing w:after="0"/>
              <w:rPr>
                <w:sz w:val="20"/>
                <w:szCs w:val="20"/>
                <w:color w:val="auto"/>
              </w:rPr>
            </w:pPr>
            <w:r>
              <w:rPr>
                <w:rFonts w:ascii="Arial" w:cs="Arial" w:eastAsia="Arial" w:hAnsi="Arial"/>
                <w:sz w:val="17"/>
                <w:szCs w:val="17"/>
                <w:color w:val="auto"/>
              </w:rPr>
              <w:t>BVF Partners L.P., its general partner</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500" w:type="dxa"/>
            <w:vAlign w:val="bottom"/>
          </w:tcPr>
          <w:p>
            <w:pPr>
              <w:spacing w:after="0"/>
              <w:rPr>
                <w:sz w:val="20"/>
                <w:szCs w:val="20"/>
                <w:color w:val="auto"/>
              </w:rPr>
            </w:pPr>
            <w:r>
              <w:rPr>
                <w:rFonts w:ascii="Arial" w:cs="Arial" w:eastAsia="Arial" w:hAnsi="Arial"/>
                <w:sz w:val="17"/>
                <w:szCs w:val="17"/>
                <w:color w:val="auto"/>
              </w:rPr>
              <w:t>BVF Inc., its general partner</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N. Lampert</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80" w:type="dxa"/>
            <w:vAlign w:val="bottom"/>
          </w:tcPr>
          <w:p>
            <w:pPr>
              <w:spacing w:after="0"/>
              <w:rPr>
                <w:sz w:val="15"/>
                <w:szCs w:val="15"/>
                <w:color w:val="auto"/>
              </w:rPr>
            </w:pPr>
          </w:p>
        </w:tc>
        <w:tc>
          <w:tcPr>
            <w:tcW w:w="4500" w:type="dxa"/>
            <w:vAlign w:val="bottom"/>
          </w:tcPr>
          <w:p>
            <w:pPr>
              <w:spacing w:after="0" w:line="179" w:lineRule="exact"/>
              <w:rPr>
                <w:sz w:val="20"/>
                <w:szCs w:val="20"/>
                <w:color w:val="auto"/>
              </w:rPr>
            </w:pPr>
            <w:r>
              <w:rPr>
                <w:rFonts w:ascii="Arial" w:cs="Arial" w:eastAsia="Arial" w:hAnsi="Arial"/>
                <w:sz w:val="17"/>
                <w:szCs w:val="17"/>
                <w:color w:val="auto"/>
              </w:rPr>
              <w:t>Mark N. Lampert</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President</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5180" w:type="dxa"/>
            <w:vAlign w:val="bottom"/>
            <w:gridSpan w:val="2"/>
          </w:tcPr>
          <w:p>
            <w:pPr>
              <w:ind w:left="100"/>
              <w:spacing w:after="0"/>
              <w:rPr>
                <w:sz w:val="20"/>
                <w:szCs w:val="20"/>
                <w:color w:val="auto"/>
              </w:rPr>
            </w:pPr>
            <w:r>
              <w:rPr>
                <w:rFonts w:ascii="Arial" w:cs="Arial" w:eastAsia="Arial" w:hAnsi="Arial"/>
                <w:sz w:val="17"/>
                <w:szCs w:val="17"/>
                <w:color w:val="auto"/>
              </w:rPr>
              <w:t>BVF PARTNERS L.P.</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500" w:type="dxa"/>
            <w:vAlign w:val="bottom"/>
          </w:tcPr>
          <w:p>
            <w:pPr>
              <w:spacing w:after="0"/>
              <w:rPr>
                <w:sz w:val="20"/>
                <w:szCs w:val="20"/>
                <w:color w:val="auto"/>
              </w:rPr>
            </w:pPr>
            <w:r>
              <w:rPr>
                <w:rFonts w:ascii="Arial" w:cs="Arial" w:eastAsia="Arial" w:hAnsi="Arial"/>
                <w:sz w:val="17"/>
                <w:szCs w:val="17"/>
                <w:color w:val="auto"/>
              </w:rPr>
              <w:t>BVF Inc., its general partner</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N. Lampert</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80" w:type="dxa"/>
            <w:vAlign w:val="bottom"/>
          </w:tcPr>
          <w:p>
            <w:pPr>
              <w:spacing w:after="0"/>
              <w:rPr>
                <w:sz w:val="15"/>
                <w:szCs w:val="15"/>
                <w:color w:val="auto"/>
              </w:rPr>
            </w:pPr>
          </w:p>
        </w:tc>
        <w:tc>
          <w:tcPr>
            <w:tcW w:w="4500" w:type="dxa"/>
            <w:vAlign w:val="bottom"/>
          </w:tcPr>
          <w:p>
            <w:pPr>
              <w:spacing w:after="0" w:line="179" w:lineRule="exact"/>
              <w:rPr>
                <w:sz w:val="20"/>
                <w:szCs w:val="20"/>
                <w:color w:val="auto"/>
              </w:rPr>
            </w:pPr>
            <w:r>
              <w:rPr>
                <w:rFonts w:ascii="Arial" w:cs="Arial" w:eastAsia="Arial" w:hAnsi="Arial"/>
                <w:sz w:val="17"/>
                <w:szCs w:val="17"/>
                <w:color w:val="auto"/>
              </w:rPr>
              <w:t>Mark N. Lampert</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President</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5180" w:type="dxa"/>
            <w:vAlign w:val="bottom"/>
            <w:gridSpan w:val="2"/>
          </w:tcPr>
          <w:p>
            <w:pPr>
              <w:ind w:left="100"/>
              <w:spacing w:after="0"/>
              <w:rPr>
                <w:sz w:val="20"/>
                <w:szCs w:val="20"/>
                <w:color w:val="auto"/>
              </w:rPr>
            </w:pPr>
            <w:r>
              <w:rPr>
                <w:rFonts w:ascii="Arial" w:cs="Arial" w:eastAsia="Arial" w:hAnsi="Arial"/>
                <w:sz w:val="17"/>
                <w:szCs w:val="17"/>
                <w:color w:val="auto"/>
              </w:rPr>
              <w:t>BVF PARTNERS OS LTD.</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500" w:type="dxa"/>
            <w:vAlign w:val="bottom"/>
          </w:tcPr>
          <w:p>
            <w:pPr>
              <w:spacing w:after="0"/>
              <w:rPr>
                <w:sz w:val="20"/>
                <w:szCs w:val="20"/>
                <w:color w:val="auto"/>
              </w:rPr>
            </w:pPr>
            <w:r>
              <w:rPr>
                <w:rFonts w:ascii="Arial" w:cs="Arial" w:eastAsia="Arial" w:hAnsi="Arial"/>
                <w:sz w:val="17"/>
                <w:szCs w:val="17"/>
                <w:color w:val="auto"/>
              </w:rPr>
              <w:t>BVF Partners L.P., its sole member</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500" w:type="dxa"/>
            <w:vAlign w:val="bottom"/>
          </w:tcPr>
          <w:p>
            <w:pPr>
              <w:spacing w:after="0"/>
              <w:rPr>
                <w:sz w:val="20"/>
                <w:szCs w:val="20"/>
                <w:color w:val="auto"/>
              </w:rPr>
            </w:pPr>
            <w:r>
              <w:rPr>
                <w:rFonts w:ascii="Arial" w:cs="Arial" w:eastAsia="Arial" w:hAnsi="Arial"/>
                <w:sz w:val="17"/>
                <w:szCs w:val="17"/>
                <w:color w:val="auto"/>
              </w:rPr>
              <w:t>BVF Inc., its general partner</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N. Lampert</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4500" w:type="dxa"/>
            <w:vAlign w:val="bottom"/>
          </w:tcPr>
          <w:p>
            <w:pPr>
              <w:spacing w:after="0" w:line="178" w:lineRule="exact"/>
              <w:rPr>
                <w:sz w:val="20"/>
                <w:szCs w:val="20"/>
                <w:color w:val="auto"/>
              </w:rPr>
            </w:pPr>
            <w:r>
              <w:rPr>
                <w:rFonts w:ascii="Arial" w:cs="Arial" w:eastAsia="Arial" w:hAnsi="Arial"/>
                <w:sz w:val="17"/>
                <w:szCs w:val="17"/>
                <w:color w:val="auto"/>
              </w:rPr>
              <w:t>Mark N. Lampert</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President</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5180" w:type="dxa"/>
            <w:vAlign w:val="bottom"/>
            <w:gridSpan w:val="2"/>
          </w:tcPr>
          <w:p>
            <w:pPr>
              <w:ind w:left="100"/>
              <w:spacing w:after="0"/>
              <w:rPr>
                <w:sz w:val="20"/>
                <w:szCs w:val="20"/>
                <w:color w:val="auto"/>
              </w:rPr>
            </w:pPr>
            <w:r>
              <w:rPr>
                <w:rFonts w:ascii="Arial" w:cs="Arial" w:eastAsia="Arial" w:hAnsi="Arial"/>
                <w:sz w:val="17"/>
                <w:szCs w:val="17"/>
                <w:color w:val="auto"/>
              </w:rPr>
              <w:t>BIOTECHNOLOGY VALUE TRADING FUND OS LP</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500" w:type="dxa"/>
            <w:vAlign w:val="bottom"/>
          </w:tcPr>
          <w:p>
            <w:pPr>
              <w:spacing w:after="0"/>
              <w:rPr>
                <w:sz w:val="20"/>
                <w:szCs w:val="20"/>
                <w:color w:val="auto"/>
              </w:rPr>
            </w:pPr>
            <w:r>
              <w:rPr>
                <w:rFonts w:ascii="Arial" w:cs="Arial" w:eastAsia="Arial" w:hAnsi="Arial"/>
                <w:sz w:val="17"/>
                <w:szCs w:val="17"/>
                <w:color w:val="auto"/>
              </w:rPr>
              <w:t>BVF Partners L.P., its investment manager</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500" w:type="dxa"/>
            <w:vAlign w:val="bottom"/>
          </w:tcPr>
          <w:p>
            <w:pPr>
              <w:spacing w:after="0"/>
              <w:rPr>
                <w:sz w:val="20"/>
                <w:szCs w:val="20"/>
                <w:color w:val="auto"/>
              </w:rPr>
            </w:pPr>
            <w:r>
              <w:rPr>
                <w:rFonts w:ascii="Arial" w:cs="Arial" w:eastAsia="Arial" w:hAnsi="Arial"/>
                <w:sz w:val="17"/>
                <w:szCs w:val="17"/>
                <w:color w:val="auto"/>
              </w:rPr>
              <w:t>BVF Inc., its general partner</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N. Lampert</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4500" w:type="dxa"/>
            <w:vAlign w:val="bottom"/>
          </w:tcPr>
          <w:p>
            <w:pPr>
              <w:spacing w:after="0" w:line="178" w:lineRule="exact"/>
              <w:rPr>
                <w:sz w:val="20"/>
                <w:szCs w:val="20"/>
                <w:color w:val="auto"/>
              </w:rPr>
            </w:pPr>
            <w:r>
              <w:rPr>
                <w:rFonts w:ascii="Arial" w:cs="Arial" w:eastAsia="Arial" w:hAnsi="Arial"/>
                <w:sz w:val="17"/>
                <w:szCs w:val="17"/>
                <w:color w:val="auto"/>
              </w:rPr>
              <w:t>Mark N. Lampert</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President</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6"/>
        </w:trPr>
        <w:tc>
          <w:tcPr>
            <w:tcW w:w="6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5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1"/>
      <w:numFmt w:val="decimal"/>
      <w:start w:val="12"/>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3"/>
      <w:numFmt w:val="bullet"/>
      <w:start w:val="1"/>
    </w:lvl>
  </w:abstractNum>
  <w:abstractNum w:abstractNumId="8">
    <w:nsid w:val="66EF438D"/>
    <w:multiLevelType w:val="hybridMultilevel"/>
    <w:lvl w:ilvl="0">
      <w:lvlJc w:val="left"/>
      <w:lvlText w:val="4"/>
      <w:numFmt w:val="bullet"/>
      <w:start w:val="1"/>
    </w:lvl>
  </w:abstractNum>
  <w:abstractNum w:abstractNumId="9">
    <w:nsid w:val="140E0F76"/>
    <w:multiLevelType w:val="hybridMultilevel"/>
    <w:lvl w:ilvl="0">
      <w:lvlJc w:val="left"/>
      <w:lvlText w:val="%1"/>
      <w:numFmt w:val="decimal"/>
      <w:start w:val="12"/>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2019-12-07T22:26:33Z</dcterms:created>
  <dcterms:modified xsi:type="dcterms:W3CDTF">2019-12-07T22:26:33Z</dcterms:modified>
</cp:coreProperties>
</file>