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67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675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Lengauer Christoph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04/29/2015</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Blueprint Medicines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BPMC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41"/>
        </w:trPr>
        <w:tc>
          <w:tcPr>
            <w:tcW w:w="1840" w:type="dxa"/>
            <w:vAlign w:val="bottom"/>
            <w:gridSpan w:val="2"/>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ind w:left="80"/>
              <w:spacing w:after="0"/>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r>
        <w:trPr>
          <w:trHeight w:val="177"/>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20" w:type="dxa"/>
            <w:vAlign w:val="bottom"/>
            <w:vMerge w:val="continue"/>
          </w:tcPr>
          <w:p>
            <w:pPr>
              <w:spacing w:after="0"/>
              <w:rPr>
                <w:sz w:val="10"/>
                <w:szCs w:val="10"/>
                <w:color w:val="auto"/>
              </w:rPr>
            </w:pPr>
          </w:p>
        </w:tc>
        <w:tc>
          <w:tcPr>
            <w:tcW w:w="142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1480" w:type="dxa"/>
            <w:vAlign w:val="bottom"/>
          </w:tcPr>
          <w:p>
            <w:pPr>
              <w:ind w:left="320"/>
              <w:spacing w:after="0" w:line="102" w:lineRule="exact"/>
              <w:rPr>
                <w:sz w:val="20"/>
                <w:szCs w:val="20"/>
                <w:color w:val="auto"/>
              </w:rPr>
            </w:pPr>
            <w:r>
              <w:rPr>
                <w:rFonts w:ascii="Arial" w:cs="Arial" w:eastAsia="Arial" w:hAnsi="Arial"/>
                <w:sz w:val="11"/>
                <w:szCs w:val="11"/>
                <w:color w:val="auto"/>
              </w:rPr>
              <w:t>below)</w:t>
            </w:r>
          </w:p>
        </w:tc>
        <w:tc>
          <w:tcPr>
            <w:tcW w:w="28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900" w:type="dxa"/>
            <w:vAlign w:val="bottom"/>
            <w:gridSpan w:val="2"/>
          </w:tcPr>
          <w:p>
            <w:pPr>
              <w:ind w:left="380"/>
              <w:spacing w:after="0"/>
              <w:rPr>
                <w:sz w:val="20"/>
                <w:szCs w:val="20"/>
                <w:color w:val="auto"/>
              </w:rPr>
            </w:pPr>
            <w:r>
              <w:rPr>
                <w:rFonts w:ascii="Arial" w:cs="Arial" w:eastAsia="Arial" w:hAnsi="Arial"/>
                <w:sz w:val="18"/>
                <w:szCs w:val="18"/>
                <w:color w:val="0000FF"/>
              </w:rPr>
              <w:t>Chief Scientific Officer</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ind w:left="3560"/>
        <w:spacing w:after="0" w:line="188"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5"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3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188,332</w:t>
            </w:r>
            <w:r>
              <w:rPr>
                <w:rFonts w:ascii="Arial" w:cs="Arial" w:eastAsia="Arial" w:hAnsi="Arial"/>
                <w:sz w:val="22"/>
                <w:szCs w:val="22"/>
                <w:color w:val="008000"/>
                <w:vertAlign w:val="superscript"/>
              </w:rPr>
              <w:t>(1)</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11/03/2023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35,227</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1.485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08/14/2024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24,848</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02/10/2025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53,408</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8.8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20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Table II, column 3 of the Form 3 filed on April 30, 2015 (the "Original Form 3") inadvertently included an aggregate of 24,696 shares underlying stock options, which the Reporting Person had previously exercised. These shares were also inadvertently omitted from Table I, column 2 of the Original Form 3. The Reporting Person previously filed an amendment to the Original Form 3 on May 1, 2015 reporting the beneficial ownership of an aggregate of 188,332 shares of common stock in Table I, including the 24,696 shares omitted from Table I, column 2 of the Original Form 3. This amendment is being filed to reduce the aggregate number of shares underlying derivative securities reported in Table II, column 3 of the Original Form 3 by 24,696 shares. These shares were also inadvertently included in the aggregate number of shares underlying derivative securities reported in Table II, column 9 of a Form 4 filed by the Reporting Person on February 5, 2016.</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November 1,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August 18,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February 10, 2015.</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03/28/2016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8469"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2019-12-09T00:19:26Z</dcterms:created>
  <dcterms:modified xsi:type="dcterms:W3CDTF">2019-12-09T00:19:26Z</dcterms:modified>
</cp:coreProperties>
</file>