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664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664146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652"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Albers Jeffrey W.</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220"/>
        <w:spacing w:after="0" w:line="343" w:lineRule="auto"/>
        <w:rPr>
          <w:sz w:val="20"/>
          <w:szCs w:val="20"/>
          <w:color w:val="auto"/>
        </w:rPr>
      </w:pPr>
      <w:r>
        <w:rPr>
          <w:rFonts w:ascii="Times New Roman" w:cs="Times New Roman" w:eastAsia="Times New Roman" w:hAnsi="Times New Roman"/>
          <w:sz w:val="17"/>
          <w:szCs w:val="17"/>
          <w:color w:val="0000FF"/>
        </w:rPr>
        <w:t>C/O BLUEPRINT MEDICINES CORPORATION 45 SIDNEY STREET</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02139</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Blueprint Medicines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BPMC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20" w:type="dxa"/>
            <w:vAlign w:val="bottom"/>
            <w:tcBorders>
              <w:bottom w:val="single" w:sz="8" w:color="0000EE"/>
            </w:tcBorders>
          </w:tcPr>
          <w:p>
            <w:pPr>
              <w:spacing w:after="0"/>
              <w:rPr>
                <w:sz w:val="3"/>
                <w:szCs w:val="3"/>
                <w:color w:val="auto"/>
              </w:rPr>
            </w:pPr>
          </w:p>
        </w:tc>
        <w:tc>
          <w:tcPr>
            <w:tcW w:w="1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line="159"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8"/>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tcPr>
          <w:p>
            <w:pPr>
              <w:spacing w:after="0"/>
              <w:rPr>
                <w:sz w:val="11"/>
                <w:szCs w:val="11"/>
                <w:color w:val="auto"/>
              </w:rPr>
            </w:pPr>
          </w:p>
        </w:tc>
        <w:tc>
          <w:tcPr>
            <w:tcW w:w="162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01/25/2024</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2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60" w:right="600" w:hanging="238"/>
        <w:spacing w:after="0" w:line="182" w:lineRule="auto"/>
        <w:tabs>
          <w:tab w:leader="none" w:pos="36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7" w:lineRule="exact"/>
        <w:rPr>
          <w:sz w:val="24"/>
          <w:szCs w:val="24"/>
          <w:color w:val="auto"/>
        </w:rPr>
      </w:pPr>
    </w:p>
    <w:p>
      <w:pPr>
        <w:sectPr>
          <w:pgSz w:w="11900" w:h="16838" w:orient="portrait"/>
          <w:cols w:equalWidth="0" w:num="2">
            <w:col w:w="3760" w:space="80"/>
            <w:col w:w="7240"/>
          </w:cols>
          <w:pgMar w:left="460" w:top="217" w:right="359" w:bottom="652"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6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7"/>
              </w:rPr>
              <w:t>Disposed Of (D) (Instr. 3, 4 and 5)</w:t>
            </w: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jc w:val="center"/>
              <w:ind w:left="548"/>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8"/>
              <w:spacing w:after="0"/>
              <w:rPr>
                <w:sz w:val="20"/>
                <w:szCs w:val="20"/>
                <w:color w:val="auto"/>
              </w:rPr>
            </w:pPr>
            <w:r>
              <w:rPr>
                <w:rFonts w:ascii="Times New Roman" w:cs="Times New Roman" w:eastAsia="Times New Roman" w:hAnsi="Times New Roman"/>
                <w:sz w:val="17"/>
                <w:szCs w:val="17"/>
                <w:color w:val="0000FF"/>
                <w:w w:val="98"/>
              </w:rPr>
              <w:t>01/25/2024</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tcPr>
          <w:p>
            <w:pPr>
              <w:jc w:val="center"/>
              <w:ind w:left="89"/>
              <w:spacing w:after="0"/>
              <w:rPr>
                <w:sz w:val="20"/>
                <w:szCs w:val="20"/>
                <w:color w:val="auto"/>
              </w:rPr>
            </w:pPr>
            <w:r>
              <w:rPr>
                <w:rFonts w:ascii="Times New Roman" w:cs="Times New Roman" w:eastAsia="Times New Roman" w:hAnsi="Times New Roman"/>
                <w:sz w:val="17"/>
                <w:szCs w:val="17"/>
                <w:color w:val="0000FF"/>
                <w:w w:val="98"/>
              </w:rPr>
              <w:t>15,000</w:t>
            </w:r>
          </w:p>
        </w:tc>
        <w:tc>
          <w:tcPr>
            <w:tcW w:w="660" w:type="dxa"/>
            <w:vAlign w:val="bottom"/>
            <w:tcBorders>
              <w:bottom w:val="single" w:sz="8" w:color="2C2C2C"/>
            </w:tcBorders>
          </w:tcPr>
          <w:p>
            <w:pPr>
              <w:jc w:val="right"/>
              <w:ind w:right="154"/>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47"/>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1.87</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191,050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8"/>
              <w:spacing w:after="0"/>
              <w:rPr>
                <w:sz w:val="20"/>
                <w:szCs w:val="20"/>
                <w:color w:val="auto"/>
              </w:rPr>
            </w:pPr>
            <w:r>
              <w:rPr>
                <w:rFonts w:ascii="Times New Roman" w:cs="Times New Roman" w:eastAsia="Times New Roman" w:hAnsi="Times New Roman"/>
                <w:sz w:val="17"/>
                <w:szCs w:val="17"/>
                <w:color w:val="0000FF"/>
                <w:w w:val="98"/>
              </w:rPr>
              <w:t>01/25/2024</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tcPr>
          <w:p>
            <w:pPr>
              <w:jc w:val="center"/>
              <w:ind w:left="89"/>
              <w:spacing w:after="0"/>
              <w:rPr>
                <w:sz w:val="20"/>
                <w:szCs w:val="20"/>
                <w:color w:val="auto"/>
              </w:rPr>
            </w:pPr>
            <w:r>
              <w:rPr>
                <w:rFonts w:ascii="Times New Roman" w:cs="Times New Roman" w:eastAsia="Times New Roman" w:hAnsi="Times New Roman"/>
                <w:sz w:val="17"/>
                <w:szCs w:val="17"/>
                <w:color w:val="0000FF"/>
                <w:w w:val="98"/>
              </w:rPr>
              <w:t>10,000</w:t>
            </w:r>
          </w:p>
        </w:tc>
        <w:tc>
          <w:tcPr>
            <w:tcW w:w="660" w:type="dxa"/>
            <w:vAlign w:val="bottom"/>
            <w:tcBorders>
              <w:bottom w:val="single" w:sz="8" w:color="2C2C2C"/>
            </w:tcBorders>
          </w:tcPr>
          <w:p>
            <w:pPr>
              <w:jc w:val="right"/>
              <w:ind w:right="154"/>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15.01</w:t>
            </w: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201,050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8"/>
              <w:spacing w:after="0"/>
              <w:rPr>
                <w:sz w:val="20"/>
                <w:szCs w:val="20"/>
                <w:color w:val="auto"/>
              </w:rPr>
            </w:pPr>
            <w:r>
              <w:rPr>
                <w:rFonts w:ascii="Times New Roman" w:cs="Times New Roman" w:eastAsia="Times New Roman" w:hAnsi="Times New Roman"/>
                <w:sz w:val="17"/>
                <w:szCs w:val="17"/>
                <w:color w:val="0000FF"/>
                <w:w w:val="98"/>
              </w:rPr>
              <w:t>01/25/2024</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89"/>
              <w:spacing w:after="0"/>
              <w:rPr>
                <w:sz w:val="20"/>
                <w:szCs w:val="20"/>
                <w:color w:val="auto"/>
              </w:rPr>
            </w:pPr>
            <w:r>
              <w:rPr>
                <w:rFonts w:ascii="Times New Roman" w:cs="Times New Roman" w:eastAsia="Times New Roman" w:hAnsi="Times New Roman"/>
                <w:sz w:val="17"/>
                <w:szCs w:val="17"/>
                <w:color w:val="0000FF"/>
                <w:w w:val="99"/>
              </w:rPr>
              <w:t>6,086</w:t>
            </w:r>
          </w:p>
        </w:tc>
        <w:tc>
          <w:tcPr>
            <w:tcW w:w="660" w:type="dxa"/>
            <w:vAlign w:val="bottom"/>
            <w:tcBorders>
              <w:bottom w:val="single" w:sz="8" w:color="2C2C2C"/>
            </w:tcBorders>
          </w:tcPr>
          <w:p>
            <w:pPr>
              <w:jc w:val="right"/>
              <w:ind w:right="154"/>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81.16</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194,964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8"/>
              <w:spacing w:after="0"/>
              <w:rPr>
                <w:sz w:val="20"/>
                <w:szCs w:val="20"/>
                <w:color w:val="auto"/>
              </w:rPr>
            </w:pPr>
            <w:r>
              <w:rPr>
                <w:rFonts w:ascii="Times New Roman" w:cs="Times New Roman" w:eastAsia="Times New Roman" w:hAnsi="Times New Roman"/>
                <w:sz w:val="17"/>
                <w:szCs w:val="17"/>
                <w:color w:val="0000FF"/>
                <w:w w:val="98"/>
              </w:rPr>
              <w:t>01/25/2024</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89"/>
              <w:spacing w:after="0"/>
              <w:rPr>
                <w:sz w:val="20"/>
                <w:szCs w:val="20"/>
                <w:color w:val="auto"/>
              </w:rPr>
            </w:pPr>
            <w:r>
              <w:rPr>
                <w:rFonts w:ascii="Times New Roman" w:cs="Times New Roman" w:eastAsia="Times New Roman" w:hAnsi="Times New Roman"/>
                <w:sz w:val="17"/>
                <w:szCs w:val="17"/>
                <w:color w:val="0000FF"/>
                <w:w w:val="98"/>
              </w:rPr>
              <w:t>10,890</w:t>
            </w:r>
          </w:p>
        </w:tc>
        <w:tc>
          <w:tcPr>
            <w:tcW w:w="660" w:type="dxa"/>
            <w:vAlign w:val="bottom"/>
            <w:tcBorders>
              <w:bottom w:val="single" w:sz="8" w:color="2C2C2C"/>
            </w:tcBorders>
          </w:tcPr>
          <w:p>
            <w:pPr>
              <w:jc w:val="right"/>
              <w:ind w:right="154"/>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Times New Roman" w:cs="Times New Roman" w:eastAsia="Times New Roman" w:hAnsi="Times New Roman"/>
                <w:sz w:val="17"/>
                <w:szCs w:val="17"/>
                <w:color w:val="0000FF"/>
                <w:w w:val="89"/>
              </w:rPr>
              <w:t>81.7</w:t>
            </w:r>
            <w:r>
              <w:rPr>
                <w:rFonts w:ascii="Times New Roman" w:cs="Times New Roman" w:eastAsia="Times New Roman" w:hAnsi="Times New Roman"/>
                <w:sz w:val="21"/>
                <w:szCs w:val="21"/>
                <w:color w:val="008000"/>
                <w:w w:val="89"/>
                <w:vertAlign w:val="superscript"/>
              </w:rPr>
              <w:t>(3)</w:t>
            </w: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184,074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8"/>
              <w:spacing w:after="0"/>
              <w:rPr>
                <w:sz w:val="20"/>
                <w:szCs w:val="20"/>
                <w:color w:val="auto"/>
              </w:rPr>
            </w:pPr>
            <w:r>
              <w:rPr>
                <w:rFonts w:ascii="Times New Roman" w:cs="Times New Roman" w:eastAsia="Times New Roman" w:hAnsi="Times New Roman"/>
                <w:sz w:val="17"/>
                <w:szCs w:val="17"/>
                <w:color w:val="0000FF"/>
                <w:w w:val="98"/>
              </w:rPr>
              <w:t>01/25/2024</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89"/>
              <w:spacing w:after="0"/>
              <w:rPr>
                <w:sz w:val="20"/>
                <w:szCs w:val="20"/>
                <w:color w:val="auto"/>
              </w:rPr>
            </w:pPr>
            <w:r>
              <w:rPr>
                <w:rFonts w:ascii="Times New Roman" w:cs="Times New Roman" w:eastAsia="Times New Roman" w:hAnsi="Times New Roman"/>
                <w:sz w:val="17"/>
                <w:szCs w:val="17"/>
                <w:color w:val="0000FF"/>
                <w:w w:val="99"/>
              </w:rPr>
              <w:t>7,924</w:t>
            </w:r>
          </w:p>
        </w:tc>
        <w:tc>
          <w:tcPr>
            <w:tcW w:w="660" w:type="dxa"/>
            <w:vAlign w:val="bottom"/>
            <w:tcBorders>
              <w:bottom w:val="single" w:sz="8" w:color="2C2C2C"/>
            </w:tcBorders>
          </w:tcPr>
          <w:p>
            <w:pPr>
              <w:jc w:val="right"/>
              <w:ind w:right="154"/>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82.76</w:t>
            </w:r>
            <w:r>
              <w:rPr>
                <w:rFonts w:ascii="Times New Roman" w:cs="Times New Roman" w:eastAsia="Times New Roman" w:hAnsi="Times New Roman"/>
                <w:sz w:val="21"/>
                <w:szCs w:val="21"/>
                <w:color w:val="008000"/>
                <w:w w:val="93"/>
                <w:vertAlign w:val="superscript"/>
              </w:rPr>
              <w:t>(4)</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176,150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8"/>
              <w:spacing w:after="0"/>
              <w:rPr>
                <w:sz w:val="20"/>
                <w:szCs w:val="20"/>
                <w:color w:val="auto"/>
              </w:rPr>
            </w:pPr>
            <w:r>
              <w:rPr>
                <w:rFonts w:ascii="Times New Roman" w:cs="Times New Roman" w:eastAsia="Times New Roman" w:hAnsi="Times New Roman"/>
                <w:sz w:val="17"/>
                <w:szCs w:val="17"/>
                <w:color w:val="0000FF"/>
                <w:w w:val="98"/>
              </w:rPr>
              <w:t>01/25/2024</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89"/>
              <w:spacing w:after="0"/>
              <w:rPr>
                <w:sz w:val="20"/>
                <w:szCs w:val="20"/>
                <w:color w:val="auto"/>
              </w:rPr>
            </w:pPr>
            <w:r>
              <w:rPr>
                <w:rFonts w:ascii="Times New Roman" w:cs="Times New Roman" w:eastAsia="Times New Roman" w:hAnsi="Times New Roman"/>
                <w:sz w:val="17"/>
                <w:szCs w:val="17"/>
                <w:color w:val="0000FF"/>
              </w:rPr>
              <w:t>100</w:t>
            </w:r>
          </w:p>
        </w:tc>
        <w:tc>
          <w:tcPr>
            <w:tcW w:w="660" w:type="dxa"/>
            <w:vAlign w:val="bottom"/>
            <w:tcBorders>
              <w:bottom w:val="single" w:sz="8" w:color="2C2C2C"/>
            </w:tcBorders>
          </w:tcPr>
          <w:p>
            <w:pPr>
              <w:jc w:val="right"/>
              <w:ind w:right="154"/>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83.57</w:t>
            </w: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176,050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2"/>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jc w:val="center"/>
              <w:ind w:left="468"/>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ind w:right="16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1.87</w:t>
            </w: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0000FF"/>
              </w:rPr>
              <w:t>01/25/2024</w:t>
            </w:r>
          </w:p>
        </w:tc>
        <w:tc>
          <w:tcPr>
            <w:tcW w:w="1140" w:type="dxa"/>
            <w:vAlign w:val="bottom"/>
          </w:tcPr>
          <w:p>
            <w:pPr>
              <w:spacing w:after="0"/>
              <w:rPr>
                <w:sz w:val="16"/>
                <w:szCs w:val="16"/>
                <w:color w:val="auto"/>
              </w:rPr>
            </w:pPr>
          </w:p>
        </w:tc>
        <w:tc>
          <w:tcPr>
            <w:tcW w:w="620" w:type="dxa"/>
            <w:vAlign w:val="bottom"/>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160" w:type="dxa"/>
            <w:vAlign w:val="bottom"/>
          </w:tcPr>
          <w:p>
            <w:pPr>
              <w:spacing w:after="0"/>
              <w:rPr>
                <w:sz w:val="16"/>
                <w:szCs w:val="16"/>
                <w:color w:val="auto"/>
              </w:rPr>
            </w:pPr>
          </w:p>
        </w:tc>
        <w:tc>
          <w:tcPr>
            <w:tcW w:w="86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15,000</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07/30/2024</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15,000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15,073</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jc w:val="right"/>
              <w:ind w:right="154"/>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ind w:right="12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15.01</w:t>
            </w: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0000FF"/>
              </w:rPr>
              <w:t>01/25/2024</w:t>
            </w:r>
          </w:p>
        </w:tc>
        <w:tc>
          <w:tcPr>
            <w:tcW w:w="1140" w:type="dxa"/>
            <w:vAlign w:val="bottom"/>
          </w:tcPr>
          <w:p>
            <w:pPr>
              <w:spacing w:after="0"/>
              <w:rPr>
                <w:sz w:val="17"/>
                <w:szCs w:val="17"/>
                <w:color w:val="auto"/>
              </w:rPr>
            </w:pPr>
          </w:p>
        </w:tc>
        <w:tc>
          <w:tcPr>
            <w:tcW w:w="620" w:type="dxa"/>
            <w:vAlign w:val="bottom"/>
          </w:tcPr>
          <w:p>
            <w:pPr>
              <w:ind w:left="80"/>
              <w:spacing w:after="0" w:line="207"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(1)</w:t>
            </w:r>
          </w:p>
        </w:tc>
        <w:tc>
          <w:tcPr>
            <w:tcW w:w="160" w:type="dxa"/>
            <w:vAlign w:val="bottom"/>
          </w:tcPr>
          <w:p>
            <w:pPr>
              <w:spacing w:after="0"/>
              <w:rPr>
                <w:sz w:val="17"/>
                <w:szCs w:val="17"/>
                <w:color w:val="auto"/>
              </w:rPr>
            </w:pPr>
          </w:p>
        </w:tc>
        <w:tc>
          <w:tcPr>
            <w:tcW w:w="86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10,000</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02/03/2026</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10,000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2,496</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jc w:val="right"/>
              <w:ind w:right="154"/>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Effected pursuant to a trading plan adopted on May 26, 2023 in accordance with Rule 10b5-1 under the Securities Exchange Act of 1934, as amended.</w:t>
      </w:r>
    </w:p>
    <w:p>
      <w:pPr>
        <w:spacing w:after="0" w:line="43" w:lineRule="exact"/>
        <w:rPr>
          <w:rFonts w:ascii="Times New Roman" w:cs="Times New Roman" w:eastAsia="Times New Roman" w:hAnsi="Times New Roman"/>
          <w:sz w:val="13"/>
          <w:szCs w:val="13"/>
          <w:color w:val="008000"/>
        </w:rPr>
      </w:pPr>
    </w:p>
    <w:p>
      <w:pPr>
        <w:ind w:left="40" w:right="22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$80.42 to $81.41 per share.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through (4).</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$81.42 to $82.41 per share.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$82.42 to $83.24 per share.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July 30, 2014 and is fully vested as of the date hereof.</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February 3, 2016 and is fully vested as of the date hereof.</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Melissa Masse, Attorney-in- </w:t>
      </w:r>
      <w:r>
        <w:rPr>
          <w:rFonts w:ascii="Times New Roman" w:cs="Times New Roman" w:eastAsia="Times New Roman" w:hAnsi="Times New Roman"/>
          <w:sz w:val="33"/>
          <w:szCs w:val="33"/>
          <w:color w:val="0000FF"/>
          <w:vertAlign w:val="subscript"/>
        </w:rPr>
        <w:t>01/29/2024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423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652" w:gutter="0" w:footer="0" w:header="0"/>
          <w:type w:val="continuous"/>
        </w:sectPr>
      </w:pPr>
    </w:p>
    <w:bookmarkStart w:id="1" w:name="page2"/>
    <w:bookmarkEnd w:id="1"/>
    <w:p>
      <w:pPr>
        <w:ind w:left="3840"/>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The undersigned hereby constitutes and appoints each of Tracey McCain, Melissa Masse, Ariel Hurley and Michael</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Landsittel, and each of them individually, and with full power of substitution, the undersigned’s true and lawful attorney-in-fact to:</w:t>
      </w:r>
    </w:p>
    <w:p>
      <w:pPr>
        <w:spacing w:after="0" w:line="186" w:lineRule="exact"/>
        <w:rPr>
          <w:sz w:val="20"/>
          <w:szCs w:val="20"/>
          <w:color w:val="auto"/>
        </w:rPr>
      </w:pPr>
    </w:p>
    <w:p>
      <w:pPr>
        <w:ind w:right="80" w:firstLine="622"/>
        <w:spacing w:after="0" w:line="237" w:lineRule="auto"/>
        <w:tabs>
          <w:tab w:leader="none" w:pos="1427"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74" w:lineRule="exact"/>
        <w:rPr>
          <w:rFonts w:ascii="Times New Roman" w:cs="Times New Roman" w:eastAsia="Times New Roman" w:hAnsi="Times New Roman"/>
          <w:sz w:val="21"/>
          <w:szCs w:val="21"/>
          <w:color w:val="auto"/>
        </w:rPr>
      </w:pPr>
    </w:p>
    <w:p>
      <w:pPr>
        <w:ind w:right="460" w:firstLine="622"/>
        <w:spacing w:after="0" w:line="239" w:lineRule="auto"/>
        <w:tabs>
          <w:tab w:leader="none" w:pos="1427"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72" w:lineRule="exact"/>
        <w:rPr>
          <w:rFonts w:ascii="Times New Roman" w:cs="Times New Roman" w:eastAsia="Times New Roman" w:hAnsi="Times New Roman"/>
          <w:sz w:val="21"/>
          <w:szCs w:val="21"/>
          <w:color w:val="auto"/>
        </w:rPr>
      </w:pPr>
    </w:p>
    <w:p>
      <w:pPr>
        <w:ind w:right="260" w:firstLine="622"/>
        <w:spacing w:after="0" w:line="255" w:lineRule="auto"/>
        <w:tabs>
          <w:tab w:leader="none" w:pos="1427"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57" w:lineRule="exact"/>
        <w:rPr>
          <w:sz w:val="20"/>
          <w:szCs w:val="20"/>
          <w:color w:val="auto"/>
        </w:rPr>
      </w:pPr>
    </w:p>
    <w:p>
      <w:pPr>
        <w:ind w:right="40" w:firstLine="593"/>
        <w:spacing w:after="0" w:line="237" w:lineRule="auto"/>
        <w:rPr>
          <w:sz w:val="20"/>
          <w:szCs w:val="20"/>
          <w:color w:val="auto"/>
        </w:rPr>
      </w:pPr>
      <w:r>
        <w:rPr>
          <w:rFonts w:ascii="Times New Roman" w:cs="Times New Roman" w:eastAsia="Times New Roman" w:hAnsi="Times New Roman"/>
          <w:sz w:val="21"/>
          <w:szCs w:val="21"/>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75" w:lineRule="exact"/>
        <w:rPr>
          <w:sz w:val="20"/>
          <w:szCs w:val="20"/>
          <w:color w:val="auto"/>
        </w:rPr>
      </w:pPr>
    </w:p>
    <w:p>
      <w:pPr>
        <w:ind w:firstLine="593"/>
        <w:spacing w:after="0" w:line="237" w:lineRule="auto"/>
        <w:rPr>
          <w:sz w:val="20"/>
          <w:szCs w:val="20"/>
          <w:color w:val="auto"/>
        </w:rPr>
      </w:pPr>
      <w:r>
        <w:rPr>
          <w:rFonts w:ascii="Times New Roman" w:cs="Times New Roman" w:eastAsia="Times New Roman" w:hAnsi="Times New Roman"/>
          <w:sz w:val="21"/>
          <w:szCs w:val="21"/>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5" w:lineRule="exact"/>
        <w:rPr>
          <w:sz w:val="20"/>
          <w:szCs w:val="20"/>
          <w:color w:val="auto"/>
        </w:rPr>
      </w:pPr>
    </w:p>
    <w:p>
      <w:pPr>
        <w:ind w:right="340" w:firstLine="593"/>
        <w:spacing w:after="0" w:line="243"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549275</wp:posOffset>
            </wp:positionV>
            <wp:extent cx="6968490" cy="901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68490" cy="90170"/>
                    </a:xfrm>
                    <a:prstGeom prst="rect">
                      <a:avLst/>
                    </a:prstGeom>
                    <a:noFill/>
                  </pic:spPr>
                </pic:pic>
              </a:graphicData>
            </a:graphic>
          </wp:anchor>
        </w:drawing>
      </w:r>
    </w:p>
    <w:p>
      <w:pPr>
        <w:sectPr>
          <w:pgSz w:w="11900" w:h="16838" w:orient="portrait"/>
          <w:cols w:equalWidth="0" w:num="1">
            <w:col w:w="10960"/>
          </w:cols>
          <w:pgMar w:left="460" w:top="110" w:right="479" w:bottom="1440" w:gutter="0" w:footer="0" w:header="0"/>
        </w:sectPr>
      </w:pPr>
    </w:p>
    <w:bookmarkStart w:id="2" w:name="page3"/>
    <w:bookmarkEnd w:id="2"/>
    <w:p>
      <w:pPr>
        <w:spacing w:after="0" w:line="257" w:lineRule="auto"/>
        <w:rPr>
          <w:sz w:val="20"/>
          <w:szCs w:val="20"/>
          <w:color w:val="auto"/>
        </w:rPr>
      </w:pPr>
      <w:r>
        <w:rPr>
          <w:rFonts w:ascii="Times New Roman" w:cs="Times New Roman" w:eastAsia="Times New Roman" w:hAnsi="Times New Roman"/>
          <w:sz w:val="21"/>
          <w:szCs w:val="21"/>
          <w:color w:val="auto"/>
        </w:rPr>
        <w:t>holdings of and transactions in securities issued by the Company, unless earlier revoked by the undersigned in a signed writing delivered to the foregoing attorneys-in-fact.</w:t>
      </w:r>
    </w:p>
    <w:p>
      <w:pPr>
        <w:spacing w:after="0" w:line="15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January 30, 2023.</w:t>
      </w:r>
    </w:p>
    <w:p>
      <w:pPr>
        <w:spacing w:after="0" w:line="200" w:lineRule="exact"/>
        <w:rPr>
          <w:sz w:val="20"/>
          <w:szCs w:val="20"/>
          <w:color w:val="auto"/>
        </w:rPr>
      </w:pPr>
    </w:p>
    <w:p>
      <w:pPr>
        <w:spacing w:after="0" w:line="241" w:lineRule="exact"/>
        <w:rPr>
          <w:sz w:val="20"/>
          <w:szCs w:val="20"/>
          <w:color w:val="auto"/>
        </w:rPr>
      </w:pPr>
    </w:p>
    <w:p>
      <w:pPr>
        <w:ind w:left="5400"/>
        <w:spacing w:after="0"/>
        <w:tabs>
          <w:tab w:leader="none" w:pos="64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Jeffrey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4055110</wp:posOffset>
            </wp:positionH>
            <wp:positionV relativeFrom="paragraph">
              <wp:posOffset>10160</wp:posOffset>
            </wp:positionV>
            <wp:extent cx="29152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915285" cy="8255"/>
                    </a:xfrm>
                    <a:prstGeom prst="rect">
                      <a:avLst/>
                    </a:prstGeom>
                    <a:noFill/>
                  </pic:spPr>
                </pic:pic>
              </a:graphicData>
            </a:graphic>
          </wp:anchor>
        </w:drawing>
      </w:r>
    </w:p>
    <w:p>
      <w:pPr>
        <w:spacing w:after="0" w:line="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1"/>
          <w:szCs w:val="21"/>
          <w:color w:val="auto"/>
        </w:rPr>
        <w:t>Name: Jeffrey Albers</w:t>
      </w:r>
    </w:p>
    <w:sectPr>
      <w:pgSz w:w="11900" w:h="16838" w:orient="portrait"/>
      <w:cols w:equalWidth="0" w:num="1">
        <w:col w:w="10460"/>
      </w:cols>
      <w:pgMar w:left="460" w:top="114"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638474"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2024-01-29T17:15:16Z</dcterms:created>
  <dcterms:modified xsi:type="dcterms:W3CDTF">2024-01-29T17:15:16Z</dcterms:modified>
</cp:coreProperties>
</file>