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5" w:before="0" w:after="120"/>
        <w:ind w:left="0" w:right="0" w:hanging="0"/>
        <w:rPr/>
      </w:pPr>
      <w:hyperlink w:anchor="Toc">
        <w:bookmarkStart w:id="0" w:name="bpmc-20230331x10q.htm"/>
        <w:bookmarkStart w:id="1" w:name="ksbpmc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88" w:after="0"/>
        <w:ind w:left="0" w:right="0" w:hanging="0"/>
        <w:jc w:val="center"/>
        <w:rPr>
          <w:rFonts w:ascii="Times New Roman;Times;serif" w:hAnsi="Times New Roman;Times;serif"/>
          <w:b/>
          <w:sz w:val="32"/>
        </w:rPr>
      </w:pPr>
      <w:bookmarkStart w:id="2" w:name="_adbb55b5_c98e_4f4e_85e9_ea5e67eb4e64"/>
      <w:bookmarkEnd w:id="2"/>
      <w:r>
        <w:rPr>
          <w:rFonts w:ascii="Times New Roman;Times;serif" w:hAnsi="Times New Roman;Times;serif"/>
          <w:b/>
          <w:sz w:val="32"/>
        </w:rPr>
        <w:t>UNITED STATES</w:t>
      </w:r>
    </w:p>
    <w:p>
      <w:pPr>
        <w:pStyle w:val="TextBody"/>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spacing w:lineRule="auto" w:line="285" w:before="264"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lineRule="auto" w:line="285" w:before="0" w:after="0"/>
        <w:ind w:left="0" w:right="0" w:hanging="0"/>
        <w:jc w:val="center"/>
        <w:rPr/>
      </w:pPr>
      <w:r>
        <w:rPr/>
        <w:t>​</w:t>
      </w:r>
    </w:p>
    <w:p>
      <w:pPr>
        <w:pStyle w:val="TextBody"/>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lineRule="auto" w:line="285" w:before="0" w:after="0"/>
        <w:ind w:left="0" w:right="0" w:hanging="0"/>
        <w:rPr/>
      </w:pPr>
      <w:r>
        <w:rPr/>
        <w:t>​</w:t>
      </w:r>
    </w:p>
    <w:p>
      <w:pPr>
        <w:pStyle w:val="TextBody"/>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spacing w:lineRule="auto" w:line="285" w:before="0" w:after="0"/>
        <w:ind w:left="0" w:right="0" w:hanging="0"/>
        <w:jc w:val="center"/>
        <w:rPr/>
      </w:pPr>
      <w:r>
        <w:rPr/>
        <w:t>​</w:t>
      </w:r>
    </w:p>
    <w:p>
      <w:pPr>
        <w:pStyle w:val="TextBody"/>
        <w:spacing w:lineRule="auto" w:line="285" w:before="20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spacing w:lineRule="auto" w:line="285" w:before="0" w:after="0"/>
        <w:ind w:left="0" w:right="0" w:hanging="0"/>
        <w:jc w:val="center"/>
        <w:rPr/>
      </w:pPr>
      <w:r>
        <w:rPr/>
        <w:t>​</w:t>
      </w:r>
    </w:p>
    <w:p>
      <w:pPr>
        <w:pStyle w:val="Normal"/>
        <w:spacing w:before="0" w:after="0"/>
        <w:rPr>
          <w:sz w:val="4"/>
          <w:szCs w:val="4"/>
        </w:rPr>
      </w:pPr>
      <w:r>
        <w:rPr>
          <w:sz w:val="4"/>
          <w:szCs w:val="4"/>
        </w:rPr>
      </w:r>
      <w:bookmarkStart w:id="3" w:name="Tc_NVxzG2iNoU2inRBqDNbZfg_4_2"/>
      <w:bookmarkStart w:id="4" w:name="Tc_MBaWoSZt9kCQegx4dnvNLg_4_0"/>
      <w:bookmarkStart w:id="5" w:name="Tc_ACS4K7iC_0mWsVNkGXO0_w_3_0"/>
      <w:bookmarkStart w:id="6" w:name="Tc_isAnX6UOrUWkiCNJ-d56kg_1_2"/>
      <w:bookmarkStart w:id="7" w:name="Tc_n0d8PSDrBUOjImjUG5LApg_1_0"/>
      <w:bookmarkStart w:id="8" w:name="_b450458e_301a_40d8_8429_7c8cfd151076"/>
      <w:bookmarkStart w:id="9" w:name="Tc_NVxzG2iNoU2inRBqDNbZfg_4_2"/>
      <w:bookmarkStart w:id="10" w:name="Tc_MBaWoSZt9kCQegx4dnvNLg_4_0"/>
      <w:bookmarkStart w:id="11" w:name="Tc_ACS4K7iC_0mWsVNkGXO0_w_3_0"/>
      <w:bookmarkStart w:id="12" w:name="Tc_isAnX6UOrUWkiCNJ-d56kg_1_2"/>
      <w:bookmarkStart w:id="13" w:name="Tc_n0d8PSDrBUOjImjUG5LApg_1_0"/>
      <w:bookmarkStart w:id="14" w:name="_b450458e_301a_40d8_8429_7c8cfd151076"/>
      <w:bookmarkEnd w:id="9"/>
      <w:bookmarkEnd w:id="10"/>
      <w:bookmarkEnd w:id="11"/>
      <w:bookmarkEnd w:id="12"/>
      <w:bookmarkEnd w:id="13"/>
      <w:bookmarkEnd w:id="14"/>
    </w:p>
    <w:tbl>
      <w:tblPr>
        <w:tblW w:w="3673" w:type="dxa"/>
        <w:jc w:val="left"/>
        <w:tblInd w:w="0" w:type="dxa"/>
        <w:tblCellMar>
          <w:top w:w="0" w:type="dxa"/>
          <w:left w:w="0" w:type="dxa"/>
          <w:bottom w:w="0" w:type="dxa"/>
          <w:right w:w="0" w:type="dxa"/>
        </w:tblCellMar>
      </w:tblPr>
      <w:tblGrid>
        <w:gridCol w:w="2371"/>
        <w:gridCol w:w="146"/>
        <w:gridCol w:w="1156"/>
      </w:tblGrid>
      <w:tr>
        <w:trPr/>
        <w:tc>
          <w:tcPr>
            <w:tcW w:w="2371"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shd w:fill="auto" w:val="clear"/>
            <w:vAlign w:val="center"/>
          </w:tcPr>
          <w:p>
            <w:pPr>
              <w:pStyle w:val="TableContents"/>
              <w:spacing w:lineRule="auto" w:line="285" w:before="0" w:after="0"/>
              <w:ind w:left="0" w:right="0" w:hanging="0"/>
              <w:rPr/>
            </w:pPr>
            <w:r>
              <w:rPr/>
              <w:t> </w:t>
            </w:r>
          </w:p>
        </w:tc>
        <w:tc>
          <w:tcPr>
            <w:tcW w:w="1156"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shd w:fill="auto" w:val="clear"/>
            <w:vAlign w:val="center"/>
          </w:tcPr>
          <w:p>
            <w:pPr>
              <w:pStyle w:val="TableContents"/>
              <w:spacing w:lineRule="auto" w:line="285" w:before="0" w:after="0"/>
              <w:ind w:left="0" w:right="0" w:hanging="0"/>
              <w:rPr/>
            </w:pPr>
            <w:r>
              <w:rPr/>
              <w:t> </w:t>
            </w:r>
          </w:p>
        </w:tc>
        <w:tc>
          <w:tcPr>
            <w:tcW w:w="1156"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shd w:fill="auto" w:val="clear"/>
            <w:vAlign w:val="center"/>
          </w:tcPr>
          <w:p>
            <w:pPr>
              <w:pStyle w:val="TableContents"/>
              <w:pBdr/>
              <w:spacing w:lineRule="auto" w:line="285" w:before="0" w:after="0"/>
              <w:ind w:left="0" w:right="0" w:hanging="0"/>
              <w:rPr/>
            </w:pPr>
            <w:r>
              <w:rPr/>
              <w:t> </w:t>
            </w:r>
          </w:p>
        </w:tc>
        <w:tc>
          <w:tcPr>
            <w:tcW w:w="1302" w:type="dxa"/>
            <w:gridSpan w:val="2"/>
            <w:tcBorders/>
            <w:shd w:fill="auto" w:val="clear"/>
            <w:vAlign w:val="center"/>
          </w:tcPr>
          <w:p>
            <w:pPr>
              <w:pStyle w:val="TableContents"/>
              <w:spacing w:lineRule="auto" w:line="285" w:before="0" w:after="0"/>
              <w:ind w:left="0" w:right="0" w:hanging="0"/>
              <w:rPr/>
            </w:pPr>
            <w:r>
              <w:rPr/>
              <w:t> </w:t>
            </w:r>
          </w:p>
        </w:tc>
      </w:tr>
      <w:tr>
        <w:trPr/>
        <w:tc>
          <w:tcPr>
            <w:tcW w:w="2371" w:type="dxa"/>
            <w:tcBorders/>
            <w:shd w:fill="auto" w:val="clear"/>
            <w:vAlign w:val="center"/>
          </w:tcPr>
          <w:p>
            <w:pPr>
              <w:pStyle w:val="TableContents"/>
              <w:pBdr/>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shd w:fill="auto" w:val="clear"/>
            <w:vAlign w:val="center"/>
          </w:tcPr>
          <w:p>
            <w:pPr>
              <w:pStyle w:val="TableContents"/>
              <w:spacing w:lineRule="auto" w:line="285" w:before="0" w:after="0"/>
              <w:ind w:left="0" w:right="0" w:hanging="0"/>
              <w:rPr/>
            </w:pPr>
            <w:r>
              <w:rPr/>
              <w:t> </w:t>
            </w:r>
          </w:p>
        </w:tc>
        <w:tc>
          <w:tcPr>
            <w:tcW w:w="1156"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shd w:fill="auto" w:val="clear"/>
            <w:vAlign w:val="center"/>
          </w:tcPr>
          <w:p>
            <w:pPr>
              <w:pStyle w:val="TableContents"/>
              <w:pBdr/>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shd w:fill="auto" w:val="clear"/>
            <w:vAlign w:val="center"/>
          </w:tcPr>
          <w:p>
            <w:pPr>
              <w:pStyle w:val="TableContents"/>
              <w:spacing w:lineRule="auto" w:line="285" w:before="0" w:after="0"/>
              <w:ind w:left="0" w:right="0" w:hanging="0"/>
              <w:rPr/>
            </w:pPr>
            <w:r>
              <w:rPr/>
              <w:t> </w:t>
            </w:r>
          </w:p>
        </w:tc>
        <w:tc>
          <w:tcPr>
            <w:tcW w:w="1156" w:type="dxa"/>
            <w:tcBorders/>
            <w:shd w:fill="auto" w:val="clear"/>
            <w:vAlign w:val="center"/>
          </w:tcPr>
          <w:p>
            <w:pPr>
              <w:pStyle w:val="TableContents"/>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spacing w:lineRule="auto" w:line="285" w:before="200" w:after="0"/>
        <w:ind w:left="0" w:right="0" w:firstLine="461"/>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lineRule="auto" w:line="285" w:before="200" w:after="0"/>
        <w:ind w:left="0" w:right="0" w:firstLine="461"/>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lineRule="auto" w:line="285" w:before="200" w:after="0"/>
        <w:ind w:left="0" w:right="0" w:firstLine="461"/>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CellMar>
          <w:top w:w="0" w:type="dxa"/>
          <w:left w:w="0" w:type="dxa"/>
          <w:bottom w:w="0" w:type="dxa"/>
          <w:right w:w="0" w:type="dxa"/>
        </w:tblCellMar>
      </w:tblPr>
      <w:tblGrid>
        <w:gridCol w:w="1891"/>
        <w:gridCol w:w="2341"/>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p>
        </w:tc>
        <w:tc>
          <w:tcPr>
            <w:tcW w:w="2341" w:type="dxa"/>
            <w:tcBorders/>
            <w:shd w:fill="auto" w:val="clear"/>
            <w:vAlign w:val="center"/>
          </w:tcPr>
          <w:p>
            <w:pPr>
              <w:pStyle w:val="TableContents"/>
              <w:spacing w:lineRule="auto" w:line="285" w:before="0" w:after="0"/>
              <w:ind w:left="0" w:right="0" w:hanging="0"/>
              <w:rPr/>
            </w:pPr>
            <w:r>
              <w:rPr/>
              <w:t>​</w:t>
            </w:r>
          </w:p>
        </w:tc>
      </w:tr>
      <w:tr>
        <w:trPr/>
        <w:tc>
          <w:tcPr>
            <w:tcW w:w="1891" w:type="dxa"/>
            <w:tcBorders/>
            <w:shd w:fill="auto" w:val="clear"/>
            <w:vAlign w:val="center"/>
          </w:tcPr>
          <w:p>
            <w:pPr>
              <w:pStyle w:val="TableContents"/>
              <w:pBdr/>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shd w:fill="auto" w:val="clear"/>
            <w:vAlign w:val="center"/>
          </w:tcPr>
          <w:p>
            <w:pPr>
              <w:pStyle w:val="TableContents"/>
              <w:pBdr/>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spacing w:lineRule="auto" w:line="285" w:before="120" w:after="0"/>
        <w:ind w:left="0" w:right="0" w:firstLine="461"/>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5" w:before="120" w:after="0"/>
        <w:ind w:left="0" w:right="0" w:firstLine="461"/>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spacing w:lineRule="auto" w:line="285" w:before="0" w:after="0"/>
        <w:ind w:left="0" w:right="0" w:firstLine="461"/>
        <w:rPr/>
      </w:pPr>
      <w:r>
        <w:rPr/>
        <w:t>​</w:t>
      </w:r>
    </w:p>
    <w:p>
      <w:pPr>
        <w:pStyle w:val="TextBody"/>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spacing w:before="0" w:after="0"/>
        <w:rPr>
          <w:sz w:val="4"/>
          <w:szCs w:val="4"/>
        </w:rPr>
      </w:pPr>
      <w:r>
        <w:rPr>
          <w:sz w:val="4"/>
          <w:szCs w:val="4"/>
        </w:rPr>
      </w:r>
      <w:bookmarkStart w:id="15" w:name="Tc_laG46y2C60ShT3QwxEgq0g_1_2"/>
      <w:bookmarkStart w:id="16" w:name="Tc_HPVH1tX49EyL1aXDJZXn3A_1_1"/>
      <w:bookmarkStart w:id="17" w:name="Tc_nnjLpWQEJ0eUT3EIAq0FBQ_1_0"/>
      <w:bookmarkStart w:id="18" w:name="_4a234928_e86c_468a_a214_5df0f6a6da07"/>
      <w:bookmarkStart w:id="19" w:name="Tc_laG46y2C60ShT3QwxEgq0g_1_2"/>
      <w:bookmarkStart w:id="20" w:name="Tc_HPVH1tX49EyL1aXDJZXn3A_1_1"/>
      <w:bookmarkStart w:id="21" w:name="Tc_nnjLpWQEJ0eUT3EIAq0FBQ_1_0"/>
      <w:bookmarkStart w:id="22" w:name="_4a234928_e86c_468a_a214_5df0f6a6da07"/>
      <w:bookmarkEnd w:id="19"/>
      <w:bookmarkEnd w:id="20"/>
      <w:bookmarkEnd w:id="21"/>
      <w:bookmarkEnd w:id="22"/>
    </w:p>
    <w:tbl>
      <w:tblPr>
        <w:tblW w:w="7743" w:type="dxa"/>
        <w:jc w:val="left"/>
        <w:tblInd w:w="0" w:type="dxa"/>
        <w:tblCellMar>
          <w:top w:w="0" w:type="dxa"/>
          <w:left w:w="0" w:type="dxa"/>
          <w:bottom w:w="0" w:type="dxa"/>
          <w:right w:w="0" w:type="dxa"/>
        </w:tblCellMar>
      </w:tblPr>
      <w:tblGrid>
        <w:gridCol w:w="3121"/>
        <w:gridCol w:w="1396"/>
        <w:gridCol w:w="3226"/>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p>
        </w:tc>
        <w:tc>
          <w:tcPr>
            <w:tcW w:w="1396" w:type="dxa"/>
            <w:tcBorders/>
            <w:shd w:fill="auto" w:val="clear"/>
            <w:vAlign w:val="center"/>
          </w:tcPr>
          <w:p>
            <w:pPr>
              <w:pStyle w:val="TableContents"/>
              <w:spacing w:before="0" w:after="283"/>
              <w:ind w:left="0" w:right="0" w:hanging="0"/>
              <w:rPr>
                <w:sz w:val="4"/>
                <w:szCs w:val="4"/>
              </w:rPr>
            </w:pPr>
            <w:r>
              <w:rPr>
                <w:sz w:val="4"/>
                <w:szCs w:val="4"/>
              </w:rPr>
            </w:r>
          </w:p>
        </w:tc>
        <w:tc>
          <w:tcPr>
            <w:tcW w:w="3226" w:type="dxa"/>
            <w:tcBorders/>
            <w:shd w:fill="auto" w:val="clear"/>
            <w:vAlign w:val="center"/>
          </w:tcPr>
          <w:p>
            <w:pPr>
              <w:pStyle w:val="TableContents"/>
              <w:spacing w:before="0" w:after="283"/>
              <w:ind w:left="0" w:right="0" w:hanging="0"/>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spacing w:lineRule="auto" w:line="285" w:before="120" w:after="0"/>
        <w:ind w:left="0" w:right="0" w:firstLine="461"/>
        <w:rPr>
          <w:rFonts w:ascii="Times New Roman;Times;serif" w:hAnsi="Times New Roman;Times;serif"/>
          <w:sz w:val="16"/>
        </w:rPr>
      </w:pPr>
      <w:r>
        <w:rPr>
          <w:rFonts w:ascii="Times New Roman;Times;serif" w:hAnsi="Times New Roman;Times;serif"/>
          <w:sz w:val="16"/>
        </w:rPr>
        <w:t>Number of shares of the registrant’s common stock, $0.001 par value, outstanding on April 28, 2023: 60,467,345</w:t>
      </w:r>
    </w:p>
    <w:p>
      <w:pPr>
        <w:pStyle w:val="TextBody"/>
        <w:spacing w:lineRule="auto" w:line="285" w:before="0" w:after="0"/>
        <w:ind w:left="0" w:right="0" w:firstLine="461"/>
        <w:rPr/>
      </w:pPr>
      <w:r>
        <w:rPr/>
        <w:t>​</w:t>
      </w:r>
    </w:p>
    <w:p>
      <w:pPr>
        <w:pStyle w:val="TextBody"/>
        <w:spacing w:lineRule="auto" w:line="285" w:before="0" w:after="0"/>
        <w:ind w:left="0" w:right="0" w:firstLine="461"/>
        <w:rPr/>
      </w:pPr>
      <w:r>
        <w:rPr/>
        <w:t>​</w:t>
      </w:r>
    </w:p>
    <w:p>
      <w:pPr>
        <w:pStyle w:val="TextBody"/>
        <w:spacing w:lineRule="auto" w:line="285" w:before="480" w:after="0"/>
        <w:ind w:left="0" w:right="0" w:hanging="0"/>
        <w:jc w:val="center"/>
        <w:rPr/>
      </w:pPr>
      <w:r>
        <w:rPr/>
        <w:t>​</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jc w:val="center"/>
        <w:rPr>
          <w:rFonts w:ascii="Times New Roman;Times;serif" w:hAnsi="Times New Roman;Times;serif"/>
          <w:sz w:val="20"/>
        </w:rPr>
      </w:pPr>
      <w:bookmarkStart w:id="23" w:name="Toc"/>
      <w:bookmarkStart w:id="24" w:name="_22f2e75a_4b1d_4c0f_b12c_d18a02e0da84"/>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CellMar>
          <w:top w:w="0" w:type="dxa"/>
          <w:left w:w="0" w:type="dxa"/>
          <w:bottom w:w="0" w:type="dxa"/>
          <w:right w:w="0" w:type="dxa"/>
        </w:tblCellMar>
      </w:tblPr>
      <w:tblGrid>
        <w:gridCol w:w="124"/>
        <w:gridCol w:w="9570"/>
        <w:gridCol w:w="511"/>
      </w:tblGrid>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0"/>
              <w:ind w:left="0" w:right="0" w:hanging="0"/>
              <w:rPr/>
            </w:pPr>
            <w:r>
              <w:rPr/>
              <w:t>​</w:t>
            </w:r>
          </w:p>
        </w:tc>
        <w:tc>
          <w:tcPr>
            <w:tcW w:w="51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shd w:fill="auto" w:val="clear"/>
            <w:vAlign w:val="center"/>
          </w:tcPr>
          <w:p>
            <w:pPr>
              <w:pStyle w:val="TableContents"/>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shd w:fill="auto" w:val="clear"/>
            <w:vAlign w:val="center"/>
          </w:tcPr>
          <w:p>
            <w:pPr>
              <w:pStyle w:val="TableContents"/>
              <w:spacing w:lineRule="auto" w:line="285" w:before="0" w:after="40"/>
              <w:ind w:left="0" w:right="0" w:hanging="0"/>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40"/>
              <w:ind w:left="0" w:right="0" w:hanging="0"/>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40"/>
              <w:ind w:left="0" w:right="0" w:hanging="0"/>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2023 and 2022</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40"/>
              <w:ind w:left="0" w:right="0" w:hanging="0"/>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2023 and 2022</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40"/>
              <w:ind w:left="0" w:right="0" w:hanging="0"/>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40"/>
              <w:ind w:left="0" w:right="0" w:hanging="0"/>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694" w:type="dxa"/>
            <w:gridSpan w:val="2"/>
            <w:tcBorders/>
            <w:shd w:fill="auto" w:val="clear"/>
            <w:vAlign w:val="center"/>
          </w:tcPr>
          <w:p>
            <w:pPr>
              <w:pStyle w:val="TableContents"/>
              <w:spacing w:lineRule="auto" w:line="285" w:before="0" w:after="40"/>
              <w:ind w:left="0" w:right="0" w:hanging="0"/>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94" w:type="dxa"/>
            <w:gridSpan w:val="2"/>
            <w:tcBorders/>
            <w:shd w:fill="auto" w:val="clear"/>
            <w:vAlign w:val="center"/>
          </w:tcPr>
          <w:p>
            <w:pPr>
              <w:pStyle w:val="TableContents"/>
              <w:spacing w:lineRule="auto" w:line="285" w:before="0" w:after="40"/>
              <w:ind w:left="0" w:right="0" w:hanging="0"/>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694" w:type="dxa"/>
            <w:gridSpan w:val="2"/>
            <w:tcBorders/>
            <w:shd w:fill="auto" w:val="clear"/>
            <w:vAlign w:val="center"/>
          </w:tcPr>
          <w:p>
            <w:pPr>
              <w:pStyle w:val="TableContents"/>
              <w:spacing w:lineRule="auto" w:line="285" w:before="0" w:after="40"/>
              <w:ind w:left="0" w:right="0" w:hanging="0"/>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9570" w:type="dxa"/>
            <w:tcBorders/>
            <w:shd w:fill="auto" w:val="clear"/>
            <w:vAlign w:val="center"/>
          </w:tcPr>
          <w:p>
            <w:pPr>
              <w:pStyle w:val="TableContents"/>
              <w:spacing w:lineRule="auto" w:line="285" w:before="0" w:after="0"/>
              <w:ind w:left="0" w:right="0" w:hanging="0"/>
              <w:rPr/>
            </w:pPr>
            <w:r>
              <w:rPr/>
              <w:t>​</w:t>
            </w:r>
          </w:p>
        </w:tc>
        <w:tc>
          <w:tcPr>
            <w:tcW w:w="511" w:type="dxa"/>
            <w:tcBorders/>
            <w:shd w:fill="auto" w:val="clear"/>
            <w:vAlign w:val="center"/>
          </w:tcPr>
          <w:p>
            <w:pPr>
              <w:pStyle w:val="TableContents"/>
              <w:spacing w:lineRule="auto" w:line="285" w:before="0" w:after="0"/>
              <w:ind w:left="0" w:right="0" w:hanging="0"/>
              <w:jc w:val="right"/>
              <w:rPr/>
            </w:pPr>
            <w:r>
              <w:rPr/>
              <w:t>​</w:t>
            </w:r>
          </w:p>
        </w:tc>
      </w:tr>
      <w:tr>
        <w:trPr/>
        <w:tc>
          <w:tcPr>
            <w:tcW w:w="10205" w:type="dxa"/>
            <w:gridSpan w:val="3"/>
            <w:tcBorders/>
            <w:shd w:fill="auto" w:val="clear"/>
            <w:vAlign w:val="center"/>
          </w:tcPr>
          <w:p>
            <w:pPr>
              <w:pStyle w:val="TableContents"/>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shd w:fill="auto" w:val="clear"/>
            <w:vAlign w:val="center"/>
          </w:tcPr>
          <w:p>
            <w:pPr>
              <w:pStyle w:val="TableContents"/>
              <w:spacing w:lineRule="auto" w:line="285" w:before="0" w:after="40"/>
              <w:ind w:left="0" w:right="0" w:hanging="0"/>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694" w:type="dxa"/>
            <w:gridSpan w:val="2"/>
            <w:tcBorders/>
            <w:shd w:fill="auto" w:val="clear"/>
            <w:vAlign w:val="center"/>
          </w:tcPr>
          <w:p>
            <w:pPr>
              <w:pStyle w:val="TableContents"/>
              <w:spacing w:lineRule="auto" w:line="285" w:before="0" w:after="40"/>
              <w:ind w:left="0" w:right="0" w:hanging="0"/>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694" w:type="dxa"/>
            <w:gridSpan w:val="2"/>
            <w:tcBorders/>
            <w:shd w:fill="auto" w:val="clear"/>
            <w:vAlign w:val="center"/>
          </w:tcPr>
          <w:p>
            <w:pPr>
              <w:pStyle w:val="TableContents"/>
              <w:spacing w:lineRule="auto" w:line="285" w:before="0" w:after="40"/>
              <w:ind w:left="0" w:right="0" w:hanging="0"/>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694" w:type="dxa"/>
            <w:gridSpan w:val="2"/>
            <w:tcBorders/>
            <w:shd w:fill="auto" w:val="clear"/>
            <w:vAlign w:val="center"/>
          </w:tcPr>
          <w:p>
            <w:pPr>
              <w:pStyle w:val="TableContents"/>
              <w:spacing w:lineRule="auto" w:line="285" w:before="0" w:after="40"/>
              <w:ind w:left="0" w:right="0" w:hanging="0"/>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694" w:type="dxa"/>
            <w:gridSpan w:val="2"/>
            <w:tcBorders/>
            <w:shd w:fill="auto" w:val="clear"/>
            <w:vAlign w:val="center"/>
          </w:tcPr>
          <w:p>
            <w:pPr>
              <w:pStyle w:val="TableContents"/>
              <w:spacing w:lineRule="auto" w:line="285" w:before="0" w:after="0"/>
              <w:ind w:left="0" w:right="0" w:hanging="0"/>
              <w:rPr/>
            </w:pPr>
            <w:hyperlink w:anchor="SIGNATURES_862342">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694" w:type="dxa"/>
            <w:gridSpan w:val="2"/>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9694" w:type="dxa"/>
            <w:gridSpan w:val="2"/>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pPr>
      <w:r>
        <w:rPr/>
        <w:t>​</w:t>
      </w:r>
    </w:p>
    <w:p>
      <w:pPr>
        <w:pStyle w:val="TextBody"/>
        <w:spacing w:lineRule="auto" w:line="285" w:before="0" w:after="0"/>
        <w:ind w:left="0" w:right="0" w:hanging="0"/>
        <w:jc w:val="center"/>
        <w:rPr/>
      </w:pPr>
      <w:bookmarkStart w:id="25" w:name="_d04a03b6_592b_4c4b_ad6e_8990abd67f6e"/>
      <w:bookmarkEnd w:id="25"/>
      <w:r>
        <w:rPr/>
        <w:t>​</w:t>
      </w:r>
    </w:p>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GAVRETO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associated logos are trademarks of Blueprint Medicines Corporation. Other brands, names and trademarks contained in this Quarterly Report on Form 10-Q are the property of their respective owners.</w:t>
      </w:r>
    </w:p>
    <w:p>
      <w:pPr>
        <w:pStyle w:val="TextBody"/>
        <w:spacing w:lineRule="auto" w:line="307" w:before="0" w:after="16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and pralsetinib for additional indications or in additional geographies</w:t>
            </w:r>
            <w:r>
              <w:rPr>
                <w:rFonts w:ascii="Times New Roman;Times;serif" w:hAnsi="Times New Roman;Times;serif"/>
                <w:b w:val="false"/>
                <w:i w:val="false"/>
                <w:caps w:val="false"/>
                <w:smallCaps w:val="false"/>
                <w:sz w:val="20"/>
                <w:highlight w:val="white"/>
              </w:rPr>
              <w: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GAVRETO</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(pralsetinib) and any current and future drug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systemic mastocytosis (SM) and advanced 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impact of the termination of our collaboration with F. Hoffmann-La Roche Ltd and Genentech, Inc. to develop and commercialize pralsetinib globally (excluding Greater China), our expectations concerning the transition process with F. Hoffmann-La Roche Ltd and Genentech, Inc. and continued patient access to GAVRETO, and our plans to explore options for the path forward for GAVRETO;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CellMar>
          <w:top w:w="28" w:type="dxa"/>
          <w:left w:w="28" w:type="dxa"/>
          <w:bottom w:w="28" w:type="dxa"/>
          <w:right w:w="28" w:type="dxa"/>
        </w:tblCellMar>
      </w:tblPr>
      <w:tblGrid>
        <w:gridCol w:w="124"/>
        <w:gridCol w:w="256"/>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and our collaboration with Oncopia Therapeutics, Inc., d/b/a Proteovant Therapeutics, Inc. (Proteovant), to research and advance novel targeted protein degrader therapies, as well as our ability to maintain these collaborations and establish additional strategic collaborations;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the potential benefits of our strategic financing transactions with </w:t>
            </w:r>
            <w:r>
              <w:rPr>
                <w:rFonts w:ascii="Times New Roman;Times;serif" w:hAnsi="Times New Roman;Times;serif"/>
                <w:b w:val="false"/>
                <w:i w:val="false"/>
                <w:caps w:val="false"/>
                <w:smallCaps w:val="false"/>
                <w:sz w:val="20"/>
                <w:highlight w:val="white"/>
              </w:rPr>
              <w:t>Garnich Adjacent Investments S.a.r.l. (</w:t>
            </w:r>
            <w:r>
              <w:rPr>
                <w:rFonts w:ascii="Times New Roman;Times;serif" w:hAnsi="Times New Roman;Times;serif"/>
                <w:b w:val="false"/>
                <w:i w:val="false"/>
                <w:caps w:val="false"/>
                <w:smallCaps w:val="false"/>
                <w:sz w:val="20"/>
              </w:rPr>
              <w:t xml:space="preserve">Sixth Street Partners) and </w:t>
            </w:r>
            <w:r>
              <w:rPr>
                <w:rFonts w:ascii="Times New Roman;Times;serif" w:hAnsi="Times New Roman;Times;serif"/>
                <w:b w:val="false"/>
                <w:i w:val="false"/>
                <w:caps w:val="false"/>
                <w:smallCaps w:val="false"/>
                <w:sz w:val="20"/>
                <w:highlight w:val="white"/>
              </w:rPr>
              <w:t>Royalty Pharma Investments 2019 ICAV</w:t>
            </w:r>
            <w:r>
              <w:rPr>
                <w:caps w:val="false"/>
                <w:smallCaps w:val="false"/>
              </w:rPr>
              <w:t xml:space="preserve"> </w:t>
            </w:r>
            <w:r>
              <w:rPr>
                <w:rFonts w:ascii="Times New Roman;Times;serif" w:hAnsi="Times New Roman;Times;serif"/>
                <w:b w:val="false"/>
                <w:i w:val="false"/>
                <w:caps w:val="false"/>
                <w:smallCaps w:val="false"/>
                <w:sz w:val="20"/>
              </w:rPr>
              <w:t>(Royalty Pharma) and the potential acceleration of our commercial products and pipeline resulting from the non-dilutive growth capital;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of the licensed products retained by us following the termination of our collaboration with F. Hoffmann-La Roche Ltd and Genentech, Inc. to develop and commercialize pralsetinib globally (excluding Greater China);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(IDRx) to develop our development candidate-stage KIT exon 13 inhibitor, IDRX-73, for the treatment of drug-resistant mutations of non-PDGFR-driven gastrointestinal stromal tumor (GIST); </w:t>
            </w:r>
          </w:p>
        </w:tc>
      </w:tr>
    </w:tbl>
    <w:tbl>
      <w:tblPr>
        <w:tblW w:w="8406" w:type="dxa"/>
        <w:jc w:val="left"/>
        <w:tblInd w:w="0" w:type="dxa"/>
        <w:tblCellMar>
          <w:top w:w="28" w:type="dxa"/>
          <w:left w:w="28" w:type="dxa"/>
          <w:bottom w:w="28" w:type="dxa"/>
          <w:right w:w="28" w:type="dxa"/>
        </w:tblCellMar>
      </w:tblPr>
      <w:tblGrid>
        <w:gridCol w:w="124"/>
        <w:gridCol w:w="256"/>
        <w:gridCol w:w="80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companion diagnostic tests for our current or future drugs or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361" w:type="dxa"/>
        <w:jc w:val="left"/>
        <w:tblInd w:w="0" w:type="dxa"/>
        <w:tblCellMar>
          <w:top w:w="28" w:type="dxa"/>
          <w:left w:w="28" w:type="dxa"/>
          <w:bottom w:w="28" w:type="dxa"/>
          <w:right w:w="28" w:type="dxa"/>
        </w:tblCellMar>
      </w:tblPr>
      <w:tblGrid>
        <w:gridCol w:w="124"/>
        <w:gridCol w:w="256"/>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on our business, operations, strategy, goals and anticipated milestones, including our ongoing and planned research and discovery activities, ability to conduct ongoing and planned clinical trials, clinical supply of our current or future drug candidates or third-party products intended for use as combination therapies or as comparator agents, and the launch, marketing, sale and commercial supply of AYVAKIT/AYVAKYT, GAVRETO and any current or future drug candidates for which we receive marketing approval.</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pStyle w:val="TextBody"/>
        <w:spacing w:lineRule="auto" w:line="285" w:before="0" w:after="0"/>
        <w:ind w:left="0" w:right="0" w:firstLine="72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jc w:val="center"/>
        <w:rPr>
          <w:rFonts w:ascii="Times New Roman;Times;serif" w:hAnsi="Times New Roman;Times;serif"/>
          <w:sz w:val="20"/>
        </w:rPr>
      </w:pPr>
      <w:bookmarkStart w:id="26" w:name="PARTIFINANCIAL_85354"/>
      <w:bookmarkStart w:id="27" w:name="_29350d5c_e1a8_4044_9930_c4020de59b84"/>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spacing w:lineRule="auto" w:line="307" w:before="0" w:after="240"/>
        <w:ind w:left="0" w:right="0" w:hanging="0"/>
        <w:rPr>
          <w:rFonts w:ascii="Times New Roman;Times;serif" w:hAnsi="Times New Roman;Times;serif"/>
          <w:b/>
          <w:sz w:val="20"/>
        </w:rPr>
      </w:pPr>
      <w:bookmarkStart w:id="28" w:name="Item1FinancialStatements_207744"/>
      <w:bookmarkStart w:id="29" w:name="_678bdaf8_6821_43af_a234_cd25f3f9ca95"/>
      <w:bookmarkEnd w:id="28"/>
      <w:bookmarkEnd w:id="29"/>
      <w:r>
        <w:rPr>
          <w:rFonts w:ascii="Times New Roman;Times;serif" w:hAnsi="Times New Roman;Times;serif"/>
          <w:b/>
          <w:sz w:val="20"/>
        </w:rPr>
        <w:t>Item 1. Financial Statements</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spacing w:lineRule="auto" w:line="285" w:before="0" w:after="0"/>
        <w:ind w:left="0" w:right="0" w:hanging="0"/>
        <w:jc w:val="center"/>
        <w:rPr/>
      </w:pPr>
      <w:r>
        <w:rPr/>
        <w:t>​</w:t>
      </w:r>
    </w:p>
    <w:p>
      <w:pPr>
        <w:pStyle w:val="Normal"/>
        <w:spacing w:before="0" w:after="0"/>
        <w:rPr>
          <w:sz w:val="4"/>
          <w:szCs w:val="4"/>
        </w:rPr>
      </w:pPr>
      <w:r>
        <w:rPr>
          <w:sz w:val="4"/>
          <w:szCs w:val="4"/>
        </w:rPr>
      </w:r>
      <w:bookmarkStart w:id="31" w:name="Tc_YXUT1PJxG0C4cYvQWlk0Dg_42_5"/>
      <w:bookmarkStart w:id="32" w:name="Tc_UQFCAcYJE0StORSQm-OqeQ_42_2"/>
      <w:bookmarkStart w:id="33" w:name="Tc_A7gXxIume0mndLvxIr98uA_42_0"/>
      <w:bookmarkStart w:id="34" w:name="Tc_DKfQz96PpUyIEnHSjNCauQ_41_0"/>
      <w:bookmarkStart w:id="35" w:name="Tc_dvQLlMXR7k2ULEStu1Jw9g_40_0"/>
      <w:bookmarkStart w:id="36" w:name="Tc_UlpGMF752USPFFPLymZOLA_39_0"/>
      <w:bookmarkStart w:id="37" w:name="Tc_eTD2koNp1UO46C8uxILHUA_38_0"/>
      <w:bookmarkStart w:id="38" w:name="Tc_6pPU04Pmq02B8TY0Bj1GMw_37_0"/>
      <w:bookmarkStart w:id="39" w:name="Tc_MrpV-YD2Z024nLCcb9UQYA_36_0"/>
      <w:bookmarkStart w:id="40" w:name="Tc_RvWXYOjZzkOurU_w2kiPvg_35_0"/>
      <w:bookmarkStart w:id="41" w:name="Tc_bGbD-Q3B7Ey4yOVPyymF4Q_34_0"/>
      <w:bookmarkStart w:id="42" w:name="Tc_BK0pZvBI4EGHTVQjdlttGw_33_0"/>
      <w:bookmarkStart w:id="43" w:name="Tc_i0LOUS3pUkqjTq-60jLRWQ_32_0"/>
      <w:bookmarkStart w:id="44" w:name="Tc_qazOdBQNZEuRUW9Zbs21sQ_31_0"/>
      <w:bookmarkStart w:id="45" w:name="Tc_vw8ztZoKBEOqugN9EfL7Og_30_0"/>
      <w:bookmarkStart w:id="46" w:name="Tc_9jt9hzftI0aCGmga7SIpxA_29_0"/>
      <w:bookmarkStart w:id="47" w:name="Tc_ggyZkBMISEeutrzdnEx5wA_28_0"/>
      <w:bookmarkStart w:id="48" w:name="Tc_jeS0QVOPBE6YZtVB4Sw3BQ_27_0"/>
      <w:bookmarkStart w:id="49" w:name="Tc_BWKfCWEmzkm6usEmrUIkUw_26_0"/>
      <w:bookmarkStart w:id="50" w:name="Tc_3e_Pe6LwcU-ej3eY7QN0KA_25_0"/>
      <w:bookmarkStart w:id="51" w:name="Tc_uACQcvjLDE-XpjwL48a2Ug_24_0"/>
      <w:bookmarkStart w:id="52" w:name="Tc_-OPUFz9ZT0it2LCgMC7Gzw_23_0"/>
      <w:bookmarkStart w:id="53" w:name="Tc_RJnpf5haHUud1yEBeXJGOg_22_0"/>
      <w:bookmarkStart w:id="54" w:name="Tc_H4WaEc4rq0K7Zd4CJwf15w_21_0"/>
      <w:bookmarkStart w:id="55" w:name="Tc_QCFpHibJvEC3DFjPc6fxRA_20_0"/>
      <w:bookmarkStart w:id="56" w:name="Tc_ss1fuDkugE2za9FwJaHuyg_19_0"/>
      <w:bookmarkStart w:id="57" w:name="Tc_PwtCyEFBLkiyijDQW0tiFw_18_5"/>
      <w:bookmarkStart w:id="58" w:name="Tc_YopA2fXL5kiKNMR50Pw4aw_18_2"/>
      <w:bookmarkStart w:id="59" w:name="Tc_bdXCYFKI4UC52auV_aGxyA_18_0"/>
      <w:bookmarkStart w:id="60" w:name="Tc_4EoI3HwgQU64_Rc4HiPKHA_17_0"/>
      <w:bookmarkStart w:id="61" w:name="Tc_VcE8K0VFB0WpovBbBf9NzA_16_0"/>
      <w:bookmarkStart w:id="62" w:name="Tc_tRBlczEyQk6GkiFmsfvAtQ_15_0"/>
      <w:bookmarkStart w:id="63" w:name="Tc_1XZzEm2LGES2TQMG30Bk3g_14_0"/>
      <w:bookmarkStart w:id="64" w:name="Tc_3hQmgnojfEGquTas5j-HYA_13_0"/>
      <w:bookmarkStart w:id="65" w:name="Tc_JiZaxiFP-UyKtAQVguj8oA_12_0"/>
      <w:bookmarkStart w:id="66" w:name="Tc_v911gqOQk0-8YpP-Z90DQA_11_0"/>
      <w:bookmarkStart w:id="67" w:name="Tc_-tixrU1vTEe9SxlbzWhbZw_10_0"/>
      <w:bookmarkStart w:id="68" w:name="Tc_LMDPw5lAME2wXJ_AeyDbpQ_9_0"/>
      <w:bookmarkStart w:id="69" w:name="Tc_t0ninLt4A0OFHvAZqymYuQ_8_0"/>
      <w:bookmarkStart w:id="70" w:name="Tc_qMP3bvR-KE-QPv2n6ElARQ_7_0"/>
      <w:bookmarkStart w:id="71" w:name="Tc_FYsH9jgEy0a22XbAOPQ0iA_6_0"/>
      <w:bookmarkStart w:id="72" w:name="Tc_RhBbe7dkHUqRhTgFwsMzlw_5_5"/>
      <w:bookmarkStart w:id="73" w:name="Tc_wknXB3MeukGFuK4k9hm7xQ_5_2"/>
      <w:bookmarkStart w:id="74" w:name="Tc_mf3DQ-Nr8UWbu34NzVvRnQ_5_0"/>
      <w:bookmarkStart w:id="75" w:name="Tc_FhG8QURr0Ei9wGKadLQpQg_4_0"/>
      <w:bookmarkStart w:id="76" w:name="Tc_cIXRxzWwmUukgNUyVBkQZg_3_0"/>
      <w:bookmarkStart w:id="77" w:name="Tc_5RwNNrPDUky7g2qlESrwUg_2_5"/>
      <w:bookmarkStart w:id="78" w:name="Tc_SGRtBX8Xc0yaGj3bDolBHg_1_5"/>
      <w:bookmarkStart w:id="79" w:name="Tc_nmm_Ky5F2kyRgei_--GeYQ_1_2"/>
      <w:bookmarkStart w:id="80" w:name="_b564bf6b_ab4e_4ecb_a89e_8bc4a55d0a10"/>
      <w:bookmarkStart w:id="81" w:name="Tc_YXUT1PJxG0C4cYvQWlk0Dg_42_5"/>
      <w:bookmarkStart w:id="82" w:name="Tc_UQFCAcYJE0StORSQm-OqeQ_42_2"/>
      <w:bookmarkStart w:id="83" w:name="Tc_A7gXxIume0mndLvxIr98uA_42_0"/>
      <w:bookmarkStart w:id="84" w:name="Tc_DKfQz96PpUyIEnHSjNCauQ_41_0"/>
      <w:bookmarkStart w:id="85" w:name="Tc_dvQLlMXR7k2ULEStu1Jw9g_40_0"/>
      <w:bookmarkStart w:id="86" w:name="Tc_UlpGMF752USPFFPLymZOLA_39_0"/>
      <w:bookmarkStart w:id="87" w:name="Tc_eTD2koNp1UO46C8uxILHUA_38_0"/>
      <w:bookmarkStart w:id="88" w:name="Tc_6pPU04Pmq02B8TY0Bj1GMw_37_0"/>
      <w:bookmarkStart w:id="89" w:name="Tc_MrpV-YD2Z024nLCcb9UQYA_36_0"/>
      <w:bookmarkStart w:id="90" w:name="Tc_RvWXYOjZzkOurU_w2kiPvg_35_0"/>
      <w:bookmarkStart w:id="91" w:name="Tc_bGbD-Q3B7Ey4yOVPyymF4Q_34_0"/>
      <w:bookmarkStart w:id="92" w:name="Tc_BK0pZvBI4EGHTVQjdlttGw_33_0"/>
      <w:bookmarkStart w:id="93" w:name="Tc_i0LOUS3pUkqjTq-60jLRWQ_32_0"/>
      <w:bookmarkStart w:id="94" w:name="Tc_qazOdBQNZEuRUW9Zbs21sQ_31_0"/>
      <w:bookmarkStart w:id="95" w:name="Tc_vw8ztZoKBEOqugN9EfL7Og_30_0"/>
      <w:bookmarkStart w:id="96" w:name="Tc_9jt9hzftI0aCGmga7SIpxA_29_0"/>
      <w:bookmarkStart w:id="97" w:name="Tc_ggyZkBMISEeutrzdnEx5wA_28_0"/>
      <w:bookmarkStart w:id="98" w:name="Tc_jeS0QVOPBE6YZtVB4Sw3BQ_27_0"/>
      <w:bookmarkStart w:id="99" w:name="Tc_BWKfCWEmzkm6usEmrUIkUw_26_0"/>
      <w:bookmarkStart w:id="100" w:name="Tc_3e_Pe6LwcU-ej3eY7QN0KA_25_0"/>
      <w:bookmarkStart w:id="101" w:name="Tc_uACQcvjLDE-XpjwL48a2Ug_24_0"/>
      <w:bookmarkStart w:id="102" w:name="Tc_-OPUFz9ZT0it2LCgMC7Gzw_23_0"/>
      <w:bookmarkStart w:id="103" w:name="Tc_RJnpf5haHUud1yEBeXJGOg_22_0"/>
      <w:bookmarkStart w:id="104" w:name="Tc_H4WaEc4rq0K7Zd4CJwf15w_21_0"/>
      <w:bookmarkStart w:id="105" w:name="Tc_QCFpHibJvEC3DFjPc6fxRA_20_0"/>
      <w:bookmarkStart w:id="106" w:name="Tc_ss1fuDkugE2za9FwJaHuyg_19_0"/>
      <w:bookmarkStart w:id="107" w:name="Tc_PwtCyEFBLkiyijDQW0tiFw_18_5"/>
      <w:bookmarkStart w:id="108" w:name="Tc_YopA2fXL5kiKNMR50Pw4aw_18_2"/>
      <w:bookmarkStart w:id="109" w:name="Tc_bdXCYFKI4UC52auV_aGxyA_18_0"/>
      <w:bookmarkStart w:id="110" w:name="Tc_4EoI3HwgQU64_Rc4HiPKHA_17_0"/>
      <w:bookmarkStart w:id="111" w:name="Tc_VcE8K0VFB0WpovBbBf9NzA_16_0"/>
      <w:bookmarkStart w:id="112" w:name="Tc_tRBlczEyQk6GkiFmsfvAtQ_15_0"/>
      <w:bookmarkStart w:id="113" w:name="Tc_1XZzEm2LGES2TQMG30Bk3g_14_0"/>
      <w:bookmarkStart w:id="114" w:name="Tc_3hQmgnojfEGquTas5j-HYA_13_0"/>
      <w:bookmarkStart w:id="115" w:name="Tc_JiZaxiFP-UyKtAQVguj8oA_12_0"/>
      <w:bookmarkStart w:id="116" w:name="Tc_v911gqOQk0-8YpP-Z90DQA_11_0"/>
      <w:bookmarkStart w:id="117" w:name="Tc_-tixrU1vTEe9SxlbzWhbZw_10_0"/>
      <w:bookmarkStart w:id="118" w:name="Tc_LMDPw5lAME2wXJ_AeyDbpQ_9_0"/>
      <w:bookmarkStart w:id="119" w:name="Tc_t0ninLt4A0OFHvAZqymYuQ_8_0"/>
      <w:bookmarkStart w:id="120" w:name="Tc_qMP3bvR-KE-QPv2n6ElARQ_7_0"/>
      <w:bookmarkStart w:id="121" w:name="Tc_FYsH9jgEy0a22XbAOPQ0iA_6_0"/>
      <w:bookmarkStart w:id="122" w:name="Tc_RhBbe7dkHUqRhTgFwsMzlw_5_5"/>
      <w:bookmarkStart w:id="123" w:name="Tc_wknXB3MeukGFuK4k9hm7xQ_5_2"/>
      <w:bookmarkStart w:id="124" w:name="Tc_mf3DQ-Nr8UWbu34NzVvRnQ_5_0"/>
      <w:bookmarkStart w:id="125" w:name="Tc_FhG8QURr0Ei9wGKadLQpQg_4_0"/>
      <w:bookmarkStart w:id="126" w:name="Tc_cIXRxzWwmUukgNUyVBkQZg_3_0"/>
      <w:bookmarkStart w:id="127" w:name="Tc_5RwNNrPDUky7g2qlESrwUg_2_5"/>
      <w:bookmarkStart w:id="128" w:name="Tc_SGRtBX8Xc0yaGj3bDolBHg_1_5"/>
      <w:bookmarkStart w:id="129" w:name="Tc_nmm_Ky5F2kyRgei_--GeYQ_1_2"/>
      <w:bookmarkStart w:id="130" w:name="_b564bf6b_ab4e_4ecb_a89e_8bc4a55d0a1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CellMar>
          <w:top w:w="0" w:type="dxa"/>
          <w:left w:w="0" w:type="dxa"/>
          <w:bottom w:w="0" w:type="dxa"/>
          <w:right w:w="0" w:type="dxa"/>
        </w:tblCellMar>
      </w:tblPr>
      <w:tblGrid>
        <w:gridCol w:w="7282"/>
        <w:gridCol w:w="326"/>
        <w:gridCol w:w="196"/>
        <w:gridCol w:w="916"/>
        <w:gridCol w:w="326"/>
        <w:gridCol w:w="196"/>
        <w:gridCol w:w="963"/>
      </w:tblGrid>
      <w:tr>
        <w:trPr/>
        <w:tc>
          <w:tcPr>
            <w:tcW w:w="7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4070" cy="175260"/>
                      <wp:effectExtent l="0" t="0" r="0" b="0"/>
                      <wp:wrapNone/>
                      <wp:docPr id="1" name="Frame1"/>
                      <a:graphic xmlns:a="http://schemas.openxmlformats.org/drawingml/2006/main">
                        <a:graphicData uri="http://schemas.microsoft.com/office/word/2010/wordprocessingShape">
                          <wps:wsp>
                            <wps:cNvSpPr txBox="1"/>
                            <wps:spPr>
                              <a:xfrm>
                                <a:off x="0" y="0"/>
                                <a:ext cx="46240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1660" cy="175260"/>
                      <wp:effectExtent l="0" t="0" r="0" b="0"/>
                      <wp:wrapNone/>
                      <wp:docPr id="4" name="Frame4"/>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1505" cy="175260"/>
                      <wp:effectExtent l="0" t="0" r="0" b="0"/>
                      <wp:wrapNone/>
                      <wp:docPr id="7" name="Frame7"/>
                      <a:graphic xmlns:a="http://schemas.openxmlformats.org/drawingml/2006/main">
                        <a:graphicData uri="http://schemas.microsoft.com/office/word/2010/wordprocessingShape">
                          <wps:wsp>
                            <wps:cNvSpPr txBox="1"/>
                            <wps:spPr>
                              <a:xfrm>
                                <a:off x="0" y="0"/>
                                <a:ext cx="6115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7282"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1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285" w:before="0" w:after="0"/>
              <w:ind w:left="0" w:right="0" w:hanging="0"/>
              <w:rPr/>
            </w:pPr>
            <w:r>
              <w:rPr/>
              <w:t>​</w:t>
            </w:r>
          </w:p>
        </w:tc>
        <w:tc>
          <w:tcPr>
            <w:tcW w:w="1159"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2"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59"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rPr/>
            </w:pPr>
            <w:r>
              <w:rPr/>
              <w:t>​</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rPr/>
            </w:pPr>
            <w:r>
              <w:rPr/>
              <w:t>​</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169,724</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119,709</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652,437</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825,283</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30,007</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23,525</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Unbilled accounts receivable</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13,413</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17,521</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29,697</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29,359</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6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35,024</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900,344</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1,046,651</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 </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139,150</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133,480</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33,741</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33,344</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Operating lease right-of-use assets, net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79,668</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81,854</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5,207</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5,195</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Equity investment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27,789</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34,471</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6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21,589</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1,220,370</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1,349,902</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rPr/>
            </w:pPr>
            <w:r>
              <w:rPr/>
              <w:t>​</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rPr/>
            </w:pPr>
            <w:r>
              <w:rPr/>
              <w:t>​</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10,563</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2,729</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 </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108,735</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 </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131,123</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10,887</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10,579</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portion of deferred revenue</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3,740</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4,667</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portion of liabilities related to the sale of future royalties and revenues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21,377</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17,285</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Current portion of term loan</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1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17,382</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6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16,851</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172,684</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183,234</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Operating lease liabilities, net of current portion</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89,940</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92,789</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13,624</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Liabilities related to the sale of future royalties and revenues, net of current portion</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413,216</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413,045</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Term loan, net of current portion</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122,130</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122,232</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1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3,102</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6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10,301</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806,072</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835,225</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Commitments and Contingencies (Note 15)</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rPr/>
            </w:pPr>
            <w:r>
              <w:rPr/>
              <w:t>​</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16"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rPr/>
            </w:pPr>
            <w:r>
              <w:rPr/>
              <w:t>​</w:t>
            </w:r>
          </w:p>
        </w:tc>
        <w:tc>
          <w:tcPr>
            <w:tcW w:w="963" w:type="dxa"/>
            <w:tcBorders/>
            <w:shd w:fill="CCEEFF" w:val="clear"/>
            <w:vAlign w:val="center"/>
          </w:tcPr>
          <w:p>
            <w:pPr>
              <w:pStyle w:val="TableContents"/>
              <w:spacing w:lineRule="auto" w:line="285" w:before="0" w:after="0"/>
              <w:ind w:left="0" w:right="0" w:hanging="0"/>
              <w:rPr/>
            </w:pPr>
            <w:r>
              <w:rPr/>
              <w:t>​</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Preferred stock, $0.001 par value; 5,000,000 shares authorized; no shares issued and outstanding</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16" w:type="dxa"/>
            <w:tcBorders/>
            <w:shd w:fill="auto" w:val="clear"/>
            <w:vAlign w:val="center"/>
          </w:tcPr>
          <w:p>
            <w:pPr>
              <w:pStyle w:val="TableContents"/>
              <w:spacing w:lineRule="auto" w:line="285" w:before="0" w:after="0"/>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963" w:type="dxa"/>
            <w:tcBorders/>
            <w:shd w:fill="auto" w:val="clear"/>
            <w:vAlign w:val="center"/>
          </w:tcPr>
          <w:p>
            <w:pPr>
              <w:pStyle w:val="TableContents"/>
              <w:spacing w:lineRule="auto" w:line="285" w:before="0" w:after="0"/>
              <w:ind w:left="0" w:right="0" w:hanging="0"/>
              <w:jc w:val="right"/>
              <w:rPr>
                <w:caps w:val="false"/>
                <w:smallCaps w:val="false"/>
              </w:rPr>
            </w:pPr>
            <w:r>
              <w:rPr>
                <w:caps w:val="false"/>
                <w:smallCaps w:val="false"/>
              </w:rPr>
              <w:t>—</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Common stock, $0.001 par value; 120,000,000 shares authorized; 60,416,335 and 59,958,919 shares issued and outstanding at March 31, 2023 and December 31, 2022, respectively</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 </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 </w:t>
            </w:r>
          </w:p>
        </w:tc>
        <w:tc>
          <w:tcPr>
            <w:tcW w:w="91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2,381,358</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jc w:val="right"/>
              <w:rPr/>
            </w:pPr>
            <w:r>
              <w:rPr/>
              <w:t> </w:t>
            </w:r>
          </w:p>
        </w:tc>
        <w:tc>
          <w:tcPr>
            <w:tcW w:w="96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2,358,018</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(4,602)</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96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(10,443)</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(1,962,518)</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6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(1,832,958)</w:t>
            </w:r>
          </w:p>
        </w:tc>
      </w:tr>
      <w:tr>
        <w:trPr/>
        <w:tc>
          <w:tcPr>
            <w:tcW w:w="7282"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414,298</w:t>
            </w:r>
          </w:p>
        </w:tc>
        <w:tc>
          <w:tcPr>
            <w:tcW w:w="326" w:type="dxa"/>
            <w:tcBorders/>
            <w:shd w:fill="CCEEFF" w:val="clear"/>
            <w:vAlign w:val="center"/>
          </w:tcPr>
          <w:p>
            <w:pPr>
              <w:pStyle w:val="TableContents"/>
              <w:spacing w:lineRule="auto" w:line="285"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6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514,677</w:t>
            </w:r>
          </w:p>
        </w:tc>
      </w:tr>
      <w:tr>
        <w:trPr/>
        <w:tc>
          <w:tcPr>
            <w:tcW w:w="7282"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1,220,370</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1,349,902</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jc w:val="center"/>
        <w:rPr>
          <w:rFonts w:ascii="Times New Roman;Times;serif" w:hAnsi="Times New Roman;Times;serif"/>
          <w:b/>
          <w:sz w:val="20"/>
        </w:rPr>
      </w:pPr>
      <w:bookmarkStart w:id="131" w:name="_a24750fc_9831_468d_8ffe_69fa9303aad4"/>
      <w:bookmarkEnd w:id="131"/>
      <w:r>
        <w:rPr>
          <w:rFonts w:ascii="Times New Roman;Times;serif" w:hAnsi="Times New Roman;Times;serif"/>
          <w:b/>
          <w:sz w:val="20"/>
        </w:rPr>
        <w:t>Blueprint Medicines Corporation</w:t>
      </w:r>
    </w:p>
    <w:p>
      <w:pPr>
        <w:pStyle w:val="TextBody"/>
        <w:spacing w:lineRule="auto" w:line="285" w:before="0" w:after="0"/>
        <w:ind w:left="0" w:right="0" w:hanging="0"/>
        <w:jc w:val="center"/>
        <w:rPr>
          <w:rFonts w:ascii="Times New Roman;Times;serif" w:hAnsi="Times New Roman;Times;serif"/>
          <w:b/>
          <w:sz w:val="20"/>
        </w:rPr>
      </w:pPr>
      <w:bookmarkStart w:id="132" w:name="StatementsofOperations_108008"/>
      <w:bookmarkEnd w:id="132"/>
      <w:r>
        <w:rPr>
          <w:rFonts w:ascii="Times New Roman;Times;serif" w:hAnsi="Times New Roman;Times;serif"/>
          <w:b/>
          <w:sz w:val="20"/>
        </w:rPr>
        <w:t>Condensed Consolidated Statements of Operations and Comprehensive Loss</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spacing w:lineRule="auto" w:line="285" w:before="0" w:after="0"/>
        <w:ind w:left="0" w:right="0" w:hanging="0"/>
        <w:jc w:val="center"/>
        <w:rPr/>
      </w:pPr>
      <w:r>
        <w:rPr/>
        <w:t>​</w:t>
      </w:r>
    </w:p>
    <w:p>
      <w:pPr>
        <w:pStyle w:val="Normal"/>
        <w:spacing w:before="0" w:after="0"/>
        <w:rPr>
          <w:sz w:val="4"/>
          <w:szCs w:val="4"/>
        </w:rPr>
      </w:pPr>
      <w:r>
        <w:rPr>
          <w:sz w:val="4"/>
          <w:szCs w:val="4"/>
        </w:rPr>
      </w:r>
      <w:bookmarkStart w:id="133" w:name="Tc_OikpU7-ghUmXmjd0oZxsKA_26_0"/>
      <w:bookmarkStart w:id="134" w:name="Tc_N_68mr2tjUeN3ArEajO5gA_25_5"/>
      <w:bookmarkStart w:id="135" w:name="Tc_XmmiZNPPikGxteo3zB7V9w_25_2"/>
      <w:bookmarkStart w:id="136" w:name="Tc_eSOmow34HUCjyUbPeqdzdA_25_0"/>
      <w:bookmarkStart w:id="137" w:name="Tc_p7zTHqTqa0CkjdMReumnlw_24_5"/>
      <w:bookmarkStart w:id="138" w:name="Tc_li8bNfZzU0ySbvrDcQm87w_24_2"/>
      <w:bookmarkStart w:id="139" w:name="Tc_8DoNl1N130W9abZCL2tIfw_24_0"/>
      <w:bookmarkStart w:id="140" w:name="Tc_f5y4Cu9tBk-CZ73Y29qGog_23_0"/>
      <w:bookmarkStart w:id="141" w:name="Tc_8mKJQVJSjU-phusg-GgUUg_22_0"/>
      <w:bookmarkStart w:id="142" w:name="Tc_QTNt_blOTEWgjcKEup-PcQ_21_0"/>
      <w:bookmarkStart w:id="143" w:name="Tc_yz8ZleXnKEGmNRzPsSoXjw_20_5"/>
      <w:bookmarkStart w:id="144" w:name="Tc_LlygWZAOHE2mMVa9YLYg-A_20_2"/>
      <w:bookmarkStart w:id="145" w:name="Tc_tU05OVHe_EuPSNkLU6nvwQ_20_0"/>
      <w:bookmarkStart w:id="146" w:name="Tc_v-yXd_jXmUOAFPXK8dZjtw_19_0"/>
      <w:bookmarkStart w:id="147" w:name="Tc_jTHLCRNoe0OXuntZpLbgPQ_18_0"/>
      <w:bookmarkStart w:id="148" w:name="Tc_wxPGZ9vtTUiCIQ34X5fCLw_17_0"/>
      <w:bookmarkStart w:id="149" w:name="Tc_-x1LPHcfHk2qe3yYLkJ-OA_16_0"/>
      <w:bookmarkStart w:id="150" w:name="Tc_ir_gTgAnnky0pYDA2lS34Q_15_0"/>
      <w:bookmarkStart w:id="151" w:name="Tc_kzc-W-g67kqV1DqB1jXO7w_14_0"/>
      <w:bookmarkStart w:id="152" w:name="Tc_XU1-3yTpU0O1rQJVYLfVYw_13_0"/>
      <w:bookmarkStart w:id="153" w:name="Tc_u1N8Y4iSDEehJSv4EupQ_A_12_0"/>
      <w:bookmarkStart w:id="154" w:name="Tc_ZYHCOil09E-KZMB-cZ1y8w_11_0"/>
      <w:bookmarkStart w:id="155" w:name="Tc_ZXc1E3v7xk6JzMOj5pcpFA_10_0"/>
      <w:bookmarkStart w:id="156" w:name="Tc_T4kbXxZVek2Y13VYC98P-A_9_0"/>
      <w:bookmarkStart w:id="157" w:name="Tc_aLfBgVJhfUS5FydrewNZNg_8_0"/>
      <w:bookmarkStart w:id="158" w:name="Tc_JjQzwNGR40a3-_srN0UHGA_7_0"/>
      <w:bookmarkStart w:id="159" w:name="Tc_9RVeZ7uIwkGbEq6rZlrpTQ_6_0"/>
      <w:bookmarkStart w:id="160" w:name="Tc_gyzPsyU9M0WK-Q-cntByBg_5_5"/>
      <w:bookmarkStart w:id="161" w:name="Tc_z7xvrI1oR0KHrE-SVmDp1g_5_2"/>
      <w:bookmarkStart w:id="162" w:name="Tc_VV0B8ck520ypwVRloEQ_Yg_5_0"/>
      <w:bookmarkStart w:id="163" w:name="Tc_K58eF4RLgk-ITAorzskAqw_4_0"/>
      <w:bookmarkStart w:id="164" w:name="Tc_T8A60eXdNUGO79ZNUHf9WQ_3_5"/>
      <w:bookmarkStart w:id="165" w:name="Tc_YGdmbvrzlU-MFz7kf3Amdg_3_2"/>
      <w:bookmarkStart w:id="166" w:name="Tc_qhXHYfAkDUG08ll3AxQROg_2_2"/>
      <w:bookmarkStart w:id="167" w:name="Tc_hgyNIklkakmFDlT2ZyUsGg_1_2"/>
      <w:bookmarkStart w:id="168" w:name="_942684c9_c40d_42ec_90fd_3c118e64d4ef"/>
      <w:bookmarkStart w:id="169" w:name="_9615c72f_20c3_47df_81c3_27db7539fc2f"/>
      <w:bookmarkStart w:id="170" w:name="Tc_OikpU7-ghUmXmjd0oZxsKA_26_0"/>
      <w:bookmarkStart w:id="171" w:name="Tc_N_68mr2tjUeN3ArEajO5gA_25_5"/>
      <w:bookmarkStart w:id="172" w:name="Tc_XmmiZNPPikGxteo3zB7V9w_25_2"/>
      <w:bookmarkStart w:id="173" w:name="Tc_eSOmow34HUCjyUbPeqdzdA_25_0"/>
      <w:bookmarkStart w:id="174" w:name="Tc_p7zTHqTqa0CkjdMReumnlw_24_5"/>
      <w:bookmarkStart w:id="175" w:name="Tc_li8bNfZzU0ySbvrDcQm87w_24_2"/>
      <w:bookmarkStart w:id="176" w:name="Tc_8DoNl1N130W9abZCL2tIfw_24_0"/>
      <w:bookmarkStart w:id="177" w:name="Tc_f5y4Cu9tBk-CZ73Y29qGog_23_0"/>
      <w:bookmarkStart w:id="178" w:name="Tc_8mKJQVJSjU-phusg-GgUUg_22_0"/>
      <w:bookmarkStart w:id="179" w:name="Tc_QTNt_blOTEWgjcKEup-PcQ_21_0"/>
      <w:bookmarkStart w:id="180" w:name="Tc_yz8ZleXnKEGmNRzPsSoXjw_20_5"/>
      <w:bookmarkStart w:id="181" w:name="Tc_LlygWZAOHE2mMVa9YLYg-A_20_2"/>
      <w:bookmarkStart w:id="182" w:name="Tc_tU05OVHe_EuPSNkLU6nvwQ_20_0"/>
      <w:bookmarkStart w:id="183" w:name="Tc_v-yXd_jXmUOAFPXK8dZjtw_19_0"/>
      <w:bookmarkStart w:id="184" w:name="Tc_jTHLCRNoe0OXuntZpLbgPQ_18_0"/>
      <w:bookmarkStart w:id="185" w:name="Tc_wxPGZ9vtTUiCIQ34X5fCLw_17_0"/>
      <w:bookmarkStart w:id="186" w:name="Tc_-x1LPHcfHk2qe3yYLkJ-OA_16_0"/>
      <w:bookmarkStart w:id="187" w:name="Tc_ir_gTgAnnky0pYDA2lS34Q_15_0"/>
      <w:bookmarkStart w:id="188" w:name="Tc_kzc-W-g67kqV1DqB1jXO7w_14_0"/>
      <w:bookmarkStart w:id="189" w:name="Tc_XU1-3yTpU0O1rQJVYLfVYw_13_0"/>
      <w:bookmarkStart w:id="190" w:name="Tc_u1N8Y4iSDEehJSv4EupQ_A_12_0"/>
      <w:bookmarkStart w:id="191" w:name="Tc_ZYHCOil09E-KZMB-cZ1y8w_11_0"/>
      <w:bookmarkStart w:id="192" w:name="Tc_ZXc1E3v7xk6JzMOj5pcpFA_10_0"/>
      <w:bookmarkStart w:id="193" w:name="Tc_T4kbXxZVek2Y13VYC98P-A_9_0"/>
      <w:bookmarkStart w:id="194" w:name="Tc_aLfBgVJhfUS5FydrewNZNg_8_0"/>
      <w:bookmarkStart w:id="195" w:name="Tc_JjQzwNGR40a3-_srN0UHGA_7_0"/>
      <w:bookmarkStart w:id="196" w:name="Tc_9RVeZ7uIwkGbEq6rZlrpTQ_6_0"/>
      <w:bookmarkStart w:id="197" w:name="Tc_gyzPsyU9M0WK-Q-cntByBg_5_5"/>
      <w:bookmarkStart w:id="198" w:name="Tc_z7xvrI1oR0KHrE-SVmDp1g_5_2"/>
      <w:bookmarkStart w:id="199" w:name="Tc_VV0B8ck520ypwVRloEQ_Yg_5_0"/>
      <w:bookmarkStart w:id="200" w:name="Tc_K58eF4RLgk-ITAorzskAqw_4_0"/>
      <w:bookmarkStart w:id="201" w:name="Tc_T8A60eXdNUGO79ZNUHf9WQ_3_5"/>
      <w:bookmarkStart w:id="202" w:name="Tc_YGdmbvrzlU-MFz7kf3Amdg_3_2"/>
      <w:bookmarkStart w:id="203" w:name="Tc_qhXHYfAkDUG08ll3AxQROg_2_2"/>
      <w:bookmarkStart w:id="204" w:name="Tc_hgyNIklkakmFDlT2ZyUsGg_1_2"/>
      <w:bookmarkStart w:id="205" w:name="_942684c9_c40d_42ec_90fd_3c118e64d4ef"/>
      <w:bookmarkStart w:id="206" w:name="_9615c72f_20c3_47df_81c3_27db7539fc2f"/>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10070" w:type="dxa"/>
        <w:jc w:val="left"/>
        <w:tblInd w:w="0" w:type="dxa"/>
        <w:tblCellMar>
          <w:top w:w="0" w:type="dxa"/>
          <w:left w:w="0" w:type="dxa"/>
          <w:bottom w:w="0" w:type="dxa"/>
          <w:right w:w="0" w:type="dxa"/>
        </w:tblCellMar>
      </w:tblPr>
      <w:tblGrid>
        <w:gridCol w:w="7366"/>
        <w:gridCol w:w="109"/>
        <w:gridCol w:w="211"/>
        <w:gridCol w:w="901"/>
        <w:gridCol w:w="326"/>
        <w:gridCol w:w="211"/>
        <w:gridCol w:w="946"/>
      </w:tblGrid>
      <w:tr>
        <w:trPr/>
        <w:tc>
          <w:tcPr>
            <w:tcW w:w="7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77410" cy="175260"/>
                      <wp:effectExtent l="0" t="0" r="0" b="0"/>
                      <wp:wrapNone/>
                      <wp:docPr id="8" name="Frame8"/>
                      <a:graphic xmlns:a="http://schemas.openxmlformats.org/drawingml/2006/main">
                        <a:graphicData uri="http://schemas.microsoft.com/office/word/2010/wordprocessingShape">
                          <wps:wsp>
                            <wps:cNvSpPr txBox="1"/>
                            <wps:spPr>
                              <a:xfrm>
                                <a:off x="0" y="0"/>
                                <a:ext cx="46774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2135" cy="175260"/>
                      <wp:effectExtent l="0" t="0" r="0" b="0"/>
                      <wp:wrapNone/>
                      <wp:docPr id="11" name="Frame11"/>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710" cy="175260"/>
                      <wp:effectExtent l="0" t="0" r="0" b="0"/>
                      <wp:wrapNone/>
                      <wp:docPr id="14" name="Frame1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736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59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6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59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6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5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center"/>
              <w:rPr/>
            </w:pPr>
            <w:r>
              <w:rPr/>
              <w:t>​</w:t>
            </w:r>
          </w:p>
        </w:tc>
        <w:tc>
          <w:tcPr>
            <w:tcW w:w="901" w:type="dxa"/>
            <w:tcBorders/>
            <w:shd w:fill="CCEEFF" w:val="clear"/>
            <w:vAlign w:val="center"/>
          </w:tcPr>
          <w:p>
            <w:pPr>
              <w:pStyle w:val="TableContents"/>
              <w:spacing w:lineRule="auto" w:line="285" w:before="0" w:after="0"/>
              <w:ind w:left="0" w:right="0" w:hanging="0"/>
              <w:jc w:val="center"/>
              <w:rPr/>
            </w:pPr>
            <w:r>
              <w:rPr/>
              <w:t>​</w:t>
            </w:r>
          </w:p>
        </w:tc>
        <w:tc>
          <w:tcPr>
            <w:tcW w:w="326" w:type="dxa"/>
            <w:tcBorders/>
            <w:shd w:fill="CCEEFF" w:val="clear"/>
            <w:vAlign w:val="center"/>
          </w:tcPr>
          <w:p>
            <w:pPr>
              <w:pStyle w:val="TableContents"/>
              <w:spacing w:lineRule="auto" w:line="285" w:before="0" w:after="0"/>
              <w:ind w:left="0" w:right="0" w:hanging="0"/>
              <w:jc w:val="center"/>
              <w:rPr/>
            </w:pPr>
            <w:r>
              <w:rPr/>
              <w:t>​</w:t>
            </w:r>
          </w:p>
        </w:tc>
        <w:tc>
          <w:tcPr>
            <w:tcW w:w="211" w:type="dxa"/>
            <w:tcBorders/>
            <w:shd w:fill="CCEEFF" w:val="clear"/>
            <w:vAlign w:val="center"/>
          </w:tcPr>
          <w:p>
            <w:pPr>
              <w:pStyle w:val="TableContents"/>
              <w:spacing w:lineRule="auto" w:line="285" w:before="0" w:after="0"/>
              <w:ind w:left="0" w:right="0" w:hanging="0"/>
              <w:jc w:val="center"/>
              <w:rPr/>
            </w:pPr>
            <w:r>
              <w:rPr/>
              <w:t>​</w:t>
            </w:r>
          </w:p>
        </w:tc>
        <w:tc>
          <w:tcPr>
            <w:tcW w:w="946" w:type="dxa"/>
            <w:tcBorders/>
            <w:shd w:fill="CCEEFF" w:val="clear"/>
            <w:vAlign w:val="center"/>
          </w:tcPr>
          <w:p>
            <w:pPr>
              <w:pStyle w:val="TableContents"/>
              <w:spacing w:lineRule="auto" w:line="285" w:before="0" w:after="0"/>
              <w:ind w:left="0" w:right="0" w:hanging="0"/>
              <w:jc w:val="center"/>
              <w:rPr/>
            </w:pPr>
            <w:r>
              <w:rPr/>
              <w:t>​</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23,841</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38,890</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62,731</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Cost and operating expenses: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0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46" w:type="dxa"/>
            <w:tcBorders/>
            <w:shd w:fill="CCEEFF" w:val="clear"/>
            <w:vAlign w:val="center"/>
          </w:tcPr>
          <w:p>
            <w:pPr>
              <w:pStyle w:val="TableContents"/>
              <w:spacing w:lineRule="auto" w:line="285" w:before="0" w:after="0"/>
              <w:ind w:left="0" w:right="0" w:hanging="0"/>
              <w:rPr/>
            </w:pPr>
            <w:r>
              <w:rPr/>
              <w:t>​</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5,079</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112,073</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103,133</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70,950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57,058</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187,494</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168,535</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0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46" w:type="dxa"/>
            <w:tcBorders/>
            <w:shd w:fill="CCEEFF" w:val="clear"/>
            <w:vAlign w:val="center"/>
          </w:tcPr>
          <w:p>
            <w:pPr>
              <w:pStyle w:val="TableContents"/>
              <w:spacing w:lineRule="auto" w:line="285" w:before="0" w:after="0"/>
              <w:ind w:left="0" w:right="0" w:hanging="0"/>
              <w:rPr/>
            </w:pPr>
            <w:r>
              <w:rPr/>
              <w:t>​</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income (expense), net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(4,833)</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(129,040)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(105,815)</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(105,999)</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Unrealized gains (losses) on available-for-sale investments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(8,020)</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(123,719)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(113,976)</w:t>
            </w:r>
          </w:p>
        </w:tc>
      </w:tr>
      <w:tr>
        <w:trPr/>
        <w:tc>
          <w:tcPr>
            <w:tcW w:w="73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loss per share - basic and diluted</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73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Weighted-average number of common shares used in net loss per share - basic and diluted</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60,126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59,312</w:t>
            </w:r>
          </w:p>
        </w:tc>
      </w:tr>
    </w:tbl>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bookmarkStart w:id="207" w:name="_0d58ee46_e281_46bc_a9d0_5a07ae3c6615"/>
      <w:bookmarkEnd w:id="207"/>
      <w:r>
        <w:rPr>
          <w:rFonts w:ascii="Times New Roman;Times;serif" w:hAnsi="Times New Roman;Times;serif"/>
          <w:b/>
          <w:sz w:val="20"/>
        </w:rPr>
        <w:t xml:space="preserve">Blueprint Medicines Corporation </w:t>
      </w:r>
    </w:p>
    <w:p>
      <w:pPr>
        <w:pStyle w:val="TextBody"/>
        <w:spacing w:lineRule="auto" w:line="285" w:before="0" w:after="0"/>
        <w:ind w:left="0" w:right="0" w:hanging="0"/>
        <w:jc w:val="center"/>
        <w:rPr>
          <w:rFonts w:ascii="Times New Roman;Times;serif" w:hAnsi="Times New Roman;Times;serif"/>
          <w:b/>
          <w:sz w:val="20"/>
        </w:rPr>
      </w:pPr>
      <w:bookmarkStart w:id="208" w:name="StockholdersEquity_235408"/>
      <w:bookmarkEnd w:id="208"/>
      <w:r>
        <w:rPr>
          <w:rFonts w:ascii="Times New Roman;Times;serif" w:hAnsi="Times New Roman;Times;serif"/>
          <w:b/>
          <w:sz w:val="20"/>
        </w:rPr>
        <w:t>Condensed Consolidated Statements of Stockholders’ Equity</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spacing w:lineRule="auto" w:line="285" w:before="0" w:after="0"/>
        <w:ind w:left="0" w:right="0" w:hanging="0"/>
        <w:rPr/>
      </w:pPr>
      <w:r>
        <w:rPr/>
        <w:t>​</w:t>
      </w:r>
    </w:p>
    <w:p>
      <w:pPr>
        <w:pStyle w:val="Normal"/>
        <w:spacing w:before="0" w:after="0"/>
        <w:rPr>
          <w:sz w:val="4"/>
          <w:szCs w:val="4"/>
        </w:rPr>
      </w:pPr>
      <w:r>
        <w:rPr>
          <w:sz w:val="4"/>
          <w:szCs w:val="4"/>
        </w:rPr>
      </w:r>
      <w:bookmarkStart w:id="209" w:name="Tc_9nK_0Unjx0uUWuN-MlTtBw_18_16"/>
      <w:bookmarkStart w:id="210" w:name="Tc_C_WFXWi7S0SoGbDStX66sQ_18_13"/>
      <w:bookmarkStart w:id="211" w:name="Tc_C383msis80C2BN-oyj3XLg_18_10"/>
      <w:bookmarkStart w:id="212" w:name="Tc_A1rgNba_uEKkw-mwLniAWw_18_7"/>
      <w:bookmarkStart w:id="213" w:name="Tc_lzQlK3N-mE6KYorG09KrcA_18_4"/>
      <w:bookmarkStart w:id="214" w:name="Tc_nuGvcc0x9ku2JUVnOpyFHQ_18_0"/>
      <w:bookmarkStart w:id="215" w:name="Tc_osu0oWAg_EyrWuTi-o6Acg_17_11"/>
      <w:bookmarkStart w:id="216" w:name="Tc_jz8kY6ubUkCiggBCgWbyfw_17_8"/>
      <w:bookmarkStart w:id="217" w:name="Tc_Xz1wNKXc0E-1VNec4gk87g_17_5"/>
      <w:bookmarkStart w:id="218" w:name="Tc_yEqtM6sgUkSufyeh1OwUow_17_2"/>
      <w:bookmarkStart w:id="219" w:name="Tc_z61ORxQ3uEWKw2o2fXzw9w_17_0"/>
      <w:bookmarkStart w:id="220" w:name="Tc_Umo4OP3f8Eyw9i3LwHCwHw_16_14"/>
      <w:bookmarkStart w:id="221" w:name="Tc_qJycd-Hh0kmjKt_NsnT4ag_16_8"/>
      <w:bookmarkStart w:id="222" w:name="Tc_4UeUIlp2lEGJKaBS7FWqqw_16_5"/>
      <w:bookmarkStart w:id="223" w:name="Tc_XWQSGb5J302kmagUiF4QGg_16_2"/>
      <w:bookmarkStart w:id="224" w:name="Tc_6qvyihiOYk2Pb82XzEqWDg_16_0"/>
      <w:bookmarkStart w:id="225" w:name="Tc_Tp_8wBiokkyZQ2z5A_59GA_15_14"/>
      <w:bookmarkStart w:id="226" w:name="Tc_2jk-Ull4tUybhlmHtius3w_15_11"/>
      <w:bookmarkStart w:id="227" w:name="Tc_4NYy6tdbDEmHY_Is_DZWsg_15_5"/>
      <w:bookmarkStart w:id="228" w:name="Tc_vKreWemLtk6WMp_Nj1GbdQ_15_2"/>
      <w:bookmarkStart w:id="229" w:name="Tc_GcvqkWzR3U-q8mkI_I3GYw_15_0"/>
      <w:bookmarkStart w:id="230" w:name="Tc__WMDj6Jbs0OsXCLaHlwhTQ_14_14"/>
      <w:bookmarkStart w:id="231" w:name="Tc_7ZdNtWJ_ukujulSCiof1wQ_14_11"/>
      <w:bookmarkStart w:id="232" w:name="Tc_SfP1Pw4GCkK7wA_uwXqjQA_14_0"/>
      <w:bookmarkStart w:id="233" w:name="Tc_9j2U5pgPB0uYeOvXNNm0Jw_13_16"/>
      <w:bookmarkStart w:id="234" w:name="Tc_LIu19_BoZ0i61yIEJycerA_13_13"/>
      <w:bookmarkStart w:id="235" w:name="Tc_8N-9nHzaN0qj4-UNZ7oeqA_13_10"/>
      <w:bookmarkStart w:id="236" w:name="Tc_71bUq76tfUuyQiXK7XQhTA_13_7"/>
      <w:bookmarkStart w:id="237" w:name="Tc_QIMzfIHmZE2gpaaL9NSGgA_13_4"/>
      <w:bookmarkStart w:id="238" w:name="Tc_rrjdl0HgFkyNezp72Ok-UQ_13_0"/>
      <w:bookmarkStart w:id="239" w:name="Tc_h6mUXOQKG0iCn0Ko8jN-Hw_11_16"/>
      <w:bookmarkStart w:id="240" w:name="Tc_1G7T80eiVES8AnTsJTagLw_11_13"/>
      <w:bookmarkStart w:id="241" w:name="Tc_G1eJYEQFb0e3Y7LiBUHwbQ_11_10"/>
      <w:bookmarkStart w:id="242" w:name="Tc_jxA0Rnbo9UyfSh-oPQN_tA_11_7"/>
      <w:bookmarkStart w:id="243" w:name="Tc_6_Jz9m7kdUOyQJcWDjFZCw_11_4"/>
      <w:bookmarkStart w:id="244" w:name="Tc_maF1Gx-GdUKOoJfhV9KLww_11_0"/>
      <w:bookmarkStart w:id="245" w:name="Tc_nLH6vXQasUS4uhzUUZXfeA_10_11"/>
      <w:bookmarkStart w:id="246" w:name="Tc_PuZcM9KGukGg8Tjsp9O9yw_10_8"/>
      <w:bookmarkStart w:id="247" w:name="Tc_Wwr_C33WRkSHW6bnbNk2rQ_10_5"/>
      <w:bookmarkStart w:id="248" w:name="Tc_5cBBkcN3OkqdGZjhKcAC0g_10_2"/>
      <w:bookmarkStart w:id="249" w:name="Tc_cDoB6-wDKUSDCPT-TrzSGQ_10_0"/>
      <w:bookmarkStart w:id="250" w:name="Tc_pJn5c3vFdEaDOwTeaEm4cg_9_14"/>
      <w:bookmarkStart w:id="251" w:name="Tc_TZVYG4Vdv0eJxszCXyieuw_9_8"/>
      <w:bookmarkStart w:id="252" w:name="Tc_eQpMORLH_UKsTtHGlKbBvA_9_5"/>
      <w:bookmarkStart w:id="253" w:name="Tc_PEWBKvfj1keXO22lOKRe5Q_9_2"/>
      <w:bookmarkStart w:id="254" w:name="Tc_kYkDEtOSXU6dPiqG1guLMg_9_0"/>
      <w:bookmarkStart w:id="255" w:name="Tc_lSutUZfyKkytX61kvbWIpw_8_14"/>
      <w:bookmarkStart w:id="256" w:name="Tc_gtTBz0mikkaPR9HD3DxKxw_8_11"/>
      <w:bookmarkStart w:id="257" w:name="Tc_WxnZOaAQOU6zf_-oiGep1Q_8_5"/>
      <w:bookmarkStart w:id="258" w:name="Tc_m-XAmsQyMkmF52OlRjCCow_8_2"/>
      <w:bookmarkStart w:id="259" w:name="Tc_gwf-AbK4L0Wn41CxlBo6ng_8_0"/>
      <w:bookmarkStart w:id="260" w:name="Tc_t_eI16BZd0e7RgVTEpTFzA_7_17"/>
      <w:bookmarkStart w:id="261" w:name="Tc_nDUiq9sH4kG8pYisfOoKcg_7_14"/>
      <w:bookmarkStart w:id="262" w:name="Tc_uT_01FLPiUyco03StHrQJA_7_11"/>
      <w:bookmarkStart w:id="263" w:name="Tc_p4jnNIN7REis2hJFAso-_w_7_8"/>
      <w:bookmarkStart w:id="264" w:name="Tc_-cKYU5RRf0WCYHhSSVUFRg_7_5"/>
      <w:bookmarkStart w:id="265" w:name="Tc_PEpHfwQXvEW0-G9bZ7BU3g_7_0"/>
      <w:bookmarkStart w:id="266" w:name="Tc_ylbf_n9uKUW6WNHuJKLyWQ_6_16"/>
      <w:bookmarkStart w:id="267" w:name="Tc_W72kkNY5t0iRHu97lYnOOQ_6_13"/>
      <w:bookmarkStart w:id="268" w:name="Tc_V7MxxsAMeEqqth5iOhj2aQ_6_10"/>
      <w:bookmarkStart w:id="269" w:name="Tc_LyNqffvDpUybVTJFdb7UYA_6_7"/>
      <w:bookmarkStart w:id="270" w:name="Tc_PWlAPCldr0CeqnsQ2dcSmA_6_4"/>
      <w:bookmarkStart w:id="271" w:name="Tc_90srup6NWkG9lEfknzHfuQ_6_0"/>
      <w:bookmarkStart w:id="272" w:name="Tc_iExJumQ1ZE-EBmNZJHFd8A_4_16"/>
      <w:bookmarkStart w:id="273" w:name="Tc_7qMtdblXGE-3g94X6dPbTA_4_13"/>
      <w:bookmarkStart w:id="274" w:name="Tc_tC6OpTrqvk-jwwErfnziIg_4_10"/>
      <w:bookmarkStart w:id="275" w:name="Tc_CdiMPhYn70SIV9II5hC2_w_4_7"/>
      <w:bookmarkStart w:id="276" w:name="Tc_KtrIP08kf0S--mCz8ua9Bw_4_4"/>
      <w:bookmarkStart w:id="277" w:name="Tc_6w12Cn-jTUmPSco7rM4_gA_4_2"/>
      <w:bookmarkStart w:id="278" w:name="Tc_vnQHqfHiI0StLrMDVdWlyA_3_16"/>
      <w:bookmarkStart w:id="279" w:name="Tc_XxFD-3R0Q0m46dcTK6kAJg_3_13"/>
      <w:bookmarkStart w:id="280" w:name="Tc_WjRvd5wKMUG4AgoHFWsd8Q_3_9"/>
      <w:bookmarkStart w:id="281" w:name="Tc_125qRf4oWEa8FnKz39fhgg_3_7"/>
      <w:bookmarkStart w:id="282" w:name="Tc_GOjucBdYBUe28RLg-VlcIg_3_2"/>
      <w:bookmarkStart w:id="283" w:name="Tc_FSo-SYlSCE6JSWLcC5Eb_Q_2_10"/>
      <w:bookmarkStart w:id="284" w:name="Tc_Xq6JADg16UKSBS1bsjDSNg_2_7"/>
      <w:bookmarkStart w:id="285" w:name="Tc_v1QTaTKOX0qG2VwuNAr2tQ_1_10"/>
      <w:bookmarkStart w:id="286" w:name="_798c5f16_306d_4a9a_830e_ca30b7c61596"/>
      <w:bookmarkStart w:id="287" w:name="Tc_9nK_0Unjx0uUWuN-MlTtBw_18_16"/>
      <w:bookmarkStart w:id="288" w:name="Tc_C_WFXWi7S0SoGbDStX66sQ_18_13"/>
      <w:bookmarkStart w:id="289" w:name="Tc_C383msis80C2BN-oyj3XLg_18_10"/>
      <w:bookmarkStart w:id="290" w:name="Tc_A1rgNba_uEKkw-mwLniAWw_18_7"/>
      <w:bookmarkStart w:id="291" w:name="Tc_lzQlK3N-mE6KYorG09KrcA_18_4"/>
      <w:bookmarkStart w:id="292" w:name="Tc_nuGvcc0x9ku2JUVnOpyFHQ_18_0"/>
      <w:bookmarkStart w:id="293" w:name="Tc_osu0oWAg_EyrWuTi-o6Acg_17_11"/>
      <w:bookmarkStart w:id="294" w:name="Tc_jz8kY6ubUkCiggBCgWbyfw_17_8"/>
      <w:bookmarkStart w:id="295" w:name="Tc_Xz1wNKXc0E-1VNec4gk87g_17_5"/>
      <w:bookmarkStart w:id="296" w:name="Tc_yEqtM6sgUkSufyeh1OwUow_17_2"/>
      <w:bookmarkStart w:id="297" w:name="Tc_z61ORxQ3uEWKw2o2fXzw9w_17_0"/>
      <w:bookmarkStart w:id="298" w:name="Tc_Umo4OP3f8Eyw9i3LwHCwHw_16_14"/>
      <w:bookmarkStart w:id="299" w:name="Tc_qJycd-Hh0kmjKt_NsnT4ag_16_8"/>
      <w:bookmarkStart w:id="300" w:name="Tc_4UeUIlp2lEGJKaBS7FWqqw_16_5"/>
      <w:bookmarkStart w:id="301" w:name="Tc_XWQSGb5J302kmagUiF4QGg_16_2"/>
      <w:bookmarkStart w:id="302" w:name="Tc_6qvyihiOYk2Pb82XzEqWDg_16_0"/>
      <w:bookmarkStart w:id="303" w:name="Tc_Tp_8wBiokkyZQ2z5A_59GA_15_14"/>
      <w:bookmarkStart w:id="304" w:name="Tc_2jk-Ull4tUybhlmHtius3w_15_11"/>
      <w:bookmarkStart w:id="305" w:name="Tc_4NYy6tdbDEmHY_Is_DZWsg_15_5"/>
      <w:bookmarkStart w:id="306" w:name="Tc_vKreWemLtk6WMp_Nj1GbdQ_15_2"/>
      <w:bookmarkStart w:id="307" w:name="Tc_GcvqkWzR3U-q8mkI_I3GYw_15_0"/>
      <w:bookmarkStart w:id="308" w:name="Tc__WMDj6Jbs0OsXCLaHlwhTQ_14_14"/>
      <w:bookmarkStart w:id="309" w:name="Tc_7ZdNtWJ_ukujulSCiof1wQ_14_11"/>
      <w:bookmarkStart w:id="310" w:name="Tc_SfP1Pw4GCkK7wA_uwXqjQA_14_0"/>
      <w:bookmarkStart w:id="311" w:name="Tc_9j2U5pgPB0uYeOvXNNm0Jw_13_16"/>
      <w:bookmarkStart w:id="312" w:name="Tc_LIu19_BoZ0i61yIEJycerA_13_13"/>
      <w:bookmarkStart w:id="313" w:name="Tc_8N-9nHzaN0qj4-UNZ7oeqA_13_10"/>
      <w:bookmarkStart w:id="314" w:name="Tc_71bUq76tfUuyQiXK7XQhTA_13_7"/>
      <w:bookmarkStart w:id="315" w:name="Tc_QIMzfIHmZE2gpaaL9NSGgA_13_4"/>
      <w:bookmarkStart w:id="316" w:name="Tc_rrjdl0HgFkyNezp72Ok-UQ_13_0"/>
      <w:bookmarkStart w:id="317" w:name="Tc_h6mUXOQKG0iCn0Ko8jN-Hw_11_16"/>
      <w:bookmarkStart w:id="318" w:name="Tc_1G7T80eiVES8AnTsJTagLw_11_13"/>
      <w:bookmarkStart w:id="319" w:name="Tc_G1eJYEQFb0e3Y7LiBUHwbQ_11_10"/>
      <w:bookmarkStart w:id="320" w:name="Tc_jxA0Rnbo9UyfSh-oPQN_tA_11_7"/>
      <w:bookmarkStart w:id="321" w:name="Tc_6_Jz9m7kdUOyQJcWDjFZCw_11_4"/>
      <w:bookmarkStart w:id="322" w:name="Tc_maF1Gx-GdUKOoJfhV9KLww_11_0"/>
      <w:bookmarkStart w:id="323" w:name="Tc_nLH6vXQasUS4uhzUUZXfeA_10_11"/>
      <w:bookmarkStart w:id="324" w:name="Tc_PuZcM9KGukGg8Tjsp9O9yw_10_8"/>
      <w:bookmarkStart w:id="325" w:name="Tc_Wwr_C33WRkSHW6bnbNk2rQ_10_5"/>
      <w:bookmarkStart w:id="326" w:name="Tc_5cBBkcN3OkqdGZjhKcAC0g_10_2"/>
      <w:bookmarkStart w:id="327" w:name="Tc_cDoB6-wDKUSDCPT-TrzSGQ_10_0"/>
      <w:bookmarkStart w:id="328" w:name="Tc_pJn5c3vFdEaDOwTeaEm4cg_9_14"/>
      <w:bookmarkStart w:id="329" w:name="Tc_TZVYG4Vdv0eJxszCXyieuw_9_8"/>
      <w:bookmarkStart w:id="330" w:name="Tc_eQpMORLH_UKsTtHGlKbBvA_9_5"/>
      <w:bookmarkStart w:id="331" w:name="Tc_PEWBKvfj1keXO22lOKRe5Q_9_2"/>
      <w:bookmarkStart w:id="332" w:name="Tc_kYkDEtOSXU6dPiqG1guLMg_9_0"/>
      <w:bookmarkStart w:id="333" w:name="Tc_lSutUZfyKkytX61kvbWIpw_8_14"/>
      <w:bookmarkStart w:id="334" w:name="Tc_gtTBz0mikkaPR9HD3DxKxw_8_11"/>
      <w:bookmarkStart w:id="335" w:name="Tc_WxnZOaAQOU6zf_-oiGep1Q_8_5"/>
      <w:bookmarkStart w:id="336" w:name="Tc_m-XAmsQyMkmF52OlRjCCow_8_2"/>
      <w:bookmarkStart w:id="337" w:name="Tc_gwf-AbK4L0Wn41CxlBo6ng_8_0"/>
      <w:bookmarkStart w:id="338" w:name="Tc_t_eI16BZd0e7RgVTEpTFzA_7_17"/>
      <w:bookmarkStart w:id="339" w:name="Tc_nDUiq9sH4kG8pYisfOoKcg_7_14"/>
      <w:bookmarkStart w:id="340" w:name="Tc_uT_01FLPiUyco03StHrQJA_7_11"/>
      <w:bookmarkStart w:id="341" w:name="Tc_p4jnNIN7REis2hJFAso-_w_7_8"/>
      <w:bookmarkStart w:id="342" w:name="Tc_-cKYU5RRf0WCYHhSSVUFRg_7_5"/>
      <w:bookmarkStart w:id="343" w:name="Tc_PEpHfwQXvEW0-G9bZ7BU3g_7_0"/>
      <w:bookmarkStart w:id="344" w:name="Tc_ylbf_n9uKUW6WNHuJKLyWQ_6_16"/>
      <w:bookmarkStart w:id="345" w:name="Tc_W72kkNY5t0iRHu97lYnOOQ_6_13"/>
      <w:bookmarkStart w:id="346" w:name="Tc_V7MxxsAMeEqqth5iOhj2aQ_6_10"/>
      <w:bookmarkStart w:id="347" w:name="Tc_LyNqffvDpUybVTJFdb7UYA_6_7"/>
      <w:bookmarkStart w:id="348" w:name="Tc_PWlAPCldr0CeqnsQ2dcSmA_6_4"/>
      <w:bookmarkStart w:id="349" w:name="Tc_90srup6NWkG9lEfknzHfuQ_6_0"/>
      <w:bookmarkStart w:id="350" w:name="Tc_iExJumQ1ZE-EBmNZJHFd8A_4_16"/>
      <w:bookmarkStart w:id="351" w:name="Tc_7qMtdblXGE-3g94X6dPbTA_4_13"/>
      <w:bookmarkStart w:id="352" w:name="Tc_tC6OpTrqvk-jwwErfnziIg_4_10"/>
      <w:bookmarkStart w:id="353" w:name="Tc_CdiMPhYn70SIV9II5hC2_w_4_7"/>
      <w:bookmarkStart w:id="354" w:name="Tc_KtrIP08kf0S--mCz8ua9Bw_4_4"/>
      <w:bookmarkStart w:id="355" w:name="Tc_6w12Cn-jTUmPSco7rM4_gA_4_2"/>
      <w:bookmarkStart w:id="356" w:name="Tc_vnQHqfHiI0StLrMDVdWlyA_3_16"/>
      <w:bookmarkStart w:id="357" w:name="Tc_XxFD-3R0Q0m46dcTK6kAJg_3_13"/>
      <w:bookmarkStart w:id="358" w:name="Tc_WjRvd5wKMUG4AgoHFWsd8Q_3_9"/>
      <w:bookmarkStart w:id="359" w:name="Tc_125qRf4oWEa8FnKz39fhgg_3_7"/>
      <w:bookmarkStart w:id="360" w:name="Tc_GOjucBdYBUe28RLg-VlcIg_3_2"/>
      <w:bookmarkStart w:id="361" w:name="Tc_FSo-SYlSCE6JSWLcC5Eb_Q_2_10"/>
      <w:bookmarkStart w:id="362" w:name="Tc_Xq6JADg16UKSBS1bsjDSNg_2_7"/>
      <w:bookmarkStart w:id="363" w:name="Tc_v1QTaTKOX0qG2VwuNAr2tQ_1_10"/>
      <w:bookmarkStart w:id="364" w:name="_798c5f16_306d_4a9a_830e_ca30b7c6159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tbl>
      <w:tblPr>
        <w:tblW w:w="9385" w:type="dxa"/>
        <w:jc w:val="left"/>
        <w:tblInd w:w="0" w:type="dxa"/>
        <w:tblCellMar>
          <w:top w:w="0" w:type="dxa"/>
          <w:left w:w="0" w:type="dxa"/>
          <w:bottom w:w="0" w:type="dxa"/>
          <w:right w:w="0" w:type="dxa"/>
        </w:tblCellMar>
      </w:tblPr>
      <w:tblGrid>
        <w:gridCol w:w="2626"/>
        <w:gridCol w:w="326"/>
        <w:gridCol w:w="766"/>
        <w:gridCol w:w="326"/>
        <w:gridCol w:w="196"/>
        <w:gridCol w:w="375"/>
        <w:gridCol w:w="326"/>
        <w:gridCol w:w="181"/>
        <w:gridCol w:w="691"/>
        <w:gridCol w:w="326"/>
        <w:gridCol w:w="213"/>
        <w:gridCol w:w="658"/>
        <w:gridCol w:w="146"/>
        <w:gridCol w:w="181"/>
        <w:gridCol w:w="781"/>
        <w:gridCol w:w="146"/>
        <w:gridCol w:w="207"/>
        <w:gridCol w:w="723"/>
        <w:gridCol w:w="191"/>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67510" cy="175260"/>
                      <wp:effectExtent l="0" t="0" r="0" b="0"/>
                      <wp:wrapNone/>
                      <wp:docPr id="15" name="Frame15"/>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86410" cy="175260"/>
                      <wp:effectExtent l="0" t="0" r="0" b="0"/>
                      <wp:wrapNone/>
                      <wp:docPr id="17" name="Frame17"/>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8125" cy="175260"/>
                      <wp:effectExtent l="0" t="0" r="0" b="0"/>
                      <wp:wrapNone/>
                      <wp:docPr id="20" name="Frame2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4935" cy="175260"/>
                      <wp:effectExtent l="0" t="0" r="0" b="0"/>
                      <wp:wrapNone/>
                      <wp:docPr id="22" name="Frame22"/>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5255" cy="175260"/>
                      <wp:effectExtent l="0" t="0" r="0" b="0"/>
                      <wp:wrapNone/>
                      <wp:docPr id="25" name="Frame25"/>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17830" cy="175260"/>
                      <wp:effectExtent l="0" t="0" r="0" b="0"/>
                      <wp:wrapNone/>
                      <wp:docPr id="26" name="Frame26"/>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4935" cy="175260"/>
                      <wp:effectExtent l="0" t="0" r="0" b="0"/>
                      <wp:wrapNone/>
                      <wp:docPr id="28" name="Frame2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2710" cy="175260"/>
                      <wp:effectExtent l="0" t="0" r="0" b="0"/>
                      <wp:wrapNone/>
                      <wp:docPr id="30" name="Frame3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1445" cy="175260"/>
                      <wp:effectExtent l="0" t="0" r="0" b="0"/>
                      <wp:wrapNone/>
                      <wp:docPr id="31" name="Frame31"/>
                      <a:graphic xmlns:a="http://schemas.openxmlformats.org/drawingml/2006/main">
                        <a:graphicData uri="http://schemas.microsoft.com/office/word/2010/wordprocessingShape">
                          <wps:wsp>
                            <wps:cNvSpPr txBox="1"/>
                            <wps:spPr>
                              <a:xfrm>
                                <a:off x="0" y="0"/>
                                <a:ext cx="1314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59105" cy="175260"/>
                      <wp:effectExtent l="0" t="0" r="0" b="0"/>
                      <wp:wrapNone/>
                      <wp:docPr id="32" name="Frame32"/>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285" cy="175260"/>
                      <wp:effectExtent l="0" t="0" r="0" b="0"/>
                      <wp:wrapNone/>
                      <wp:docPr id="33" name="Frame33"/>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66"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96" w:type="dxa"/>
            <w:tcBorders/>
            <w:shd w:fill="auto" w:val="clear"/>
            <w:vAlign w:val="center"/>
          </w:tcPr>
          <w:p>
            <w:pPr>
              <w:pStyle w:val="TableContents"/>
              <w:spacing w:lineRule="auto" w:line="285" w:before="0" w:after="0"/>
              <w:ind w:left="0" w:right="0" w:hanging="0"/>
              <w:jc w:val="center"/>
              <w:rPr/>
            </w:pPr>
            <w:r>
              <w:rPr/>
              <w:t>​</w:t>
            </w:r>
          </w:p>
        </w:tc>
        <w:tc>
          <w:tcPr>
            <w:tcW w:w="375"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81" w:type="dxa"/>
            <w:tcBorders/>
            <w:shd w:fill="auto" w:val="clear"/>
            <w:vAlign w:val="center"/>
          </w:tcPr>
          <w:p>
            <w:pPr>
              <w:pStyle w:val="TableContents"/>
              <w:spacing w:lineRule="auto" w:line="285" w:before="0" w:after="0"/>
              <w:ind w:left="0" w:right="0" w:hanging="0"/>
              <w:jc w:val="center"/>
              <w:rPr/>
            </w:pPr>
            <w:r>
              <w:rPr/>
              <w:t>​</w:t>
            </w:r>
          </w:p>
        </w:tc>
        <w:tc>
          <w:tcPr>
            <w:tcW w:w="691"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87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181" w:type="dxa"/>
            <w:tcBorders/>
            <w:shd w:fill="auto" w:val="clear"/>
            <w:vAlign w:val="center"/>
          </w:tcPr>
          <w:p>
            <w:pPr>
              <w:pStyle w:val="TableContents"/>
              <w:spacing w:lineRule="auto" w:line="285" w:before="0" w:after="0"/>
              <w:ind w:left="0" w:right="0" w:hanging="0"/>
              <w:jc w:val="center"/>
              <w:rPr/>
            </w:pPr>
            <w:r>
              <w:rPr/>
              <w:t>​</w:t>
            </w:r>
          </w:p>
        </w:tc>
        <w:tc>
          <w:tcPr>
            <w:tcW w:w="781" w:type="dxa"/>
            <w:tcBorders/>
            <w:shd w:fill="auto" w:val="clear"/>
            <w:vAlign w:val="center"/>
          </w:tcPr>
          <w:p>
            <w:pPr>
              <w:pStyle w:val="TableContents"/>
              <w:spacing w:lineRule="auto" w:line="285" w:before="0" w:after="0"/>
              <w:ind w:left="0" w:right="0" w:hanging="0"/>
              <w:jc w:val="center"/>
              <w:rPr/>
            </w:pPr>
            <w:r>
              <w:rPr/>
              <w:t>​</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207" w:type="dxa"/>
            <w:tcBorders/>
            <w:shd w:fill="auto" w:val="clear"/>
            <w:vAlign w:val="center"/>
          </w:tcPr>
          <w:p>
            <w:pPr>
              <w:pStyle w:val="TableContents"/>
              <w:spacing w:lineRule="auto" w:line="285" w:before="0" w:after="0"/>
              <w:ind w:left="0" w:right="0" w:hanging="0"/>
              <w:jc w:val="center"/>
              <w:rPr/>
            </w:pPr>
            <w:r>
              <w:rPr/>
              <w:t>​</w:t>
            </w:r>
          </w:p>
        </w:tc>
        <w:tc>
          <w:tcPr>
            <w:tcW w:w="723" w:type="dxa"/>
            <w:tcBorders/>
            <w:shd w:fill="auto" w:val="clear"/>
            <w:vAlign w:val="center"/>
          </w:tcPr>
          <w:p>
            <w:pPr>
              <w:pStyle w:val="TableContents"/>
              <w:spacing w:lineRule="auto" w:line="285" w:before="0" w:after="0"/>
              <w:ind w:left="0" w:right="0" w:hanging="0"/>
              <w:jc w:val="center"/>
              <w:rPr/>
            </w:pPr>
            <w:r>
              <w:rPr/>
              <w:t>​</w:t>
            </w:r>
          </w:p>
        </w:tc>
        <w:tc>
          <w:tcPr>
            <w:tcW w:w="191" w:type="dxa"/>
            <w:tcBorders/>
            <w:shd w:fill="auto" w:val="clear"/>
            <w:vAlign w:val="center"/>
          </w:tcPr>
          <w:p>
            <w:pPr>
              <w:pStyle w:val="TableContents"/>
              <w:spacing w:lineRule="auto" w:line="285" w:before="0" w:after="0"/>
              <w:ind w:left="0" w:right="0" w:hanging="0"/>
              <w:jc w:val="center"/>
              <w:rPr/>
            </w:pPr>
            <w:r>
              <w:rPr/>
              <w:t> </w:t>
            </w:r>
          </w:p>
        </w:tc>
      </w:tr>
      <w:tr>
        <w:trPr/>
        <w:tc>
          <w:tcPr>
            <w:tcW w:w="26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66"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96" w:type="dxa"/>
            <w:tcBorders/>
            <w:shd w:fill="auto" w:val="clear"/>
            <w:vAlign w:val="center"/>
          </w:tcPr>
          <w:p>
            <w:pPr>
              <w:pStyle w:val="TableContents"/>
              <w:spacing w:lineRule="auto" w:line="285" w:before="0" w:after="0"/>
              <w:ind w:left="0" w:right="0" w:hanging="0"/>
              <w:jc w:val="center"/>
              <w:rPr/>
            </w:pPr>
            <w:r>
              <w:rPr/>
              <w:t>​</w:t>
            </w:r>
          </w:p>
        </w:tc>
        <w:tc>
          <w:tcPr>
            <w:tcW w:w="375"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87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87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181" w:type="dxa"/>
            <w:tcBorders/>
            <w:shd w:fill="auto" w:val="clear"/>
            <w:vAlign w:val="center"/>
          </w:tcPr>
          <w:p>
            <w:pPr>
              <w:pStyle w:val="TableContents"/>
              <w:spacing w:lineRule="auto" w:line="285" w:before="0" w:after="0"/>
              <w:ind w:left="0" w:right="0" w:hanging="0"/>
              <w:jc w:val="center"/>
              <w:rPr/>
            </w:pPr>
            <w:r>
              <w:rPr/>
              <w:t>​</w:t>
            </w:r>
          </w:p>
        </w:tc>
        <w:tc>
          <w:tcPr>
            <w:tcW w:w="781" w:type="dxa"/>
            <w:tcBorders/>
            <w:shd w:fill="auto" w:val="clear"/>
            <w:vAlign w:val="center"/>
          </w:tcPr>
          <w:p>
            <w:pPr>
              <w:pStyle w:val="TableContents"/>
              <w:spacing w:lineRule="auto" w:line="285" w:before="0" w:after="0"/>
              <w:ind w:left="0" w:right="0" w:hanging="0"/>
              <w:jc w:val="center"/>
              <w:rPr/>
            </w:pPr>
            <w:r>
              <w:rPr/>
              <w:t>​</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30" w:type="dxa"/>
            <w:gridSpan w:val="2"/>
            <w:tcBorders/>
            <w:shd w:fill="auto" w:val="clear"/>
            <w:vAlign w:val="center"/>
          </w:tcPr>
          <w:p>
            <w:pPr>
              <w:pStyle w:val="TableContents"/>
              <w:spacing w:lineRule="auto" w:line="285" w:before="0" w:after="0"/>
              <w:ind w:left="0" w:right="0" w:hanging="0"/>
              <w:jc w:val="center"/>
              <w:rPr/>
            </w:pPr>
            <w:r>
              <w:rPr/>
              <w:t>​</w:t>
            </w:r>
          </w:p>
        </w:tc>
        <w:tc>
          <w:tcPr>
            <w:tcW w:w="191" w:type="dxa"/>
            <w:tcBorders/>
            <w:shd w:fill="auto" w:val="clear"/>
            <w:vAlign w:val="center"/>
          </w:tcPr>
          <w:p>
            <w:pPr>
              <w:pStyle w:val="TableContents"/>
              <w:spacing w:lineRule="auto" w:line="285" w:before="0" w:after="0"/>
              <w:ind w:left="0" w:right="0" w:hanging="0"/>
              <w:jc w:val="center"/>
              <w:rPr/>
            </w:pPr>
            <w:r>
              <w:rPr/>
              <w:t> </w:t>
            </w:r>
          </w:p>
        </w:tc>
      </w:tr>
      <w:tr>
        <w:trPr/>
        <w:tc>
          <w:tcPr>
            <w:tcW w:w="26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63" w:type="dxa"/>
            <w:gridSpan w:val="4"/>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87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3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1" w:type="dxa"/>
            <w:tcBorders/>
            <w:shd w:fill="auto" w:val="clear"/>
            <w:vAlign w:val="center"/>
          </w:tcPr>
          <w:p>
            <w:pPr>
              <w:pStyle w:val="TableContents"/>
              <w:spacing w:lineRule="auto" w:line="285" w:before="0" w:after="0"/>
              <w:ind w:left="0" w:right="0" w:hanging="0"/>
              <w:jc w:val="center"/>
              <w:rPr/>
            </w:pPr>
            <w:r>
              <w:rPr/>
              <w:t> </w:t>
            </w:r>
          </w:p>
        </w:tc>
      </w:tr>
      <w:tr>
        <w:trPr/>
        <w:tc>
          <w:tcPr>
            <w:tcW w:w="26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6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5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7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6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3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1" w:type="dxa"/>
            <w:tcBorders/>
            <w:shd w:fill="auto" w:val="clear"/>
            <w:vAlign w:val="center"/>
          </w:tcPr>
          <w:p>
            <w:pPr>
              <w:pStyle w:val="TableContents"/>
              <w:spacing w:lineRule="auto" w:line="285" w:before="0" w:after="0"/>
              <w:ind w:left="0" w:right="0" w:hanging="0"/>
              <w:jc w:val="center"/>
              <w:rPr/>
            </w:pPr>
            <w:r>
              <w:rPr/>
              <w:t> </w:t>
            </w:r>
          </w:p>
        </w:tc>
      </w:tr>
      <w:tr>
        <w:trPr/>
        <w:tc>
          <w:tcPr>
            <w:tcW w:w="26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6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196" w:type="dxa"/>
            <w:tcBorders/>
            <w:shd w:fill="auto" w:val="clear"/>
            <w:vAlign w:val="center"/>
          </w:tcPr>
          <w:p>
            <w:pPr>
              <w:pStyle w:val="TableContents"/>
              <w:spacing w:lineRule="auto" w:line="285" w:before="0" w:after="0"/>
              <w:ind w:left="0" w:right="0" w:hanging="0"/>
              <w:rPr/>
            </w:pPr>
            <w:r>
              <w:rPr/>
              <w:t>​</w:t>
            </w:r>
          </w:p>
        </w:tc>
        <w:tc>
          <w:tcPr>
            <w:tcW w:w="375"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181" w:type="dxa"/>
            <w:tcBorders/>
            <w:shd w:fill="auto" w:val="clear"/>
            <w:vAlign w:val="center"/>
          </w:tcPr>
          <w:p>
            <w:pPr>
              <w:pStyle w:val="TableContents"/>
              <w:spacing w:lineRule="auto" w:line="285" w:before="0" w:after="0"/>
              <w:ind w:left="0" w:right="0" w:hanging="0"/>
              <w:rPr/>
            </w:pPr>
            <w:r>
              <w:rPr/>
              <w:t>​</w:t>
            </w:r>
          </w:p>
        </w:tc>
        <w:tc>
          <w:tcPr>
            <w:tcW w:w="69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3" w:type="dxa"/>
            <w:tcBorders/>
            <w:shd w:fill="auto" w:val="clear"/>
            <w:vAlign w:val="center"/>
          </w:tcPr>
          <w:p>
            <w:pPr>
              <w:pStyle w:val="TableContents"/>
              <w:spacing w:lineRule="auto" w:line="285" w:before="0" w:after="0"/>
              <w:ind w:left="0" w:right="0" w:hanging="0"/>
              <w:rPr/>
            </w:pPr>
            <w:r>
              <w:rPr/>
              <w:t>​</w:t>
            </w:r>
          </w:p>
        </w:tc>
        <w:tc>
          <w:tcPr>
            <w:tcW w:w="658"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18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207" w:type="dxa"/>
            <w:tcBorders/>
            <w:shd w:fill="auto" w:val="clear"/>
            <w:vAlign w:val="center"/>
          </w:tcPr>
          <w:p>
            <w:pPr>
              <w:pStyle w:val="TableContents"/>
              <w:spacing w:lineRule="auto" w:line="285" w:before="0" w:after="0"/>
              <w:ind w:left="0" w:right="0" w:hanging="0"/>
              <w:rPr/>
            </w:pPr>
            <w:r>
              <w:rPr/>
              <w:t>​</w:t>
            </w:r>
          </w:p>
        </w:tc>
        <w:tc>
          <w:tcPr>
            <w:tcW w:w="723" w:type="dxa"/>
            <w:tcBorders/>
            <w:shd w:fill="auto" w:val="clear"/>
            <w:vAlign w:val="center"/>
          </w:tcPr>
          <w:p>
            <w:pPr>
              <w:pStyle w:val="TableContents"/>
              <w:spacing w:lineRule="auto" w:line="285" w:before="0" w:after="0"/>
              <w:ind w:left="0" w:right="0" w:hanging="0"/>
              <w:rPr/>
            </w:pPr>
            <w:r>
              <w:rPr/>
              <w:t>​</w:t>
            </w:r>
          </w:p>
        </w:tc>
        <w:tc>
          <w:tcPr>
            <w:tcW w:w="191" w:type="dxa"/>
            <w:tcBorders/>
            <w:shd w:fill="auto" w:val="clear"/>
            <w:vAlign w:val="center"/>
          </w:tcPr>
          <w:p>
            <w:pPr>
              <w:pStyle w:val="TableContents"/>
              <w:spacing w:lineRule="auto" w:line="285" w:before="0" w:after="0"/>
              <w:ind w:left="0" w:right="0" w:hanging="0"/>
              <w:jc w:val="center"/>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Balance at December 31, 2022</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59,958,919</w:t>
            </w:r>
          </w:p>
        </w:tc>
        <w:tc>
          <w:tcPr>
            <w:tcW w:w="326" w:type="dxa"/>
            <w:tcBorders/>
            <w:shd w:fill="CCEEFF" w:val="clear"/>
            <w:vAlign w:val="center"/>
          </w:tcPr>
          <w:p>
            <w:pPr>
              <w:pStyle w:val="TableContents"/>
              <w:spacing w:lineRule="auto" w:line="285" w:before="0" w:after="0"/>
              <w:ind w:left="0" w:right="0" w:hanging="0"/>
              <w:jc w:val="right"/>
              <w:rPr/>
            </w:pPr>
            <w:r>
              <w:rPr/>
              <w:t> </w:t>
            </w:r>
          </w:p>
        </w:tc>
        <w:tc>
          <w:tcPr>
            <w:tcW w:w="19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spacing w:lineRule="auto" w:line="285" w:before="0" w:after="0"/>
              <w:ind w:left="0" w:right="0" w:hanging="0"/>
              <w:jc w:val="right"/>
              <w:rPr/>
            </w:pPr>
            <w:r>
              <w:rPr/>
              <w:t> </w:t>
            </w:r>
          </w:p>
        </w:tc>
        <w:tc>
          <w:tcPr>
            <w:tcW w:w="1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2,358,018</w:t>
            </w:r>
          </w:p>
        </w:tc>
        <w:tc>
          <w:tcPr>
            <w:tcW w:w="326" w:type="dxa"/>
            <w:tcBorders/>
            <w:shd w:fill="CCEEFF" w:val="clear"/>
            <w:vAlign w:val="center"/>
          </w:tcPr>
          <w:p>
            <w:pPr>
              <w:pStyle w:val="TableContents"/>
              <w:spacing w:lineRule="auto" w:line="285" w:before="0" w:after="0"/>
              <w:ind w:left="0" w:right="0" w:hanging="0"/>
              <w:jc w:val="right"/>
              <w:rPr/>
            </w:pPr>
            <w:r>
              <w:rPr/>
              <w:t> </w:t>
            </w:r>
          </w:p>
        </w:tc>
        <w:tc>
          <w:tcPr>
            <w:tcW w:w="21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(10,443)</w:t>
            </w:r>
          </w:p>
        </w:tc>
        <w:tc>
          <w:tcPr>
            <w:tcW w:w="146" w:type="dxa"/>
            <w:tcBorders/>
            <w:shd w:fill="CCEEFF" w:val="clear"/>
            <w:vAlign w:val="center"/>
          </w:tcPr>
          <w:p>
            <w:pPr>
              <w:pStyle w:val="TableContents"/>
              <w:spacing w:lineRule="auto" w:line="285" w:before="0" w:after="0"/>
              <w:ind w:left="0" w:right="0" w:hanging="0"/>
              <w:jc w:val="right"/>
              <w:rPr/>
            </w:pPr>
            <w:r>
              <w:rPr/>
              <w:t> </w:t>
            </w:r>
          </w:p>
        </w:tc>
        <w:tc>
          <w:tcPr>
            <w:tcW w:w="1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(1,832,958)</w:t>
            </w:r>
          </w:p>
        </w:tc>
        <w:tc>
          <w:tcPr>
            <w:tcW w:w="146" w:type="dxa"/>
            <w:tcBorders/>
            <w:shd w:fill="CCEEFF" w:val="clear"/>
            <w:vAlign w:val="center"/>
          </w:tcPr>
          <w:p>
            <w:pPr>
              <w:pStyle w:val="TableContents"/>
              <w:spacing w:lineRule="auto" w:line="285" w:before="0" w:after="0"/>
              <w:ind w:left="0" w:right="0" w:hanging="0"/>
              <w:jc w:val="right"/>
              <w:rPr/>
            </w:pPr>
            <w:r>
              <w:rPr/>
              <w:t> </w:t>
            </w:r>
          </w:p>
        </w:tc>
        <w:tc>
          <w:tcPr>
            <w:tcW w:w="20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514,677</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auto" w:val="clear"/>
            <w:vAlign w:val="center"/>
          </w:tcPr>
          <w:p>
            <w:pPr>
              <w:pStyle w:val="TableContents"/>
              <w:spacing w:lineRule="auto" w:line="285" w:before="0" w:after="0"/>
              <w:ind w:left="0" w:right="0" w:hanging="0"/>
              <w:rPr/>
            </w:pPr>
            <w:r>
              <w:rPr/>
              <w:t>​</w:t>
            </w:r>
          </w:p>
        </w:tc>
        <w:tc>
          <w:tcPr>
            <w:tcW w:w="76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457,416</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375"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69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shd w:fill="auto" w:val="clear"/>
            <w:vAlign w:val="center"/>
          </w:tcPr>
          <w:p>
            <w:pPr>
              <w:pStyle w:val="TableContents"/>
              <w:spacing w:lineRule="auto" w:line="285" w:before="0" w:after="0"/>
              <w:ind w:left="0" w:right="0" w:hanging="0"/>
              <w:jc w:val="right"/>
              <w:rPr/>
            </w:pPr>
            <w:r>
              <w:rPr/>
              <w:t>​</w:t>
            </w:r>
          </w:p>
        </w:tc>
        <w:tc>
          <w:tcPr>
            <w:tcW w:w="658" w:type="dxa"/>
            <w:tcBorders/>
            <w:shd w:fill="auto" w:val="cle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shd w:fill="auto" w:val="clear"/>
            <w:vAlign w:val="center"/>
          </w:tcPr>
          <w:p>
            <w:pPr>
              <w:pStyle w:val="TableContents"/>
              <w:spacing w:lineRule="auto" w:line="285" w:before="0" w:after="0"/>
              <w:ind w:left="0" w:right="0" w:hanging="0"/>
              <w:jc w:val="right"/>
              <w:rPr/>
            </w:pPr>
            <w:r>
              <w:rPr/>
              <w:t> </w:t>
            </w:r>
          </w:p>
        </w:tc>
        <w:tc>
          <w:tcPr>
            <w:tcW w:w="723" w:type="dxa"/>
            <w:tcBorders/>
            <w:shd w:fill="auto" w:val="clear"/>
            <w:vAlign w:val="center"/>
          </w:tcPr>
          <w:p>
            <w:pPr>
              <w:pStyle w:val="TableContents"/>
              <w:spacing w:lineRule="auto" w:line="285" w:before="0" w:after="0"/>
              <w:ind w:left="0" w:right="0" w:hanging="0"/>
              <w:jc w:val="right"/>
              <w:rPr/>
            </w:pPr>
            <w:r>
              <w:rPr/>
              <w:t>—</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375"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6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shd w:fill="CCEEFF" w:val="clear"/>
            <w:vAlign w:val="center"/>
          </w:tcPr>
          <w:p>
            <w:pPr>
              <w:pStyle w:val="TableContents"/>
              <w:spacing w:lineRule="auto" w:line="285" w:before="0" w:after="0"/>
              <w:ind w:left="0" w:right="0" w:hanging="0"/>
              <w:jc w:val="right"/>
              <w:rPr/>
            </w:pPr>
            <w:r>
              <w:rPr/>
              <w:t>​</w:t>
            </w:r>
          </w:p>
        </w:tc>
        <w:tc>
          <w:tcPr>
            <w:tcW w:w="658"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shd w:fill="CCEEFF" w:val="clear"/>
            <w:vAlign w:val="center"/>
          </w:tcPr>
          <w:p>
            <w:pPr>
              <w:pStyle w:val="TableContents"/>
              <w:spacing w:lineRule="auto" w:line="285" w:before="0" w:after="0"/>
              <w:ind w:left="0" w:right="0" w:hanging="0"/>
              <w:jc w:val="right"/>
              <w:rPr/>
            </w:pPr>
            <w:r>
              <w:rPr/>
              <w:t> </w:t>
            </w:r>
          </w:p>
        </w:tc>
        <w:tc>
          <w:tcPr>
            <w:tcW w:w="7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auto" w:val="clear"/>
            <w:vAlign w:val="center"/>
          </w:tcPr>
          <w:p>
            <w:pPr>
              <w:pStyle w:val="TableContents"/>
              <w:spacing w:lineRule="auto" w:line="285" w:before="0" w:after="0"/>
              <w:ind w:left="0" w:right="0" w:hanging="0"/>
              <w:rPr/>
            </w:pPr>
            <w:r>
              <w:rPr/>
              <w:t>​</w:t>
            </w:r>
          </w:p>
        </w:tc>
        <w:tc>
          <w:tcPr>
            <w:tcW w:w="766"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375"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69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shd w:fill="auto" w:val="clear"/>
            <w:vAlign w:val="center"/>
          </w:tcPr>
          <w:p>
            <w:pPr>
              <w:pStyle w:val="TableContents"/>
              <w:spacing w:lineRule="auto" w:line="285" w:before="0" w:after="0"/>
              <w:ind w:left="0" w:right="0" w:hanging="0"/>
              <w:jc w:val="right"/>
              <w:rPr/>
            </w:pPr>
            <w:r>
              <w:rPr/>
              <w:t>​</w:t>
            </w:r>
          </w:p>
        </w:tc>
        <w:tc>
          <w:tcPr>
            <w:tcW w:w="6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shd w:fill="auto" w:val="clear"/>
            <w:vAlign w:val="center"/>
          </w:tcPr>
          <w:p>
            <w:pPr>
              <w:pStyle w:val="TableContents"/>
              <w:spacing w:lineRule="auto" w:line="285" w:before="0" w:after="0"/>
              <w:ind w:left="0" w:right="0" w:hanging="0"/>
              <w:jc w:val="right"/>
              <w:rPr/>
            </w:pPr>
            <w:r>
              <w:rPr/>
              <w:t>​</w:t>
            </w:r>
          </w:p>
        </w:tc>
        <w:tc>
          <w:tcPr>
            <w:tcW w:w="72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65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72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Balance at March 31, 2023</w:t>
            </w:r>
          </w:p>
        </w:tc>
        <w:tc>
          <w:tcPr>
            <w:tcW w:w="326" w:type="dxa"/>
            <w:tcBorders/>
            <w:shd w:fill="auto" w:val="clear"/>
            <w:vAlign w:val="center"/>
          </w:tcPr>
          <w:p>
            <w:pPr>
              <w:pStyle w:val="TableContents"/>
              <w:spacing w:lineRule="auto" w:line="285" w:before="0" w:after="0"/>
              <w:ind w:left="0" w:right="0" w:hanging="0"/>
              <w:rPr/>
            </w:pPr>
            <w:r>
              <w:rPr/>
              <w:t>​</w:t>
            </w:r>
          </w:p>
        </w:tc>
        <w:tc>
          <w:tcPr>
            <w:tcW w:w="76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60,416,335</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2,381,358</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(4,602)</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(1,962,518)</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414,298</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375"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69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shd w:fill="CCEEFF" w:val="clear"/>
            <w:vAlign w:val="center"/>
          </w:tcPr>
          <w:p>
            <w:pPr>
              <w:pStyle w:val="TableContents"/>
              <w:spacing w:lineRule="auto" w:line="285" w:before="0" w:after="0"/>
              <w:ind w:left="0" w:right="0" w:hanging="0"/>
              <w:jc w:val="right"/>
              <w:rPr/>
            </w:pPr>
            <w:r>
              <w:rPr/>
              <w:t>​</w:t>
            </w:r>
          </w:p>
        </w:tc>
        <w:tc>
          <w:tcPr>
            <w:tcW w:w="658"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shd w:fill="CCEEFF" w:val="clear"/>
            <w:vAlign w:val="center"/>
          </w:tcPr>
          <w:p>
            <w:pPr>
              <w:pStyle w:val="TableContents"/>
              <w:spacing w:lineRule="auto" w:line="285" w:before="0" w:after="0"/>
              <w:ind w:left="0" w:right="0" w:hanging="0"/>
              <w:jc w:val="right"/>
              <w:rPr/>
            </w:pPr>
            <w:r>
              <w:rPr/>
              <w:t>​</w:t>
            </w:r>
          </w:p>
        </w:tc>
        <w:tc>
          <w:tcPr>
            <w:tcW w:w="723" w:type="dxa"/>
            <w:tcBorders/>
            <w:shd w:fill="CCEEFF" w:val="clear"/>
            <w:vAlign w:val="center"/>
          </w:tcPr>
          <w:p>
            <w:pPr>
              <w:pStyle w:val="TableContents"/>
              <w:spacing w:lineRule="auto" w:line="285" w:before="0" w:after="0"/>
              <w:ind w:left="0" w:right="0" w:hanging="0"/>
              <w:jc w:val="right"/>
              <w:rPr/>
            </w:pPr>
            <w:r>
              <w:rPr/>
              <w:t>​</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Balance at December 31, 2021</w:t>
            </w:r>
          </w:p>
        </w:tc>
        <w:tc>
          <w:tcPr>
            <w:tcW w:w="326" w:type="dxa"/>
            <w:tcBorders/>
            <w:shd w:fill="auto" w:val="clear"/>
            <w:vAlign w:val="center"/>
          </w:tcPr>
          <w:p>
            <w:pPr>
              <w:pStyle w:val="TableContents"/>
              <w:spacing w:lineRule="auto" w:line="285" w:before="0" w:after="0"/>
              <w:ind w:left="0" w:right="0" w:hanging="0"/>
              <w:rPr/>
            </w:pPr>
            <w:r>
              <w:rPr/>
              <w:t> </w:t>
            </w:r>
          </w:p>
        </w:tc>
        <w:tc>
          <w:tcPr>
            <w:tcW w:w="76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59,141,086</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2,250,250</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(4,133)</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(1,275,441)</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970,735</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414,888</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37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6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shd w:fill="CCEEFF" w:val="clear"/>
            <w:vAlign w:val="center"/>
          </w:tcPr>
          <w:p>
            <w:pPr>
              <w:pStyle w:val="TableContents"/>
              <w:spacing w:lineRule="auto" w:line="285" w:before="0" w:after="0"/>
              <w:ind w:left="0" w:right="0" w:hanging="0"/>
              <w:jc w:val="right"/>
              <w:rPr/>
            </w:pPr>
            <w:r>
              <w:rPr/>
              <w:t>​</w:t>
            </w:r>
          </w:p>
        </w:tc>
        <w:tc>
          <w:tcPr>
            <w:tcW w:w="658"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shd w:fill="CCEEFF" w:val="clear"/>
            <w:vAlign w:val="center"/>
          </w:tcPr>
          <w:p>
            <w:pPr>
              <w:pStyle w:val="TableContents"/>
              <w:spacing w:lineRule="auto" w:line="285" w:before="0" w:after="0"/>
              <w:ind w:left="0" w:right="0" w:hanging="0"/>
              <w:jc w:val="right"/>
              <w:rPr/>
            </w:pPr>
            <w:r>
              <w:rPr/>
              <w:t> </w:t>
            </w:r>
          </w:p>
        </w:tc>
        <w:tc>
          <w:tcPr>
            <w:tcW w:w="7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1,298</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auto" w:val="clear"/>
            <w:vAlign w:val="center"/>
          </w:tcPr>
          <w:p>
            <w:pPr>
              <w:pStyle w:val="TableContents"/>
              <w:spacing w:lineRule="auto" w:line="285" w:before="0" w:after="0"/>
              <w:ind w:left="0" w:right="0" w:hanging="0"/>
              <w:rPr/>
            </w:pPr>
            <w:r>
              <w:rPr/>
              <w:t>​</w:t>
            </w:r>
          </w:p>
        </w:tc>
        <w:tc>
          <w:tcPr>
            <w:tcW w:w="766"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shd w:fill="auto" w:val="clear"/>
            <w:vAlign w:val="center"/>
          </w:tcPr>
          <w:p>
            <w:pPr>
              <w:pStyle w:val="TableContents"/>
              <w:spacing w:lineRule="auto" w:line="285" w:before="0" w:after="0"/>
              <w:ind w:left="0" w:right="0" w:hanging="0"/>
              <w:jc w:val="right"/>
              <w:rPr/>
            </w:pPr>
            <w:r>
              <w:rPr/>
              <w:t>​</w:t>
            </w:r>
          </w:p>
        </w:tc>
        <w:tc>
          <w:tcPr>
            <w:tcW w:w="375"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6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shd w:fill="auto" w:val="clear"/>
            <w:vAlign w:val="center"/>
          </w:tcPr>
          <w:p>
            <w:pPr>
              <w:pStyle w:val="TableContents"/>
              <w:spacing w:lineRule="auto" w:line="285" w:before="0" w:after="0"/>
              <w:ind w:left="0" w:right="0" w:hanging="0"/>
              <w:jc w:val="right"/>
              <w:rPr/>
            </w:pPr>
            <w:r>
              <w:rPr/>
              <w:t>​</w:t>
            </w:r>
          </w:p>
        </w:tc>
        <w:tc>
          <w:tcPr>
            <w:tcW w:w="658" w:type="dxa"/>
            <w:tcBorders/>
            <w:shd w:fill="auto" w:val="cle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shd w:fill="auto" w:val="clear"/>
            <w:vAlign w:val="center"/>
          </w:tcPr>
          <w:p>
            <w:pPr>
              <w:pStyle w:val="TableContents"/>
              <w:spacing w:lineRule="auto" w:line="285" w:before="0" w:after="0"/>
              <w:ind w:left="0" w:right="0" w:hanging="0"/>
              <w:jc w:val="right"/>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shd w:fill="auto" w:val="clear"/>
            <w:vAlign w:val="center"/>
          </w:tcPr>
          <w:p>
            <w:pPr>
              <w:pStyle w:val="TableContents"/>
              <w:spacing w:lineRule="auto" w:line="285" w:before="0" w:after="0"/>
              <w:ind w:left="0" w:right="0" w:hanging="0"/>
              <w:jc w:val="right"/>
              <w:rPr/>
            </w:pPr>
            <w:r>
              <w:rPr/>
              <w:t> </w:t>
            </w:r>
          </w:p>
        </w:tc>
        <w:tc>
          <w:tcPr>
            <w:tcW w:w="72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23,609</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Other comprehensive income</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shd w:fill="CCEEFF" w:val="clear"/>
            <w:vAlign w:val="center"/>
          </w:tcPr>
          <w:p>
            <w:pPr>
              <w:pStyle w:val="TableContents"/>
              <w:spacing w:lineRule="auto" w:line="285" w:before="0" w:after="0"/>
              <w:ind w:left="0" w:right="0" w:hanging="0"/>
              <w:jc w:val="right"/>
              <w:rPr/>
            </w:pPr>
            <w:r>
              <w:rPr/>
              <w:t>​</w:t>
            </w:r>
          </w:p>
        </w:tc>
        <w:tc>
          <w:tcPr>
            <w:tcW w:w="375"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69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shd w:fill="CCEEFF" w:val="clear"/>
            <w:vAlign w:val="center"/>
          </w:tcPr>
          <w:p>
            <w:pPr>
              <w:pStyle w:val="TableContents"/>
              <w:spacing w:lineRule="auto" w:line="285" w:before="0" w:after="0"/>
              <w:ind w:left="0" w:right="0" w:hanging="0"/>
              <w:jc w:val="right"/>
              <w:rPr/>
            </w:pPr>
            <w:r>
              <w:rPr/>
              <w:t>​</w:t>
            </w:r>
          </w:p>
        </w:tc>
        <w:tc>
          <w:tcPr>
            <w:tcW w:w="6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shd w:fill="CCEEFF" w:val="clear"/>
            <w:vAlign w:val="center"/>
          </w:tcPr>
          <w:p>
            <w:pPr>
              <w:pStyle w:val="TableContents"/>
              <w:spacing w:lineRule="auto" w:line="285" w:before="0" w:after="0"/>
              <w:ind w:left="0" w:right="0" w:hanging="0"/>
              <w:jc w:val="right"/>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shd w:fill="CCEEFF" w:val="clear"/>
            <w:vAlign w:val="center"/>
          </w:tcPr>
          <w:p>
            <w:pPr>
              <w:pStyle w:val="TableContents"/>
              <w:spacing w:lineRule="auto" w:line="285" w:before="0" w:after="0"/>
              <w:ind w:left="0" w:right="0" w:hanging="0"/>
              <w:jc w:val="right"/>
              <w:rPr/>
            </w:pPr>
            <w:r>
              <w:rPr/>
              <w:t>​</w:t>
            </w:r>
          </w:p>
        </w:tc>
        <w:tc>
          <w:tcPr>
            <w:tcW w:w="7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(7,977)</w:t>
            </w:r>
          </w:p>
        </w:tc>
        <w:tc>
          <w:tcPr>
            <w:tcW w:w="191" w:type="dxa"/>
            <w:tcBorders/>
            <w:shd w:fill="CCEEFF" w:val="clear"/>
            <w:vAlign w:val="center"/>
          </w:tcPr>
          <w:p>
            <w:pPr>
              <w:pStyle w:val="TableContents"/>
              <w:spacing w:lineRule="auto" w:line="285" w:before="0" w:after="0"/>
              <w:ind w:left="0" w:right="0" w:hanging="0"/>
              <w:rPr/>
            </w:pPr>
            <w:r>
              <w:rPr/>
              <w:t>​</w:t>
            </w:r>
          </w:p>
        </w:tc>
      </w:tr>
      <w:tr>
        <w:trPr/>
        <w:tc>
          <w:tcPr>
            <w:tcW w:w="2626" w:type="dxa"/>
            <w:tcBorders/>
            <w:shd w:fill="auto"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326" w:type="dxa"/>
            <w:tcBorders/>
            <w:shd w:fill="auto" w:val="clear"/>
            <w:vAlign w:val="center"/>
          </w:tcPr>
          <w:p>
            <w:pPr>
              <w:pStyle w:val="TableContents"/>
              <w:spacing w:lineRule="auto" w:line="285" w:before="0" w:after="0"/>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7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21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6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46" w:type="dxa"/>
            <w:tcBorders/>
            <w:shd w:fill="auto" w:val="clear"/>
            <w:vAlign w:val="center"/>
          </w:tcPr>
          <w:p>
            <w:pPr>
              <w:pStyle w:val="TableContents"/>
              <w:spacing w:lineRule="auto" w:line="285" w:before="0" w:after="0"/>
              <w:ind w:left="0" w:right="0" w:hanging="0"/>
              <w:jc w:val="right"/>
              <w:rPr/>
            </w:pPr>
            <w:r>
              <w:rPr/>
              <w:t>​</w:t>
            </w:r>
          </w:p>
        </w:tc>
        <w:tc>
          <w:tcPr>
            <w:tcW w:w="20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72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(105,999)</w:t>
            </w:r>
          </w:p>
        </w:tc>
        <w:tc>
          <w:tcPr>
            <w:tcW w:w="191" w:type="dxa"/>
            <w:tcBorders/>
            <w:shd w:fill="auto" w:val="clear"/>
            <w:vAlign w:val="center"/>
          </w:tcPr>
          <w:p>
            <w:pPr>
              <w:pStyle w:val="TableContents"/>
              <w:spacing w:lineRule="auto" w:line="285" w:before="0" w:after="0"/>
              <w:ind w:left="0" w:right="0" w:hanging="0"/>
              <w:rPr/>
            </w:pPr>
            <w:r>
              <w:rPr/>
              <w:t>​</w:t>
            </w:r>
          </w:p>
        </w:tc>
      </w:tr>
      <w:tr>
        <w:trPr/>
        <w:tc>
          <w:tcPr>
            <w:tcW w:w="2626" w:type="dxa"/>
            <w:tcBorders/>
            <w:shd w:fill="CCEEFF" w:val="clear"/>
            <w:vAlign w:val="center"/>
          </w:tcPr>
          <w:p>
            <w:pPr>
              <w:pStyle w:val="TableContents"/>
              <w:spacing w:lineRule="auto" w:line="285" w:before="0" w:after="0"/>
              <w:ind w:left="0" w:right="0" w:hanging="0"/>
              <w:rPr>
                <w:rFonts w:ascii="Times New Roman;Times;serif" w:hAnsi="Times New Roman;Times;serif"/>
                <w:sz w:val="14"/>
              </w:rPr>
            </w:pPr>
            <w:r>
              <w:rPr>
                <w:rFonts w:ascii="Times New Roman;Times;serif" w:hAnsi="Times New Roman;Times;serif"/>
                <w:sz w:val="14"/>
              </w:rPr>
              <w:t>Balance at March 31, 2022</w:t>
            </w:r>
          </w:p>
        </w:tc>
        <w:tc>
          <w:tcPr>
            <w:tcW w:w="326" w:type="dxa"/>
            <w:tcBorders/>
            <w:shd w:fill="CCEEFF" w:val="clear"/>
            <w:vAlign w:val="center"/>
          </w:tcPr>
          <w:p>
            <w:pPr>
              <w:pStyle w:val="TableContents"/>
              <w:spacing w:lineRule="auto" w:line="285" w:before="0" w:after="0"/>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59,555,974</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2,275,156</w:t>
            </w:r>
          </w:p>
        </w:tc>
        <w:tc>
          <w:tcPr>
            <w:tcW w:w="326" w:type="dxa"/>
            <w:tcBorders/>
            <w:shd w:fill="CCEEFF" w:val="clear"/>
            <w:vAlign w:val="center"/>
          </w:tcPr>
          <w:p>
            <w:pPr>
              <w:pStyle w:val="TableContents"/>
              <w:spacing w:lineRule="auto" w:line="285"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(12,110)</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(1,381,440)</w:t>
            </w:r>
          </w:p>
        </w:tc>
        <w:tc>
          <w:tcPr>
            <w:tcW w:w="146" w:type="dxa"/>
            <w:tcBorders/>
            <w:shd w:fill="CCEEFF" w:val="clear"/>
            <w:vAlign w:val="center"/>
          </w:tcPr>
          <w:p>
            <w:pPr>
              <w:pStyle w:val="TableContents"/>
              <w:spacing w:lineRule="auto" w:line="285" w:before="0" w:after="0"/>
              <w:ind w:left="0" w:right="0" w:hanging="0"/>
              <w:jc w:val="right"/>
              <w:rPr/>
            </w:pPr>
            <w:r>
              <w:rPr/>
              <w:t>​</w:t>
            </w:r>
          </w:p>
        </w:tc>
        <w:tc>
          <w:tcPr>
            <w:tcW w:w="20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881,666</w:t>
            </w:r>
          </w:p>
        </w:tc>
        <w:tc>
          <w:tcPr>
            <w:tcW w:w="191" w:type="dxa"/>
            <w:tcBorders/>
            <w:shd w:fill="CCEEFF" w:val="clear"/>
            <w:vAlign w:val="center"/>
          </w:tcPr>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jc w:val="center"/>
        <w:rPr>
          <w:rFonts w:ascii="Times New Roman;Times;serif" w:hAnsi="Times New Roman;Times;serif"/>
          <w:b/>
          <w:sz w:val="20"/>
        </w:rPr>
      </w:pPr>
      <w:bookmarkStart w:id="365" w:name="_a42e1243_c8dd_4342_b471_2236092bde30"/>
      <w:bookmarkEnd w:id="365"/>
      <w:r>
        <w:rPr>
          <w:rFonts w:ascii="Times New Roman;Times;serif" w:hAnsi="Times New Roman;Times;serif"/>
          <w:b/>
          <w:sz w:val="20"/>
        </w:rPr>
        <w:t xml:space="preserve">Blueprint Medicines Corporation </w:t>
      </w:r>
    </w:p>
    <w:p>
      <w:pPr>
        <w:pStyle w:val="TextBody"/>
        <w:spacing w:lineRule="auto" w:line="285" w:before="0" w:after="0"/>
        <w:ind w:left="0" w:right="0" w:hanging="0"/>
        <w:jc w:val="center"/>
        <w:rPr>
          <w:rFonts w:ascii="Times New Roman;Times;serif" w:hAnsi="Times New Roman;Times;serif"/>
          <w:b/>
          <w:sz w:val="20"/>
        </w:rPr>
      </w:pPr>
      <w:bookmarkStart w:id="366" w:name="CashFlows_481395"/>
      <w:bookmarkEnd w:id="366"/>
      <w:r>
        <w:rPr>
          <w:rFonts w:ascii="Times New Roman;Times;serif" w:hAnsi="Times New Roman;Times;serif"/>
          <w:b/>
          <w:sz w:val="20"/>
        </w:rPr>
        <w:t>Condensed Consolidated Statements of Cash Flows</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spacing w:lineRule="auto" w:line="285" w:before="0" w:after="0"/>
        <w:ind w:left="0" w:right="0" w:hanging="0"/>
        <w:rPr/>
      </w:pPr>
      <w:r>
        <w:rPr/>
        <w:t>​</w:t>
      </w:r>
    </w:p>
    <w:p>
      <w:pPr>
        <w:pStyle w:val="Normal"/>
        <w:spacing w:before="0" w:after="0"/>
        <w:rPr>
          <w:sz w:val="4"/>
          <w:szCs w:val="4"/>
        </w:rPr>
      </w:pPr>
      <w:r>
        <w:rPr>
          <w:sz w:val="4"/>
          <w:szCs w:val="4"/>
        </w:rPr>
      </w:r>
      <w:bookmarkStart w:id="367" w:name="Tc_pxW-EcGrhEaeZ6Ug3aBGfQ_39_5"/>
      <w:bookmarkStart w:id="368" w:name="Tc_BPB2BqDeaE6M1BGiwU-ZYQ_39_2"/>
      <w:bookmarkStart w:id="369" w:name="Tc_nlksIvmPzk2azRxodk8img_39_0"/>
      <w:bookmarkStart w:id="370" w:name="Tc_3JYdsc63zk2KzxZ5Y2ZvlA_38_5"/>
      <w:bookmarkStart w:id="371" w:name="Tc_2DSo2FGvk0K7ChUZx9Q1TQ_38_3"/>
      <w:bookmarkStart w:id="372" w:name="Tc_6exyK1n2y0ymg9kKx2BacQ_38_2"/>
      <w:bookmarkStart w:id="373" w:name="Tc_m2LY-nFz9UmxCcKbNIi2Zg_38_0"/>
      <w:bookmarkStart w:id="374" w:name="Tc_wchbHoMa7UekrWrcUXwsmQ_37_6"/>
      <w:bookmarkStart w:id="375" w:name="Tc_MU7Pw1LqFEGCM0LdTmBPPg_37_5"/>
      <w:bookmarkStart w:id="376" w:name="Tc_szsttC_mjUK7K2aPrgDPsQ_37_2"/>
      <w:bookmarkStart w:id="377" w:name="Tc_qRkSEmpidk6OkaaZhiwALg_37_0"/>
      <w:bookmarkStart w:id="378" w:name="Tc_vGZAmA3p50SlwF1PoInD7Q_36_0"/>
      <w:bookmarkStart w:id="379" w:name="Tc_PNcM8piRlEW_1DLz8dhEAw_35_5"/>
      <w:bookmarkStart w:id="380" w:name="Tc_yyyWXBQiZUiwVHdWvrZ3KA_35_2"/>
      <w:bookmarkStart w:id="381" w:name="Tc_YYzfC4YaaU2Hg1Ypv5a8jw_35_0"/>
      <w:bookmarkStart w:id="382" w:name="Tc_JSxiyYBtoEK-qKKOWoWCUQ_34_0"/>
      <w:bookmarkStart w:id="383" w:name="Tc_M-OeUKJ7Qk2hLpXgQ9wP8g_33_0"/>
      <w:bookmarkStart w:id="384" w:name="Tc_SPWi1fM58Uqmg-tnkuq6IA_32_0"/>
      <w:bookmarkStart w:id="385" w:name="Tc_4G4hkFCYl0qtnMBooq6VHw_31_3"/>
      <w:bookmarkStart w:id="386" w:name="Tc_6EEPEi9NJkOCu5vg_YuFWA_31_0"/>
      <w:bookmarkStart w:id="387" w:name="Tc_4UfGH2fM3Uu3HxTchiJaxg_30_3"/>
      <w:bookmarkStart w:id="388" w:name="Tc_yOjO1bXFlEe-f2uUqyRR6g_30_0"/>
      <w:bookmarkStart w:id="389" w:name="Tc_boFlp8XqY0KrptK15V_YGA_29_0"/>
      <w:bookmarkStart w:id="390" w:name="Tc_KPXo7YFQ3EGBxBPFBpRp6Q_28_0"/>
      <w:bookmarkStart w:id="391" w:name="Tc_p1t4TvVJSU-5xGwjdClTzg_27_6"/>
      <w:bookmarkStart w:id="392" w:name="Tc_U-QQB1QF2Ea9RjHjhhgYKw_27_0"/>
      <w:bookmarkStart w:id="393" w:name="Tc_VdvobcSgAkC_iEbiMRhGjA_26_0"/>
      <w:bookmarkStart w:id="394" w:name="Tc_5lu5lRGqIE-hhsc5WmjmkQ_25_0"/>
      <w:bookmarkStart w:id="395" w:name="Tc_Tb7SRUIviE6wu4M15wb0Lw_24_0"/>
      <w:bookmarkStart w:id="396" w:name="Tc_spkyMRzYCkSaRBlLhtRXWg_23_0"/>
      <w:bookmarkStart w:id="397" w:name="Tc_9BBX4lm4PkS9jgieHFRbjw_22_0"/>
      <w:bookmarkStart w:id="398" w:name="Tc_x9clrRkJkEirnGc2xgH38A_21_0"/>
      <w:bookmarkStart w:id="399" w:name="Tc_EB68AVAQ5USEkF_oavG_nA_20_0"/>
      <w:bookmarkStart w:id="400" w:name="Tc_MyAozYTZg0Gk0AwHG6hMLQ_19_0"/>
      <w:bookmarkStart w:id="401" w:name="Tc_jx4pAEClC0SKPpMslTvofw_18_0"/>
      <w:bookmarkStart w:id="402" w:name="Tc_WQljTR7zVU-07CJrMqlNbw_17_0"/>
      <w:bookmarkStart w:id="403" w:name="Tc_Nv6gBGg2qUyUSLKHS-8Azg_16_0"/>
      <w:bookmarkStart w:id="404" w:name="Tc_a14PTXQuiUiUTmSrITm3fg_15_0"/>
      <w:bookmarkStart w:id="405" w:name="Tc_KyZuX273L0GSjJyHV3CSKQ_14_0"/>
      <w:bookmarkStart w:id="406" w:name="Tc_h-ldMMMpKkCJYcdJIUIsXg_13_0"/>
      <w:bookmarkStart w:id="407" w:name="Tc_iDwe_82LHUSx8Cl49Xqfmg_12_0"/>
      <w:bookmarkStart w:id="408" w:name="Tc_NVX2bBjF4UCDzZJ8o5NZvQ_11_0"/>
      <w:bookmarkStart w:id="409" w:name="Tc_fI6Ufaokdke5LBd06rSUVw_10_6"/>
      <w:bookmarkStart w:id="410" w:name="Tc_nPbpGUmWVkKyZUXOGvzurA_10_0"/>
      <w:bookmarkStart w:id="411" w:name="Tc_KvoL1JS3w02JdVrM7KM-Pw_9_0"/>
      <w:bookmarkStart w:id="412" w:name="Tc_FV72gp-Hek2oFfcGnGPrIQ_8_0"/>
      <w:bookmarkStart w:id="413" w:name="Tc_sjfxUaurdkSS2BU1yGeMLg_7_0"/>
      <w:bookmarkStart w:id="414" w:name="Tc_KtTlDhpxcUuPWQIuouZMdw_6_0"/>
      <w:bookmarkStart w:id="415" w:name="Tc_eUDQQqkRwUG4o7b5LWbcuw_5_5"/>
      <w:bookmarkStart w:id="416" w:name="Tc_7ncHLFFrtkqUysIxu-YWVQ_5_2"/>
      <w:bookmarkStart w:id="417" w:name="Tc_g3TswRc-306qGwJ1vougsw_5_0"/>
      <w:bookmarkStart w:id="418" w:name="Tc_RTdMdBxD3k6ZaaxOupCBgA_4_0"/>
      <w:bookmarkStart w:id="419" w:name="Tc_8NKfxxom4UCC6fKMnPx5Wg_3_5"/>
      <w:bookmarkStart w:id="420" w:name="Tc_tIpcpmyOD0OKmAej_gpnmg_3_2"/>
      <w:bookmarkStart w:id="421" w:name="Tc_hO14EbDGuU-l33MeDVfQ_g_2_2"/>
      <w:bookmarkStart w:id="422" w:name="Tc_psoHfbFsr0SYYdNKY1DTlA_1_2"/>
      <w:bookmarkStart w:id="423" w:name="_13f6b145_5d3f_4a24_8e79_391bd95aeb35"/>
      <w:bookmarkStart w:id="424" w:name="Tc_pxW-EcGrhEaeZ6Ug3aBGfQ_39_5"/>
      <w:bookmarkStart w:id="425" w:name="Tc_BPB2BqDeaE6M1BGiwU-ZYQ_39_2"/>
      <w:bookmarkStart w:id="426" w:name="Tc_nlksIvmPzk2azRxodk8img_39_0"/>
      <w:bookmarkStart w:id="427" w:name="Tc_3JYdsc63zk2KzxZ5Y2ZvlA_38_5"/>
      <w:bookmarkStart w:id="428" w:name="Tc_2DSo2FGvk0K7ChUZx9Q1TQ_38_3"/>
      <w:bookmarkStart w:id="429" w:name="Tc_6exyK1n2y0ymg9kKx2BacQ_38_2"/>
      <w:bookmarkStart w:id="430" w:name="Tc_m2LY-nFz9UmxCcKbNIi2Zg_38_0"/>
      <w:bookmarkStart w:id="431" w:name="Tc_wchbHoMa7UekrWrcUXwsmQ_37_6"/>
      <w:bookmarkStart w:id="432" w:name="Tc_MU7Pw1LqFEGCM0LdTmBPPg_37_5"/>
      <w:bookmarkStart w:id="433" w:name="Tc_szsttC_mjUK7K2aPrgDPsQ_37_2"/>
      <w:bookmarkStart w:id="434" w:name="Tc_qRkSEmpidk6OkaaZhiwALg_37_0"/>
      <w:bookmarkStart w:id="435" w:name="Tc_vGZAmA3p50SlwF1PoInD7Q_36_0"/>
      <w:bookmarkStart w:id="436" w:name="Tc_PNcM8piRlEW_1DLz8dhEAw_35_5"/>
      <w:bookmarkStart w:id="437" w:name="Tc_yyyWXBQiZUiwVHdWvrZ3KA_35_2"/>
      <w:bookmarkStart w:id="438" w:name="Tc_YYzfC4YaaU2Hg1Ypv5a8jw_35_0"/>
      <w:bookmarkStart w:id="439" w:name="Tc_JSxiyYBtoEK-qKKOWoWCUQ_34_0"/>
      <w:bookmarkStart w:id="440" w:name="Tc_M-OeUKJ7Qk2hLpXgQ9wP8g_33_0"/>
      <w:bookmarkStart w:id="441" w:name="Tc_SPWi1fM58Uqmg-tnkuq6IA_32_0"/>
      <w:bookmarkStart w:id="442" w:name="Tc_4G4hkFCYl0qtnMBooq6VHw_31_3"/>
      <w:bookmarkStart w:id="443" w:name="Tc_6EEPEi9NJkOCu5vg_YuFWA_31_0"/>
      <w:bookmarkStart w:id="444" w:name="Tc_4UfGH2fM3Uu3HxTchiJaxg_30_3"/>
      <w:bookmarkStart w:id="445" w:name="Tc_yOjO1bXFlEe-f2uUqyRR6g_30_0"/>
      <w:bookmarkStart w:id="446" w:name="Tc_boFlp8XqY0KrptK15V_YGA_29_0"/>
      <w:bookmarkStart w:id="447" w:name="Tc_KPXo7YFQ3EGBxBPFBpRp6Q_28_0"/>
      <w:bookmarkStart w:id="448" w:name="Tc_p1t4TvVJSU-5xGwjdClTzg_27_6"/>
      <w:bookmarkStart w:id="449" w:name="Tc_U-QQB1QF2Ea9RjHjhhgYKw_27_0"/>
      <w:bookmarkStart w:id="450" w:name="Tc_VdvobcSgAkC_iEbiMRhGjA_26_0"/>
      <w:bookmarkStart w:id="451" w:name="Tc_5lu5lRGqIE-hhsc5WmjmkQ_25_0"/>
      <w:bookmarkStart w:id="452" w:name="Tc_Tb7SRUIviE6wu4M15wb0Lw_24_0"/>
      <w:bookmarkStart w:id="453" w:name="Tc_spkyMRzYCkSaRBlLhtRXWg_23_0"/>
      <w:bookmarkStart w:id="454" w:name="Tc_9BBX4lm4PkS9jgieHFRbjw_22_0"/>
      <w:bookmarkStart w:id="455" w:name="Tc_x9clrRkJkEirnGc2xgH38A_21_0"/>
      <w:bookmarkStart w:id="456" w:name="Tc_EB68AVAQ5USEkF_oavG_nA_20_0"/>
      <w:bookmarkStart w:id="457" w:name="Tc_MyAozYTZg0Gk0AwHG6hMLQ_19_0"/>
      <w:bookmarkStart w:id="458" w:name="Tc_jx4pAEClC0SKPpMslTvofw_18_0"/>
      <w:bookmarkStart w:id="459" w:name="Tc_WQljTR7zVU-07CJrMqlNbw_17_0"/>
      <w:bookmarkStart w:id="460" w:name="Tc_Nv6gBGg2qUyUSLKHS-8Azg_16_0"/>
      <w:bookmarkStart w:id="461" w:name="Tc_a14PTXQuiUiUTmSrITm3fg_15_0"/>
      <w:bookmarkStart w:id="462" w:name="Tc_KyZuX273L0GSjJyHV3CSKQ_14_0"/>
      <w:bookmarkStart w:id="463" w:name="Tc_h-ldMMMpKkCJYcdJIUIsXg_13_0"/>
      <w:bookmarkStart w:id="464" w:name="Tc_iDwe_82LHUSx8Cl49Xqfmg_12_0"/>
      <w:bookmarkStart w:id="465" w:name="Tc_NVX2bBjF4UCDzZJ8o5NZvQ_11_0"/>
      <w:bookmarkStart w:id="466" w:name="Tc_fI6Ufaokdke5LBd06rSUVw_10_6"/>
      <w:bookmarkStart w:id="467" w:name="Tc_nPbpGUmWVkKyZUXOGvzurA_10_0"/>
      <w:bookmarkStart w:id="468" w:name="Tc_KvoL1JS3w02JdVrM7KM-Pw_9_0"/>
      <w:bookmarkStart w:id="469" w:name="Tc_FV72gp-Hek2oFfcGnGPrIQ_8_0"/>
      <w:bookmarkStart w:id="470" w:name="Tc_sjfxUaurdkSS2BU1yGeMLg_7_0"/>
      <w:bookmarkStart w:id="471" w:name="Tc_KtTlDhpxcUuPWQIuouZMdw_6_0"/>
      <w:bookmarkStart w:id="472" w:name="Tc_eUDQQqkRwUG4o7b5LWbcuw_5_5"/>
      <w:bookmarkStart w:id="473" w:name="Tc_7ncHLFFrtkqUysIxu-YWVQ_5_2"/>
      <w:bookmarkStart w:id="474" w:name="Tc_g3TswRc-306qGwJ1vougsw_5_0"/>
      <w:bookmarkStart w:id="475" w:name="Tc_RTdMdBxD3k6ZaaxOupCBgA_4_0"/>
      <w:bookmarkStart w:id="476" w:name="Tc_8NKfxxom4UCC6fKMnPx5Wg_3_5"/>
      <w:bookmarkStart w:id="477" w:name="Tc_tIpcpmyOD0OKmAej_gpnmg_3_2"/>
      <w:bookmarkStart w:id="478" w:name="Tc_hO14EbDGuU-l33MeDVfQ_g_2_2"/>
      <w:bookmarkStart w:id="479" w:name="Tc_psoHfbFsr0SYYdNKY1DTlA_1_2"/>
      <w:bookmarkStart w:id="480" w:name="_13f6b145_5d3f_4a24_8e79_391bd95aeb35"/>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tbl>
      <w:tblPr>
        <w:tblW w:w="9252" w:type="dxa"/>
        <w:jc w:val="left"/>
        <w:tblInd w:w="0" w:type="dxa"/>
        <w:tblCellMar>
          <w:top w:w="0" w:type="dxa"/>
          <w:left w:w="0" w:type="dxa"/>
          <w:bottom w:w="0" w:type="dxa"/>
          <w:right w:w="0" w:type="dxa"/>
        </w:tblCellMar>
      </w:tblPr>
      <w:tblGrid>
        <w:gridCol w:w="6331"/>
        <w:gridCol w:w="326"/>
        <w:gridCol w:w="211"/>
        <w:gridCol w:w="901"/>
        <w:gridCol w:w="326"/>
        <w:gridCol w:w="211"/>
        <w:gridCol w:w="946"/>
      </w:tblGrid>
      <w:tr>
        <w:trPr/>
        <w:tc>
          <w:tcPr>
            <w:tcW w:w="6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020185" cy="175260"/>
                      <wp:effectExtent l="0" t="0" r="0" b="0"/>
                      <wp:wrapNone/>
                      <wp:docPr id="34" name="Frame34"/>
                      <a:graphic xmlns:a="http://schemas.openxmlformats.org/drawingml/2006/main">
                        <a:graphicData uri="http://schemas.microsoft.com/office/word/2010/wordprocessingShape">
                          <wps:wsp>
                            <wps:cNvSpPr txBox="1"/>
                            <wps:spPr>
                              <a:xfrm>
                                <a:off x="0" y="0"/>
                                <a:ext cx="40201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00710" cy="175260"/>
                      <wp:effectExtent l="0" t="0" r="0" b="0"/>
                      <wp:wrapNone/>
                      <wp:docPr id="40" name="Frame4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633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59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3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59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3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5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(105,999)</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3,684</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1,628</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Non-cash lease expense</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2,037</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23,196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23,399</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4,635</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(3,645)</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Unbilled accounts receivable</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9,899</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8,035</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(9,828)</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5,741</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(19,588)</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(13,741)</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7,806</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9,516</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(23,686)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(17,049)</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(7,238)</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6,826</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(11,099)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(13,251)</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(122,961)</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(132,726)</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(2,584)</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(132,875)</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(39,937)</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308,250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172,791</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(41,090)</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pPr>
            <w:r>
              <w:rPr/>
              <w:t>​</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 </w:t>
            </w:r>
          </w:p>
        </w:tc>
        <w:tc>
          <w:tcPr>
            <w:tcW w:w="90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jc w:val="right"/>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49,830</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(172,552)</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124,904</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215,119</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174,931</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42,370</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01" w:type="dxa"/>
            <w:tcBorders>
              <w:top w:val="single" w:sz="2" w:space="0" w:color="000000"/>
            </w:tcBorders>
            <w:shd w:fill="auto" w:val="clear"/>
            <w:tcMar>
              <w:top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46" w:type="dxa"/>
            <w:tcBorders/>
            <w:shd w:fill="auto" w:val="clear"/>
            <w:vAlign w:val="center"/>
          </w:tcPr>
          <w:p>
            <w:pPr>
              <w:pStyle w:val="TableContents"/>
              <w:spacing w:lineRule="auto" w:line="285" w:before="0" w:after="0"/>
              <w:ind w:left="0" w:right="0" w:hanging="0"/>
              <w:jc w:val="right"/>
              <w:rPr/>
            </w:pPr>
            <w:r>
              <w:rPr/>
              <w:t>​</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r>
      <w:tr>
        <w:trPr/>
        <w:tc>
          <w:tcPr>
            <w:tcW w:w="63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63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paid for taxes, net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169</w:t>
            </w:r>
          </w:p>
        </w:tc>
      </w:tr>
    </w:tbl>
    <w:p>
      <w:pPr>
        <w:pStyle w:val="TextBody"/>
        <w:spacing w:lineRule="auto" w:line="285" w:before="0" w:after="0"/>
        <w:ind w:left="0" w:right="0" w:hanging="0"/>
        <w:rPr/>
      </w:pPr>
      <w:r>
        <w:rPr/>
        <w:t>​</w:t>
      </w:r>
    </w:p>
    <w:p>
      <w:pPr>
        <w:pStyle w:val="TextBody"/>
        <w:spacing w:lineRule="auto" w:line="285" w:before="0" w:after="0"/>
        <w:ind w:left="0" w:right="0" w:firstLine="720"/>
        <w:rPr/>
      </w:pPr>
      <w:bookmarkStart w:id="481" w:name="_e6677856_7a60_4405_9288_82cf308884f2"/>
      <w:bookmarkEnd w:id="481"/>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pStyle w:val="Normal"/>
        <w:spacing w:before="0" w:after="0"/>
        <w:rPr>
          <w:sz w:val="4"/>
          <w:szCs w:val="4"/>
        </w:rPr>
      </w:pPr>
      <w:r>
        <w:rPr>
          <w:sz w:val="4"/>
          <w:szCs w:val="4"/>
        </w:rPr>
      </w:r>
      <w:bookmarkStart w:id="482" w:name="Tc_1S4pChC_9kaX2JqtjtroBQ_5_5"/>
      <w:bookmarkStart w:id="483" w:name="Tc_kTbBPkqs5ky0O_P7OFlrSQ_5_2"/>
      <w:bookmarkStart w:id="484" w:name="Tc_JhN3tDcCyEymuWtHtdXPHg_5_0"/>
      <w:bookmarkStart w:id="485" w:name="Tc_EjgbbCY5rkOHq55pVi4YCg_4_0"/>
      <w:bookmarkStart w:id="486" w:name="Tc_W5xvykYXl0iXOdxlYJ0u-g_3_5"/>
      <w:bookmarkStart w:id="487" w:name="Tc_rbgEE-JKx0CTPDIP9wEiug_3_2"/>
      <w:bookmarkStart w:id="488" w:name="Tc_xeFHeqv43UCw9jBc5BQ0jw_3_0"/>
      <w:bookmarkStart w:id="489" w:name="Tc_cprOctz6UU6hxr1twL-8SQ_2_5"/>
      <w:bookmarkStart w:id="490" w:name="Tc_WByWGxX3lkqIpKEW1yTvuA_2_2"/>
      <w:bookmarkStart w:id="491" w:name="Tc_hqIZIgiKskGtxZtuiWZ9gQ_1_5"/>
      <w:bookmarkStart w:id="492" w:name="Tc_t4-5yXqTN0-bZCBh-3m7dg_1_2"/>
      <w:bookmarkStart w:id="493" w:name="_aedcef8c_1335_4e56_b502_09f0e29f8330"/>
      <w:bookmarkStart w:id="494" w:name="Tc_1S4pChC_9kaX2JqtjtroBQ_5_5"/>
      <w:bookmarkStart w:id="495" w:name="Tc_kTbBPkqs5ky0O_P7OFlrSQ_5_2"/>
      <w:bookmarkStart w:id="496" w:name="Tc_JhN3tDcCyEymuWtHtdXPHg_5_0"/>
      <w:bookmarkStart w:id="497" w:name="Tc_EjgbbCY5rkOHq55pVi4YCg_4_0"/>
      <w:bookmarkStart w:id="498" w:name="Tc_W5xvykYXl0iXOdxlYJ0u-g_3_5"/>
      <w:bookmarkStart w:id="499" w:name="Tc_rbgEE-JKx0CTPDIP9wEiug_3_2"/>
      <w:bookmarkStart w:id="500" w:name="Tc_xeFHeqv43UCw9jBc5BQ0jw_3_0"/>
      <w:bookmarkStart w:id="501" w:name="Tc_cprOctz6UU6hxr1twL-8SQ_2_5"/>
      <w:bookmarkStart w:id="502" w:name="Tc_WByWGxX3lkqIpKEW1yTvuA_2_2"/>
      <w:bookmarkStart w:id="503" w:name="Tc_hqIZIgiKskGtxZtuiWZ9gQ_1_5"/>
      <w:bookmarkStart w:id="504" w:name="Tc_t4-5yXqTN0-bZCBh-3m7dg_1_2"/>
      <w:bookmarkStart w:id="505" w:name="_aedcef8c_1335_4e56_b502_09f0e29f8330"/>
      <w:bookmarkEnd w:id="494"/>
      <w:bookmarkEnd w:id="495"/>
      <w:bookmarkEnd w:id="496"/>
      <w:bookmarkEnd w:id="497"/>
      <w:bookmarkEnd w:id="498"/>
      <w:bookmarkEnd w:id="499"/>
      <w:bookmarkEnd w:id="500"/>
      <w:bookmarkEnd w:id="501"/>
      <w:bookmarkEnd w:id="502"/>
      <w:bookmarkEnd w:id="503"/>
      <w:bookmarkEnd w:id="504"/>
      <w:bookmarkEnd w:id="505"/>
    </w:p>
    <w:tbl>
      <w:tblPr>
        <w:tblW w:w="9658" w:type="dxa"/>
        <w:jc w:val="left"/>
        <w:tblInd w:w="0" w:type="dxa"/>
        <w:tblCellMar>
          <w:top w:w="0" w:type="dxa"/>
          <w:left w:w="0" w:type="dxa"/>
          <w:bottom w:w="0" w:type="dxa"/>
          <w:right w:w="0" w:type="dxa"/>
        </w:tblCellMar>
      </w:tblPr>
      <w:tblGrid>
        <w:gridCol w:w="7486"/>
        <w:gridCol w:w="109"/>
        <w:gridCol w:w="199"/>
        <w:gridCol w:w="701"/>
        <w:gridCol w:w="109"/>
        <w:gridCol w:w="221"/>
        <w:gridCol w:w="679"/>
        <w:gridCol w:w="154"/>
      </w:tblGrid>
      <w:tr>
        <w:trPr/>
        <w:tc>
          <w:tcPr>
            <w:tcW w:w="7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753610" cy="175260"/>
                      <wp:effectExtent l="0" t="0" r="0" b="0"/>
                      <wp:wrapNone/>
                      <wp:docPr id="41" name="Frame41"/>
                      <a:graphic xmlns:a="http://schemas.openxmlformats.org/drawingml/2006/main">
                        <a:graphicData uri="http://schemas.microsoft.com/office/word/2010/wordprocessingShape">
                          <wps:wsp>
                            <wps:cNvSpPr txBox="1"/>
                            <wps:spPr>
                              <a:xfrm>
                                <a:off x="0" y="0"/>
                                <a:ext cx="4753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6365" cy="175260"/>
                      <wp:effectExtent l="0" t="0" r="0" b="0"/>
                      <wp:wrapNone/>
                      <wp:docPr id="43" name="Frame43"/>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45135" cy="175260"/>
                      <wp:effectExtent l="0" t="0" r="0" b="0"/>
                      <wp:wrapNone/>
                      <wp:docPr id="44" name="Frame44"/>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0335" cy="175260"/>
                      <wp:effectExtent l="0" t="0" r="0" b="0"/>
                      <wp:wrapNone/>
                      <wp:docPr id="46" name="Frame46"/>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31165" cy="175260"/>
                      <wp:effectExtent l="0" t="0" r="0" b="0"/>
                      <wp:wrapNone/>
                      <wp:docPr id="47" name="Frame47"/>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175260"/>
                      <wp:effectExtent l="0" t="0" r="0" b="0"/>
                      <wp:wrapNone/>
                      <wp:docPr id="48" name="Frame4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748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shd w:fill="auto" w:val="clear"/>
            <w:vAlign w:val="center"/>
          </w:tcPr>
          <w:p>
            <w:pPr>
              <w:pStyle w:val="TableContents"/>
              <w:spacing w:lineRule="auto" w:line="285" w:before="0" w:after="0"/>
              <w:ind w:left="0" w:right="0" w:hanging="0"/>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lineRule="auto" w:line="285" w:before="0" w:after="0"/>
              <w:ind w:left="0" w:right="0" w:hanging="0"/>
              <w:jc w:val="center"/>
              <w:rPr/>
            </w:pPr>
            <w:r>
              <w:rPr/>
              <w:t>​</w:t>
            </w:r>
          </w:p>
        </w:tc>
      </w:tr>
      <w:tr>
        <w:trPr/>
        <w:tc>
          <w:tcPr>
            <w:tcW w:w="748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lineRule="auto" w:line="285" w:before="0" w:after="0"/>
              <w:ind w:left="0" w:right="0" w:hanging="0"/>
              <w:jc w:val="center"/>
              <w:rPr/>
            </w:pPr>
            <w:r>
              <w:rPr/>
              <w:t>​</w:t>
            </w:r>
          </w:p>
        </w:tc>
      </w:tr>
      <w:tr>
        <w:trPr/>
        <w:tc>
          <w:tcPr>
            <w:tcW w:w="7486"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spacing w:lineRule="auto" w:line="285" w:before="0" w:after="0"/>
              <w:ind w:left="0" w:right="0" w:hanging="0"/>
              <w:rPr/>
            </w:pPr>
            <w:r>
              <w:rPr/>
              <w:t>​</w:t>
            </w:r>
          </w:p>
        </w:tc>
        <w:tc>
          <w:tcPr>
            <w:tcW w:w="199"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169,724</w:t>
            </w:r>
          </w:p>
        </w:tc>
        <w:tc>
          <w:tcPr>
            <w:tcW w:w="109" w:type="dxa"/>
            <w:tcBorders/>
            <w:shd w:fill="CCEEFF" w:val="clear"/>
            <w:vAlign w:val="center"/>
          </w:tcPr>
          <w:p>
            <w:pPr>
              <w:pStyle w:val="TableContents"/>
              <w:spacing w:lineRule="auto" w:line="285" w:before="0" w:after="0"/>
              <w:ind w:left="0" w:right="0" w:hanging="0"/>
              <w:rPr/>
            </w:pPr>
            <w:r>
              <w:rPr/>
              <w:t>​</w:t>
            </w:r>
          </w:p>
        </w:tc>
        <w:tc>
          <w:tcPr>
            <w:tcW w:w="221"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67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37,199</w:t>
            </w:r>
          </w:p>
        </w:tc>
        <w:tc>
          <w:tcPr>
            <w:tcW w:w="154" w:type="dxa"/>
            <w:tcBorders/>
            <w:shd w:fill="CCEEFF" w:val="clear"/>
            <w:vAlign w:val="center"/>
          </w:tcPr>
          <w:p>
            <w:pPr>
              <w:pStyle w:val="TableContents"/>
              <w:spacing w:lineRule="auto" w:line="285" w:before="0" w:after="0"/>
              <w:ind w:left="0" w:right="0" w:hanging="0"/>
              <w:rPr/>
            </w:pPr>
            <w:r>
              <w:rPr/>
              <w:t>​</w:t>
            </w:r>
          </w:p>
        </w:tc>
      </w:tr>
      <w:tr>
        <w:trPr/>
        <w:tc>
          <w:tcPr>
            <w:tcW w:w="7486" w:type="dxa"/>
            <w:tcBorders/>
            <w:shd w:fill="auto"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Restricted cash</w:t>
            </w:r>
          </w:p>
        </w:tc>
        <w:tc>
          <w:tcPr>
            <w:tcW w:w="109" w:type="dxa"/>
            <w:tcBorders/>
            <w:shd w:fill="auto" w:val="clear"/>
            <w:vAlign w:val="center"/>
          </w:tcPr>
          <w:p>
            <w:pPr>
              <w:pStyle w:val="TableContents"/>
              <w:spacing w:lineRule="auto" w:line="285" w:before="0" w:after="0"/>
              <w:ind w:left="0" w:right="0" w:hanging="0"/>
              <w:rPr/>
            </w:pPr>
            <w:r>
              <w:rPr/>
              <w:t>​</w:t>
            </w:r>
          </w:p>
        </w:tc>
        <w:tc>
          <w:tcPr>
            <w:tcW w:w="199"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0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5,207</w:t>
            </w:r>
          </w:p>
        </w:tc>
        <w:tc>
          <w:tcPr>
            <w:tcW w:w="109" w:type="dxa"/>
            <w:tcBorders/>
            <w:shd w:fill="auto" w:val="clear"/>
            <w:vAlign w:val="center"/>
          </w:tcPr>
          <w:p>
            <w:pPr>
              <w:pStyle w:val="TableContents"/>
              <w:spacing w:lineRule="auto" w:line="285"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9"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5,171</w:t>
            </w:r>
          </w:p>
        </w:tc>
        <w:tc>
          <w:tcPr>
            <w:tcW w:w="154" w:type="dxa"/>
            <w:tcBorders/>
            <w:shd w:fill="auto" w:val="clear"/>
            <w:vAlign w:val="center"/>
          </w:tcPr>
          <w:p>
            <w:pPr>
              <w:pStyle w:val="TableContents"/>
              <w:spacing w:lineRule="auto" w:line="285" w:before="0" w:after="0"/>
              <w:ind w:left="0" w:right="0" w:hanging="0"/>
              <w:jc w:val="right"/>
              <w:rPr/>
            </w:pPr>
            <w:r>
              <w:rPr/>
              <w:t>​</w:t>
            </w:r>
          </w:p>
        </w:tc>
      </w:tr>
      <w:tr>
        <w:trPr/>
        <w:tc>
          <w:tcPr>
            <w:tcW w:w="7486" w:type="dxa"/>
            <w:tcBorders/>
            <w:shd w:fill="CCEEFF" w:val="cle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shd w:fill="CCEEFF" w:val="clear"/>
            <w:vAlign w:val="center"/>
          </w:tcPr>
          <w:p>
            <w:pPr>
              <w:pStyle w:val="TableContents"/>
              <w:spacing w:lineRule="auto" w:line="285" w:before="0" w:after="0"/>
              <w:ind w:left="0" w:right="0" w:hanging="0"/>
              <w:rPr/>
            </w:pPr>
            <w:r>
              <w:rPr/>
              <w:t>​</w:t>
            </w:r>
          </w:p>
        </w:tc>
        <w:tc>
          <w:tcPr>
            <w:tcW w:w="19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174,931</w:t>
            </w:r>
          </w:p>
        </w:tc>
        <w:tc>
          <w:tcPr>
            <w:tcW w:w="109" w:type="dxa"/>
            <w:tcBorders/>
            <w:shd w:fill="CCEEFF" w:val="clear"/>
            <w:vAlign w:val="center"/>
          </w:tcPr>
          <w:p>
            <w:pPr>
              <w:pStyle w:val="TableContents"/>
              <w:spacing w:lineRule="auto" w:line="285" w:before="0" w:after="0"/>
              <w:ind w:left="0" w:right="0" w:hanging="0"/>
              <w:rPr/>
            </w:pPr>
            <w:r>
              <w:rPr/>
              <w:t>​</w:t>
            </w:r>
          </w:p>
        </w:tc>
        <w:tc>
          <w:tcPr>
            <w:tcW w:w="22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16"/>
              </w:rPr>
            </w:pPr>
            <w:r>
              <w:rPr>
                <w:rFonts w:ascii="Times New Roman;Times;serif" w:hAnsi="Times New Roman;Times;serif"/>
                <w:sz w:val="16"/>
              </w:rPr>
              <w:t>$</w:t>
            </w:r>
          </w:p>
        </w:tc>
        <w:tc>
          <w:tcPr>
            <w:tcW w:w="67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42,370</w:t>
            </w:r>
          </w:p>
        </w:tc>
        <w:tc>
          <w:tcPr>
            <w:tcW w:w="154" w:type="dxa"/>
            <w:tcBorders/>
            <w:shd w:fill="CCEEFF" w:val="clear"/>
            <w:vAlign w:val="center"/>
          </w:tcPr>
          <w:p>
            <w:pPr>
              <w:pStyle w:val="TableContents"/>
              <w:spacing w:lineRule="auto" w:line="285" w:before="0" w:after="0"/>
              <w:ind w:left="0" w:right="0" w:hanging="0"/>
              <w:jc w:val="right"/>
              <w:rPr/>
            </w:pPr>
            <w:r>
              <w:rPr/>
              <w:t>​</w:t>
            </w:r>
          </w:p>
        </w:tc>
      </w:tr>
    </w:tbl>
    <w:p>
      <w:pPr>
        <w:pStyle w:val="TextBody"/>
        <w:spacing w:lineRule="auto" w:line="285" w:before="0" w:after="0"/>
        <w:ind w:left="0" w:right="0" w:hanging="0"/>
        <w:rPr/>
      </w:pPr>
      <w:r>
        <w:rPr/>
        <w:t>​</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pPr>
      <w:bookmarkStart w:id="506" w:name="_d3d694fe_5b53_43fe_a815_80ebd5fb6f3c"/>
      <w:bookmarkEnd w:id="506"/>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spacing w:lineRule="auto" w:line="285" w:before="0" w:after="0"/>
        <w:ind w:left="0" w:right="0" w:hanging="0"/>
        <w:jc w:val="center"/>
        <w:rPr>
          <w:rFonts w:ascii="Times New Roman;Times;serif" w:hAnsi="Times New Roman;Times;serif"/>
          <w:b/>
          <w:sz w:val="20"/>
        </w:rPr>
      </w:pPr>
      <w:bookmarkStart w:id="507" w:name="Notes_47889"/>
      <w:bookmarkEnd w:id="507"/>
      <w:r>
        <w:rPr>
          <w:rFonts w:ascii="Times New Roman;Times;serif" w:hAnsi="Times New Roman;Times;serif"/>
          <w:b/>
          <w:sz w:val="20"/>
        </w:rPr>
        <w:t>Notes to Condensed Consolidated Financial Statements</w:t>
      </w:r>
    </w:p>
    <w:p>
      <w:pPr>
        <w:pStyle w:val="TextBody"/>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spacing w:lineRule="auto" w:line="285" w:before="0" w:after="0"/>
        <w:ind w:left="0" w:right="0" w:hanging="0"/>
        <w:jc w:val="center"/>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1. Nature of Business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has two approved precision therapies and is globally advancing multiple programs for systemic mastocytosis (SM), lung cancer, breast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As of March 31, 2023, the Company had cash, cash equivalents and marketable securities of $961.3 million. Based on the Company’s current operating plans, the Company anticipates that its existing cash, cash equivalents and marketable securities will </w:t>
      </w:r>
      <w:r>
        <w:rPr>
          <w:rFonts w:ascii="Times New Roman;Times;serif" w:hAnsi="Times New Roman;Times;serif"/>
          <w:color w:val="212529"/>
          <w:sz w:val="20"/>
          <w:highlight w:val="white"/>
        </w:rPr>
        <w:t xml:space="preserve">be sufficient to enable it to fund its current operations for at least the next twelve months from the issuance of the financial statements. </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2022 and notes thereto included in the Company’s Annual Report on Form 10-K for the year ended December 31, 2022, filed with the SEC on February 16, 2023 (2022 Annual Report on Form 10-K).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2023, the results of its operations for the three months ended March 31, 2023 and 2022, stockholder’s equity for the three months ended March 31, 2023 and 2022 and cash flows for three months ended March 31, 2023 and 2022. Such adjustments are of a normal and recurring nature. The results for the three months ended March 31, 2023 are not necessarily indicative of the results for the year ending December 31, 2023 or for any future period.</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Lengo Therapeutics, Inc. (Lengo), which was acquired on December 30, 2021, was dissolved in June 2022. All intercompany transactions and balances have been eliminated.</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 The Russian invasion of Ukraine has not had a material impact on the Company’s business, results of operations and financial condition.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Significant Accounting Policies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months ended March 31, 2023 are consistent with those discussed in Note 2 to the consolidated financial statements in the 2022 Annual Report on Form 10-K, with the exception of the below new policy. </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 xml:space="preserve">Performance-Based Restricted Stock Unit Awards </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Fair value of performance-based restricted stock unit awards (PSUs) at the grant date are estimated using a lattice model with a Monte Carlo simulation. This valuation methodology utilizes several key assumptions, including defined consecutive trading day average closing stock price on the date of grant for PSUs,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 The PSUs cliff vest at the end of the service period and the compensation expense for PSUs is recognized straight-line over the applicable service period.</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New Accounting Pronouncements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  </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3. Financing Arrangements</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(as defined below) and U.S. territory under the terms of the Roche pralsetinib collaboration agreement.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loss. Net proceeds from the transaction were recorded as a liability related to sale of future royalties and revenues on the consolidated balance sheet. The Company accretes the $175.0 million, net of transaction costs of $3.8 million, to the total of these royalties as interest expense using the effective interest method over the estimated life of the arrangement. </w:t>
      </w:r>
      <w:r>
        <w:rPr>
          <w:rFonts w:ascii="Times New Roman;Times;serif" w:hAnsi="Times New Roman;Times;serif"/>
          <w:sz w:val="20"/>
          <w:highlight w:val="white"/>
        </w:rPr>
        <w:t xml:space="preserve">These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estimates contain assumptions that impact the amount recorded and the interest expense that will be recognized in future periods.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impact the liability related to this arrangement, and interest expense. The Company periodically assesses the expected payments to Royalty Pharma and will prospectively adjust the amortization of the liability related to this arrangement for material changes in such payments including the prospective impact around the uncertainty related to GAVRETO’s commercial outlook in the underlying territory during the life of the arrangement.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February 2023, the Company received written notice from Roche of their election to terminate for convenience the Roche pralsetinib collaboration agreement. The termination will become effective February 2024, at which time the Company will regain commercialization and development rights to GAVRETO from Roche worldwide excluding the CStone Territory. As of March 31, 2023, none of the derecognition conditions under ASC 405 </w:t>
      </w:r>
      <w:r>
        <w:rPr>
          <w:rFonts w:ascii="Times New Roman;Times;serif" w:hAnsi="Times New Roman;Times;serif"/>
          <w:i/>
          <w:sz w:val="20"/>
        </w:rPr>
        <w:t>Liabilities</w:t>
      </w:r>
      <w:r>
        <w:rPr>
          <w:rFonts w:ascii="Times New Roman;Times;serif" w:hAnsi="Times New Roman;Times;serif"/>
          <w:sz w:val="20"/>
        </w:rPr>
        <w:t xml:space="preserve"> were met, and in consideration of the significant uncertainties related to GAVRETO’s commercial outlook in the underlying territory during the life of the arrangement caused by the termination of the Roche pralsetinib collaboration agreement, during the three months ended March 31, 2023, the Company did not accrete any interest expenses related to the liability. As of March 31, 2023, the net carrying value of the liability related to this arrangement was $176.1 million.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Pursuant to the Royalty Purchase Agreement, the Company is eligible to receive certain milestone payments totaling up to $165.0 million, subject to the achievement of specified net sales milestones by Roche. However, following the termination of the Roche pralsetinib collaboration agreement, if the specified net sales milestone thresholds under the Royalty Purchase Agreement with Royalty Pharma are not otherwise met, the Company may no longer be eligible to receive any of the contingent milestone payments under the Royalty Purchase Agreement. The potential milestone payments will be added to the carrying value of the liability related to this arrangement when the milestones are achieved and received.</w:t>
      </w:r>
    </w:p>
    <w:p>
      <w:pPr>
        <w:pStyle w:val="TextBody"/>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financing transaction for up to $660.0 million (Financing Agreement) with Sixth Street Partners (Sixth Street).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loss. Net proceeds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spacing w:lineRule="auto" w:line="285" w:before="0" w:after="0"/>
        <w:ind w:left="0" w:right="0" w:firstLine="72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firstLine="720"/>
        <w:rPr>
          <w:rFonts w:ascii="Times New Roman;Times;serif" w:hAnsi="Times New Roman;Times;serif"/>
          <w:sz w:val="20"/>
        </w:rPr>
      </w:pPr>
      <w:bookmarkStart w:id="508" w:name="Tc_m-1qONqVVES2AaNNb2xMqQ_4_2"/>
      <w:bookmarkStart w:id="509" w:name="Tc_hK0Ad8G6jEGyUiPHF5IE4g_4_0"/>
      <w:bookmarkStart w:id="510" w:name="Tc_hateuBDArE6JcIbWtulfgw_3_0"/>
      <w:bookmarkStart w:id="511" w:name="Tc_cSVWMnycCkar9Gmrkxx-dw_2_0"/>
      <w:bookmarkStart w:id="512" w:name="Tc_oIoT51fpNUaX72__ndVzEw_1_2"/>
      <w:bookmarkStart w:id="513" w:name="Tc_z895YjxG20aZIRzj5Ha7fQ_1_0"/>
      <w:bookmarkStart w:id="514" w:name="_c7919a53_8685_4bc5_a937_80544fb8dd84"/>
      <w:bookmarkStart w:id="515" w:name="Tc_1DV7v7sViUmbKXXzz5S3UA_4_2"/>
      <w:bookmarkStart w:id="516" w:name="Tc_-VQOygt9w0yDxP14Psh1qA_4_0"/>
      <w:bookmarkStart w:id="517" w:name="Tc_ihTbKDZwrUKWbf3hcLbxjA_3_0"/>
      <w:bookmarkStart w:id="518" w:name="Tc_GDvv6UadiUqXGsiC45RA3w_2_0"/>
      <w:bookmarkStart w:id="519" w:name="Tc_YIsp_PTd_EiNJCDm4mtRKQ_1_2"/>
      <w:bookmarkStart w:id="520" w:name="Tc_z9zWS2yjDUW8FQb4Tfx2FA_1_0"/>
      <w:bookmarkStart w:id="521" w:name="_e305c9a3_e5a2_4eab_b0f2_5adc83671fd3"/>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Times New Roman;Times;serif" w:hAnsi="Times New Roman;Times;serif"/>
          <w:sz w:val="20"/>
        </w:rPr>
        <w:t xml:space="preserve">As payments are made to Sixth Street, the balance of the liability will be effectively repaid over the life of the Future Revenue Purchase Agreement. In order to determine the amortization of the liability, the Company estimates the total amount of future revenue payments to be paid to Sixth Street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and will prospectively adjust the amortization of the liability related to this arrangement for material changes in such payments. As of March 31, 2023, the Company’s estimate of this total interest expense resulted in an effective annual interest rate of 11.3%. </w:t>
      </w:r>
      <w:r>
        <w:rPr>
          <w:rFonts w:ascii="Times New Roman;Times;serif" w:hAnsi="Times New Roman;Times;serif"/>
          <w:sz w:val="20"/>
          <w:highlight w:val="white"/>
        </w:rPr>
        <w:t xml:space="preserve">These estimates contain assumptions that impact the amount recorded and the interest expense that will be recognized in future periods. </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As of March 31, 2023, the net carrying value of the liability related to this arrangement was $258.5 million. The following table shows the activity within the liability account (in thousands):</w:t>
      </w:r>
    </w:p>
    <w:p>
      <w:pPr>
        <w:pStyle w:val="TextBody"/>
        <w:spacing w:lineRule="auto" w:line="285" w:before="0" w:after="0"/>
        <w:ind w:left="0" w:right="0" w:hanging="0"/>
        <w:rPr/>
      </w:pPr>
      <w:r>
        <w:rPr/>
        <w:t>​</w:t>
      </w:r>
    </w:p>
    <w:tbl>
      <w:tblPr>
        <w:tblW w:w="4297" w:type="dxa"/>
        <w:jc w:val="left"/>
        <w:tblInd w:w="0" w:type="dxa"/>
        <w:tblCellMar>
          <w:top w:w="0" w:type="dxa"/>
          <w:left w:w="0" w:type="dxa"/>
          <w:bottom w:w="0" w:type="dxa"/>
          <w:right w:w="0" w:type="dxa"/>
        </w:tblCellMar>
      </w:tblPr>
      <w:tblGrid>
        <w:gridCol w:w="3091"/>
        <w:gridCol w:w="109"/>
        <w:gridCol w:w="211"/>
        <w:gridCol w:w="88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62785" cy="175260"/>
                      <wp:effectExtent l="0" t="0" r="0" b="0"/>
                      <wp:wrapNone/>
                      <wp:docPr id="49" name="Frame49"/>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2610" cy="175260"/>
                      <wp:effectExtent l="0" t="0" r="0" b="0"/>
                      <wp:wrapNone/>
                      <wp:docPr id="52" name="Frame5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0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254,328</w:t>
            </w:r>
          </w:p>
        </w:tc>
      </w:tr>
      <w:tr>
        <w:trPr/>
        <w:tc>
          <w:tcPr>
            <w:tcW w:w="30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expense recognized</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88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7,089</w:t>
            </w:r>
          </w:p>
        </w:tc>
      </w:tr>
      <w:tr>
        <w:trPr/>
        <w:tc>
          <w:tcPr>
            <w:tcW w:w="30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(2,883)</w:t>
            </w:r>
          </w:p>
        </w:tc>
      </w:tr>
      <w:tr>
        <w:trPr/>
        <w:tc>
          <w:tcPr>
            <w:tcW w:w="30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Carrying value as of March 31, 2023</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258,534</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Sixth Street Partners Term Loan</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As part of the Financing Agreement with Sixth Street Partners, the Company received gross proceeds of $150.0 million in July 2022 and incurred an aggregate of $12.2 million of debt discounts and transaction costs, which have been recorded as a reduction to the carrying amount of the debt on the Company’s consolidated balance sheet and will be amortized as additional interest expenses using the effective interest rate method over the period from issuance through maturity. As of March 31, 2023, the Company’s estimate of the total interest expense resulted in an effective annual interest rate of 13.3%. </w:t>
      </w:r>
      <w:r>
        <w:rPr>
          <w:rFonts w:ascii="Times New Roman;Times;serif" w:hAnsi="Times New Roman;Times;serif"/>
          <w:sz w:val="20"/>
          <w:highlight w:val="white"/>
        </w:rPr>
        <w:t>The carrying amount of the debt as of March 31, 2023 is subject to variable interest rates, which are based on current market rates, and as such, approximates fair value</w:t>
      </w:r>
      <w:r>
        <w:rPr>
          <w:rFonts w:ascii="Times New Roman;Times;serif" w:hAnsi="Times New Roman;Times;serif"/>
          <w:sz w:val="20"/>
        </w:rPr>
        <w:t xml:space="preserve">. </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following table shows the activity within the liability account (in thousands):</w:t>
      </w:r>
    </w:p>
    <w:p>
      <w:pPr>
        <w:pStyle w:val="TextBody"/>
        <w:spacing w:lineRule="auto" w:line="285" w:before="0" w:after="0"/>
        <w:ind w:left="0" w:right="0" w:hanging="0"/>
        <w:rPr/>
      </w:pPr>
      <w:r>
        <w:rPr/>
        <w:t>​</w:t>
      </w:r>
    </w:p>
    <w:tbl>
      <w:tblPr>
        <w:tblW w:w="4297" w:type="dxa"/>
        <w:jc w:val="left"/>
        <w:tblInd w:w="0" w:type="dxa"/>
        <w:tblCellMar>
          <w:top w:w="0" w:type="dxa"/>
          <w:left w:w="0" w:type="dxa"/>
          <w:bottom w:w="0" w:type="dxa"/>
          <w:right w:w="0" w:type="dxa"/>
        </w:tblCellMar>
      </w:tblPr>
      <w:tblGrid>
        <w:gridCol w:w="3091"/>
        <w:gridCol w:w="109"/>
        <w:gridCol w:w="211"/>
        <w:gridCol w:w="88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62785" cy="175260"/>
                      <wp:effectExtent l="0" t="0" r="0" b="0"/>
                      <wp:wrapNone/>
                      <wp:docPr id="53" name="Frame53"/>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62610" cy="175260"/>
                      <wp:effectExtent l="0" t="0" r="0" b="0"/>
                      <wp:wrapNone/>
                      <wp:docPr id="56" name="Frame5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0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Carrying value as of January 1, 2023</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139,083</w:t>
            </w:r>
          </w:p>
        </w:tc>
      </w:tr>
      <w:tr>
        <w:trPr/>
        <w:tc>
          <w:tcPr>
            <w:tcW w:w="30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expense recognized</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88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4,630</w:t>
            </w:r>
          </w:p>
        </w:tc>
      </w:tr>
      <w:tr>
        <w:trPr/>
        <w:tc>
          <w:tcPr>
            <w:tcW w:w="30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(4,201)</w:t>
            </w:r>
          </w:p>
        </w:tc>
      </w:tr>
      <w:tr>
        <w:trPr/>
        <w:tc>
          <w:tcPr>
            <w:tcW w:w="30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Carrying value as of March 31, 2023</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139,512</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March 31, 2023, we were in compliance with the applicable terms and conditions of the covenants under the Financing Arrangement. </w:t>
      </w:r>
    </w:p>
    <w:p>
      <w:pPr>
        <w:pStyle w:val="TextBody"/>
        <w:spacing w:lineRule="auto" w:line="285" w:before="0" w:after="0"/>
        <w:ind w:left="0" w:right="0" w:firstLine="72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160"/>
        <w:ind w:left="0" w:right="0" w:hanging="0"/>
        <w:rPr>
          <w:rFonts w:ascii="Times New Roman;Times;serif" w:hAnsi="Times New Roman;Times;serif"/>
          <w:b/>
          <w:sz w:val="20"/>
        </w:rPr>
      </w:pPr>
      <w:bookmarkStart w:id="522" w:name="Tc_7R6DMdPl_USXxNzZQKoCWw_6_11"/>
      <w:bookmarkStart w:id="523" w:name="Tc_BKeeN-IOvEGvz3GIZTFcCA_6_8"/>
      <w:bookmarkStart w:id="524" w:name="Tc_-mt6DHlcR0WHG1IlYREm6w_6_5"/>
      <w:bookmarkStart w:id="525" w:name="Tc_zsy02slBYEaOS62ndN6GNA_6_2"/>
      <w:bookmarkStart w:id="526" w:name="Tc__lNzc9OF-kOJM0Z_sDs0QA_6_0"/>
      <w:bookmarkStart w:id="527" w:name="Tc_DDyGiWuMoE-J2z3s8Kh8Yg_5_0"/>
      <w:bookmarkStart w:id="528" w:name="Tc_HL54gtb6u0SIaxx6-KGdNA_4_11"/>
      <w:bookmarkStart w:id="529" w:name="Tc_oOXYzNbjXECozBjzlxJgWQ_4_8"/>
      <w:bookmarkStart w:id="530" w:name="Tc_km7u5Wmz9UyARiuePdNJbg_4_5"/>
      <w:bookmarkStart w:id="531" w:name="Tc_7HNgnhZyWUm6CLQSaga-TA_4_2"/>
      <w:bookmarkStart w:id="532" w:name="Tc_ZGMxpXyDh02FE57SP771uw_4_0"/>
      <w:bookmarkStart w:id="533" w:name="Tc_QqNZVBAx6UG29UlJFGDnCw_3_11"/>
      <w:bookmarkStart w:id="534" w:name="Tc_EwtZAN9yRUWweo0cGI8pWQ_3_8"/>
      <w:bookmarkStart w:id="535" w:name="Tc_UzTlHRzBDEe9QUtoQK093w_3_5"/>
      <w:bookmarkStart w:id="536" w:name="Tc_EOoqwTzLpUa04-PJNwAYUA_3_2"/>
      <w:bookmarkStart w:id="537" w:name="Tc_LhS2Bz4A3EmNxR3P5r02Xw_2_11"/>
      <w:bookmarkStart w:id="538" w:name="Tc_W8-KfnrUEEC0_hrfXjNfbw_2_8"/>
      <w:bookmarkStart w:id="539" w:name="Tc_Ef6NGTo-ok-a7_c7cmdmAQ_2_5"/>
      <w:bookmarkStart w:id="540" w:name="Tc_EQMtLIRKY0CgqlFv763fdw_2_2"/>
      <w:bookmarkStart w:id="541" w:name="Tc_IeMjqCdwWkWV5mv1KFnYLA_1_8"/>
      <w:bookmarkStart w:id="542" w:name="Tc__2BCLs0JBkmIIqbCu5AAvQ_1_2"/>
      <w:bookmarkStart w:id="543" w:name="_a21e5ff6_d61a_49fc_b568_d9e86ff00cf7"/>
      <w:bookmarkStart w:id="544" w:name="Tc_rES6HeCsAE-2IxasJhh4ZA_6_8"/>
      <w:bookmarkStart w:id="545" w:name="Tc_liYCoNCVk06xp9oFVShXAQ_6_2"/>
      <w:bookmarkStart w:id="546" w:name="Tc_bm-AbHKHi0SU4TOU4pj1Tg_6_0"/>
      <w:bookmarkStart w:id="547" w:name="Tc_hUB9UmzqbUmF1Ci35yc5Kw_5_0"/>
      <w:bookmarkStart w:id="548" w:name="Tc_nKPERQRY3k2jeGT-6qWIoQ_4_8"/>
      <w:bookmarkStart w:id="549" w:name="Tc_7Edywlvl2kuSTtDkzbsb3A_4_2"/>
      <w:bookmarkStart w:id="550" w:name="Tc_OTFdYBoCc0-YcCB3O-6HQg_4_0"/>
      <w:bookmarkStart w:id="551" w:name="Tc_jvBx26C1B0qfIoPGQBwypA_3_11"/>
      <w:bookmarkStart w:id="552" w:name="Tc_wmYjSFfPIkGWqAxPWEZieQ_3_8"/>
      <w:bookmarkStart w:id="553" w:name="Tc_VPupgsMXOkSSkbHQMbfhMA_3_5"/>
      <w:bookmarkStart w:id="554" w:name="Tc_rQl1aUVGlkWGR8PXisOPTg_3_2"/>
      <w:bookmarkStart w:id="555" w:name="Tc_3nHeysLdCkegfVnMN87aWw_2_11"/>
      <w:bookmarkStart w:id="556" w:name="Tc_LfmkIgqRdk2gBE3jaibiBA_2_8"/>
      <w:bookmarkStart w:id="557" w:name="Tc_Qs4QfGVhSkaEG-4q2WWSnA_2_5"/>
      <w:bookmarkStart w:id="558" w:name="Tc_BkP4gS-ByEqE34iCpMkEVQ_2_2"/>
      <w:bookmarkStart w:id="559" w:name="Tc_nFzP0w4xuEWChKSuDYbv4g_1_8"/>
      <w:bookmarkStart w:id="560" w:name="Tc_yGl2-LxqFkeYVuM9g5LREw_1_2"/>
      <w:bookmarkStart w:id="561" w:name="_5f8e33a9_8da6_43a5_815c_5d1f2711d578"/>
      <w:bookmarkStart w:id="562" w:name="Tc_ssPz29vb10eHGOQpk3eLtQ_6_11"/>
      <w:bookmarkStart w:id="563" w:name="Tc_FPueI6u7hUOU_vPBoqx_vg_6_8"/>
      <w:bookmarkStart w:id="564" w:name="Tc_0rVHLQSuV0u9KjVJYt-k4g_6_5"/>
      <w:bookmarkStart w:id="565" w:name="Tc_7ftbdKHX0E-SAotIFbkjQw_6_2"/>
      <w:bookmarkStart w:id="566" w:name="Tc_kZKYzNCsyECl7SPWztdJwg_6_0"/>
      <w:bookmarkStart w:id="567" w:name="Tc_SkTxcsVP5EO9GysITh0J1Q_5_0"/>
      <w:bookmarkStart w:id="568" w:name="Tc_dILM5d_WTkCuKGDNrmGbyg_4_11"/>
      <w:bookmarkStart w:id="569" w:name="Tc_BlWgUdIgQUG4oSWQ_WC0vw_4_6"/>
      <w:bookmarkStart w:id="570" w:name="Tc_Z5BMfC3JdkCTne52tLv6Hw_4_2"/>
      <w:bookmarkStart w:id="571" w:name="Tc_fakYZ7E860WOuk9C4Yc--A_4_0"/>
      <w:bookmarkStart w:id="572" w:name="Tc_5JdxrsyFP0OfW77HBa_Hrw_3_0"/>
      <w:bookmarkStart w:id="573" w:name="Tc_RXz8p1yffU-6aSkktHcpCw_2_11"/>
      <w:bookmarkStart w:id="574" w:name="Tc_nbBlwXW3BkWQlPAnTcdfIw_2_8"/>
      <w:bookmarkStart w:id="575" w:name="Tc_DNaI6z5EYkG6eauGffQyjA_2_5"/>
      <w:bookmarkStart w:id="576" w:name="Tc_LBJtjaOx3UWOpVQUoOmK2w_2_2"/>
      <w:bookmarkStart w:id="577" w:name="Tc_z7hh2EUHYECKkCDRbGfxFQ_2_0"/>
      <w:bookmarkStart w:id="578" w:name="Tc_rjXJsVrXJ0ScKy7SjeIEMA_1_11"/>
      <w:bookmarkStart w:id="579" w:name="Tc_AnxHgP2X60uOtO3b892SCw_1_8"/>
      <w:bookmarkStart w:id="580" w:name="Tc_OdpHGxF60EOuQZCyLAbkkw_1_5"/>
      <w:bookmarkStart w:id="581" w:name="Tc_pWArGIosoUilx6_AmFJBRw_1_2"/>
      <w:bookmarkStart w:id="582" w:name="_360511f8_3541_443b_ac37_c54057062330"/>
      <w:bookmarkStart w:id="583" w:name="Tc_mfGqNS7aaE2d01jAgzs64A_6_11"/>
      <w:bookmarkStart w:id="584" w:name="Tc_R63iN78n2UCfI1nFIBWQzQ_6_8"/>
      <w:bookmarkStart w:id="585" w:name="Tc_KfkRUbRRkkq0EBnW3nnskw_6_5"/>
      <w:bookmarkStart w:id="586" w:name="Tc_sYg1qu61Jka_pzM1udUllw_6_2"/>
      <w:bookmarkStart w:id="587" w:name="Tc_EijNHJWFkEK0H93x2g1oZA_6_0"/>
      <w:bookmarkStart w:id="588" w:name="Tc__DeVzQ5NFEe29BplT-cyTw_5_0"/>
      <w:bookmarkStart w:id="589" w:name="Tc_K-ov9qmJiEGKUd-ieoBTaA_4_11"/>
      <w:bookmarkStart w:id="590" w:name="Tc_-O53u73dwEKqY-UYCPRMFg_4_2"/>
      <w:bookmarkStart w:id="591" w:name="Tc_C74nM7QJCU2dd3EaekbUCw_4_0"/>
      <w:bookmarkStart w:id="592" w:name="Tc_uJ-vbhmXCUyxqOXl2x6DGg_3_0"/>
      <w:bookmarkStart w:id="593" w:name="Tc_kEVumyJt4EGSJJI-N4mr1w_2_11"/>
      <w:bookmarkStart w:id="594" w:name="Tc_mOYwiV0DgUaUr4JvJOPV-w_2_8"/>
      <w:bookmarkStart w:id="595" w:name="Tc_t5aDPpG_t0uu0kI3EfraXA_2_5"/>
      <w:bookmarkStart w:id="596" w:name="Tc_AHci1XyaOEu0dQFf3DkNdA_2_2"/>
      <w:bookmarkStart w:id="597" w:name="Tc_fzbwyBYoBE-DYpkvNpHChQ_2_0"/>
      <w:bookmarkStart w:id="598" w:name="Tc_AsHCSu04lUiwaQ59_ZiIXw_1_11"/>
      <w:bookmarkStart w:id="599" w:name="Tc_aaX7kwtookWtf9lofXoB4w_1_8"/>
      <w:bookmarkStart w:id="600" w:name="Tc_vmjImYbLm0y6wyjxJbN02w_1_5"/>
      <w:bookmarkStart w:id="601" w:name="Tc_h3Gemaym8EWcf7zbJNy3WA_1_2"/>
      <w:bookmarkStart w:id="602" w:name="_9e84090c_b136_40f7_9e75_be6bced43fef"/>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ascii="Times New Roman;Times;serif" w:hAnsi="Times New Roman;Times;serif"/>
          <w:b/>
          <w:sz w:val="20"/>
        </w:rPr>
        <w:t>4. Marketable Securities</w:t>
      </w:r>
    </w:p>
    <w:p>
      <w:pPr>
        <w:pStyle w:val="TextBody"/>
        <w:spacing w:lineRule="auto" w:line="285" w:before="0" w:after="160"/>
        <w:ind w:left="0" w:right="0" w:firstLine="720"/>
        <w:rPr>
          <w:rFonts w:ascii="Times New Roman;Times;serif" w:hAnsi="Times New Roman;Times;serif"/>
          <w:sz w:val="20"/>
        </w:rPr>
      </w:pPr>
      <w:r>
        <w:rPr>
          <w:rFonts w:ascii="Times New Roman;Times;serif" w:hAnsi="Times New Roman;Times;serif"/>
          <w:sz w:val="20"/>
        </w:rPr>
        <w:t>Marketable securities consisted of the following at March 31, 2023 and December 31, 2022 (in thousands):</w:t>
      </w:r>
    </w:p>
    <w:p>
      <w:pPr>
        <w:pStyle w:val="TextBody"/>
        <w:spacing w:lineRule="auto" w:line="285" w:before="0" w:after="0"/>
        <w:ind w:left="0" w:right="0" w:hanging="0"/>
        <w:rPr/>
      </w:pPr>
      <w:r>
        <w:rPr/>
        <w:t>​</w:t>
      </w:r>
    </w:p>
    <w:tbl>
      <w:tblPr>
        <w:tblW w:w="7815" w:type="dxa"/>
        <w:jc w:val="left"/>
        <w:tblInd w:w="0" w:type="dxa"/>
        <w:tblCellMar>
          <w:top w:w="0" w:type="dxa"/>
          <w:left w:w="0" w:type="dxa"/>
          <w:bottom w:w="0" w:type="dxa"/>
          <w:right w:w="0" w:type="dxa"/>
        </w:tblCellMar>
      </w:tblPr>
      <w:tblGrid>
        <w:gridCol w:w="3421"/>
        <w:gridCol w:w="109"/>
        <w:gridCol w:w="211"/>
        <w:gridCol w:w="781"/>
        <w:gridCol w:w="146"/>
        <w:gridCol w:w="309"/>
        <w:gridCol w:w="621"/>
        <w:gridCol w:w="109"/>
        <w:gridCol w:w="211"/>
        <w:gridCol w:w="691"/>
        <w:gridCol w:w="109"/>
        <w:gridCol w:w="211"/>
        <w:gridCol w:w="886"/>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72335" cy="175260"/>
                      <wp:effectExtent l="0" t="0" r="0" b="0"/>
                      <wp:wrapNone/>
                      <wp:docPr id="57" name="Frame57"/>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60" name="Frame6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2710" cy="175260"/>
                      <wp:effectExtent l="0" t="0" r="0" b="0"/>
                      <wp:wrapNone/>
                      <wp:docPr id="61" name="Frame6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6215" cy="175260"/>
                      <wp:effectExtent l="0" t="0" r="0" b="0"/>
                      <wp:wrapNone/>
                      <wp:docPr id="62" name="Frame62"/>
                      <a:graphic xmlns:a="http://schemas.openxmlformats.org/drawingml/2006/main">
                        <a:graphicData uri="http://schemas.microsoft.com/office/word/2010/wordprocessingShape">
                          <wps:wsp>
                            <wps:cNvSpPr txBox="1"/>
                            <wps:spPr>
                              <a:xfrm>
                                <a:off x="0" y="0"/>
                                <a:ext cx="196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94335" cy="175260"/>
                      <wp:effectExtent l="0" t="0" r="0" b="0"/>
                      <wp:wrapNone/>
                      <wp:docPr id="63" name="Frame63"/>
                      <a:graphic xmlns:a="http://schemas.openxmlformats.org/drawingml/2006/main">
                        <a:graphicData uri="http://schemas.microsoft.com/office/word/2010/wordprocessingShape">
                          <wps:wsp>
                            <wps:cNvSpPr txBox="1"/>
                            <wps:spPr>
                              <a:xfrm>
                                <a:off x="0" y="0"/>
                                <a:ext cx="394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shd w:fill="auto" w:val="clear"/>
            <w:vAlign w:val="center"/>
          </w:tcPr>
          <w:p>
            <w:pPr>
              <w:pStyle w:val="TableContents"/>
              <w:spacing w:lineRule="auto" w:line="285" w:before="0" w:after="0"/>
              <w:ind w:left="0" w:right="0" w:hanging="0"/>
              <w:rPr/>
            </w:pPr>
            <w:r>
              <w:rPr/>
              <w:t>​</w:t>
            </w:r>
          </w:p>
        </w:tc>
        <w:tc>
          <w:tcPr>
            <w:tcW w:w="93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shd w:fill="auto" w:val="clear"/>
            <w:vAlign w:val="center"/>
          </w:tcPr>
          <w:p>
            <w:pPr>
              <w:pStyle w:val="TableContents"/>
              <w:spacing w:lineRule="auto" w:line="285" w:before="0" w:after="0"/>
              <w:ind w:left="0" w:right="0" w:hanging="0"/>
              <w:rPr/>
            </w:pPr>
            <w:r>
              <w:rPr/>
              <w:t>​</w:t>
            </w:r>
          </w:p>
        </w:tc>
        <w:tc>
          <w:tcPr>
            <w:tcW w:w="90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shd w:fill="auto" w:val="clear"/>
            <w:vAlign w:val="center"/>
          </w:tcPr>
          <w:p>
            <w:pPr>
              <w:pStyle w:val="TableContents"/>
              <w:spacing w:lineRule="auto" w:line="285" w:before="0" w:after="0"/>
              <w:ind w:left="0" w:right="0" w:hanging="0"/>
              <w:rPr/>
            </w:pPr>
            <w:r>
              <w:rPr/>
              <w:t>​</w:t>
            </w:r>
          </w:p>
        </w:tc>
        <w:tc>
          <w:tcPr>
            <w:tcW w:w="1097"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March 31, 2023</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shd w:fill="auto" w:val="clear"/>
            <w:vAlign w:val="center"/>
          </w:tcPr>
          <w:p>
            <w:pPr>
              <w:pStyle w:val="TableContents"/>
              <w:spacing w:lineRule="auto" w:line="285" w:before="0" w:after="0"/>
              <w:ind w:left="0" w:right="0" w:hanging="0"/>
              <w:jc w:val="center"/>
              <w:rPr/>
            </w:pPr>
            <w:r>
              <w:rPr/>
              <w:t> </w:t>
            </w:r>
          </w:p>
        </w:tc>
        <w:tc>
          <w:tcPr>
            <w:tcW w:w="93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109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rPr/>
            </w:pPr>
            <w:r>
              <w:rPr/>
              <w:t>​</w:t>
            </w:r>
          </w:p>
        </w:tc>
        <w:tc>
          <w:tcPr>
            <w:tcW w:w="309" w:type="dxa"/>
            <w:tcBorders/>
            <w:shd w:fill="CCEEFF" w:val="clear"/>
            <w:vAlign w:val="center"/>
          </w:tcPr>
          <w:p>
            <w:pPr>
              <w:pStyle w:val="TableContents"/>
              <w:spacing w:lineRule="auto" w:line="285" w:before="0" w:after="0"/>
              <w:ind w:left="0" w:right="0" w:hanging="0"/>
              <w:rPr/>
            </w:pPr>
            <w:r>
              <w:rPr/>
              <w:t>​</w:t>
            </w:r>
          </w:p>
        </w:tc>
        <w:tc>
          <w:tcPr>
            <w:tcW w:w="621"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691"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886" w:type="dxa"/>
            <w:tcBorders/>
            <w:shd w:fill="CCEEFF" w:val="cle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U.S. government agency securities </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314,891</w:t>
            </w:r>
          </w:p>
        </w:tc>
        <w:tc>
          <w:tcPr>
            <w:tcW w:w="146" w:type="dxa"/>
            <w:tcBorders/>
            <w:shd w:fill="auto" w:val="clear"/>
            <w:vAlign w:val="center"/>
          </w:tcPr>
          <w:p>
            <w:pPr>
              <w:pStyle w:val="TableContents"/>
              <w:spacing w:lineRule="auto" w:line="285" w:before="0" w:after="0"/>
              <w:ind w:left="0" w:right="0" w:hanging="0"/>
              <w:rPr/>
            </w:pPr>
            <w:r>
              <w:rPr/>
              <w:t>​</w:t>
            </w:r>
          </w:p>
        </w:tc>
        <w:tc>
          <w:tcPr>
            <w:tcW w:w="309" w:type="dxa"/>
            <w:tcBorders/>
            <w:shd w:fill="auto" w:val="clear"/>
            <w:vAlign w:val="center"/>
          </w:tcPr>
          <w:p>
            <w:pPr>
              <w:pStyle w:val="TableContents"/>
              <w:spacing w:lineRule="auto" w:line="285" w:before="0" w:after="0"/>
              <w:ind w:left="0" w:right="0" w:hanging="0"/>
              <w:rPr/>
            </w:pPr>
            <w:r>
              <w:rPr/>
              <w:t>​</w:t>
            </w:r>
          </w:p>
        </w:tc>
        <w:tc>
          <w:tcPr>
            <w:tcW w:w="62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6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312,802</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480,825</w:t>
            </w:r>
          </w:p>
        </w:tc>
        <w:tc>
          <w:tcPr>
            <w:tcW w:w="146" w:type="dxa"/>
            <w:tcBorders/>
            <w:shd w:fill="CCEEFF" w:val="clear"/>
            <w:vAlign w:val="center"/>
          </w:tcPr>
          <w:p>
            <w:pPr>
              <w:pStyle w:val="TableContents"/>
              <w:spacing w:lineRule="auto" w:line="285" w:before="0" w:after="0"/>
              <w:ind w:left="0" w:right="0" w:hanging="0"/>
              <w:rPr/>
            </w:pPr>
            <w:r>
              <w:rPr/>
              <w:t>​</w:t>
            </w:r>
          </w:p>
        </w:tc>
        <w:tc>
          <w:tcPr>
            <w:tcW w:w="309"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62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(2,229)</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478,785</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795,716</w:t>
            </w:r>
          </w:p>
        </w:tc>
        <w:tc>
          <w:tcPr>
            <w:tcW w:w="146" w:type="dxa"/>
            <w:tcBorders/>
            <w:shd w:fill="auto" w:val="clear"/>
            <w:vAlign w:val="center"/>
          </w:tcPr>
          <w:p>
            <w:pPr>
              <w:pStyle w:val="TableContents"/>
              <w:spacing w:lineRule="auto" w:line="285" w:before="0" w:after="0"/>
              <w:ind w:left="0" w:right="0" w:hanging="0"/>
              <w:rPr/>
            </w:pPr>
            <w:r>
              <w:rPr/>
              <w:t>​</w:t>
            </w:r>
          </w:p>
        </w:tc>
        <w:tc>
          <w:tcPr>
            <w:tcW w:w="309"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(4,346)</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791,587</w:t>
            </w:r>
          </w:p>
        </w:tc>
      </w:tr>
    </w:tbl>
    <w:p>
      <w:pPr>
        <w:pStyle w:val="TextBody"/>
        <w:spacing w:lineRule="auto" w:line="285" w:before="0" w:after="0"/>
        <w:ind w:left="0" w:right="0" w:hanging="0"/>
        <w:rPr/>
      </w:pPr>
      <w:r>
        <w:rPr/>
        <w:t>​</w:t>
      </w:r>
    </w:p>
    <w:tbl>
      <w:tblPr>
        <w:tblW w:w="7815" w:type="dxa"/>
        <w:jc w:val="left"/>
        <w:tblInd w:w="0" w:type="dxa"/>
        <w:tblCellMar>
          <w:top w:w="0" w:type="dxa"/>
          <w:left w:w="0" w:type="dxa"/>
          <w:bottom w:w="0" w:type="dxa"/>
          <w:right w:w="0" w:type="dxa"/>
        </w:tblCellMar>
      </w:tblPr>
      <w:tblGrid>
        <w:gridCol w:w="3421"/>
        <w:gridCol w:w="109"/>
        <w:gridCol w:w="211"/>
        <w:gridCol w:w="781"/>
        <w:gridCol w:w="146"/>
        <w:gridCol w:w="352"/>
        <w:gridCol w:w="578"/>
        <w:gridCol w:w="109"/>
        <w:gridCol w:w="211"/>
        <w:gridCol w:w="691"/>
        <w:gridCol w:w="109"/>
        <w:gridCol w:w="211"/>
        <w:gridCol w:w="886"/>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72335" cy="175260"/>
                      <wp:effectExtent l="0" t="0" r="0" b="0"/>
                      <wp:wrapNone/>
                      <wp:docPr id="70" name="Frame70"/>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260"/>
                      <wp:effectExtent l="0" t="0" r="0" b="0"/>
                      <wp:wrapNone/>
                      <wp:docPr id="74" name="Frame7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3520" cy="175260"/>
                      <wp:effectExtent l="0" t="0" r="0" b="0"/>
                      <wp:wrapNone/>
                      <wp:docPr id="75" name="Frame75"/>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7030" cy="175260"/>
                      <wp:effectExtent l="0" t="0" r="0" b="0"/>
                      <wp:wrapNone/>
                      <wp:docPr id="76" name="Frame76"/>
                      <a:graphic xmlns:a="http://schemas.openxmlformats.org/drawingml/2006/main">
                        <a:graphicData uri="http://schemas.microsoft.com/office/word/2010/wordprocessingShape">
                          <wps:wsp>
                            <wps:cNvSpPr txBox="1"/>
                            <wps:spPr>
                              <a:xfrm>
                                <a:off x="0" y="0"/>
                                <a:ext cx="3670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8785" cy="175260"/>
                      <wp:effectExtent l="0" t="0" r="0" b="0"/>
                      <wp:wrapNone/>
                      <wp:docPr id="79" name="Frame7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2610" cy="175260"/>
                      <wp:effectExtent l="0" t="0" r="0" b="0"/>
                      <wp:wrapNone/>
                      <wp:docPr id="82" name="Frame8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46" w:type="dxa"/>
            <w:tcBorders/>
            <w:shd w:fill="auto" w:val="clear"/>
            <w:vAlign w:val="center"/>
          </w:tcPr>
          <w:p>
            <w:pPr>
              <w:pStyle w:val="TableContents"/>
              <w:spacing w:lineRule="auto" w:line="285" w:before="0" w:after="0"/>
              <w:ind w:left="0" w:right="0" w:hanging="0"/>
              <w:rPr/>
            </w:pPr>
            <w:r>
              <w:rPr/>
              <w:t>​</w:t>
            </w:r>
          </w:p>
        </w:tc>
        <w:tc>
          <w:tcPr>
            <w:tcW w:w="93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109" w:type="dxa"/>
            <w:tcBorders/>
            <w:shd w:fill="auto" w:val="clear"/>
            <w:vAlign w:val="center"/>
          </w:tcPr>
          <w:p>
            <w:pPr>
              <w:pStyle w:val="TableContents"/>
              <w:spacing w:lineRule="auto" w:line="285" w:before="0" w:after="0"/>
              <w:ind w:left="0" w:right="0" w:hanging="0"/>
              <w:rPr/>
            </w:pPr>
            <w:r>
              <w:rPr/>
              <w:t>​</w:t>
            </w:r>
          </w:p>
        </w:tc>
        <w:tc>
          <w:tcPr>
            <w:tcW w:w="90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shd w:fill="auto" w:val="clear"/>
            <w:vAlign w:val="center"/>
          </w:tcPr>
          <w:p>
            <w:pPr>
              <w:pStyle w:val="TableContents"/>
              <w:spacing w:lineRule="auto" w:line="285" w:before="0" w:after="0"/>
              <w:ind w:left="0" w:right="0" w:hanging="0"/>
              <w:rPr/>
            </w:pPr>
            <w:r>
              <w:rPr/>
              <w:t>​</w:t>
            </w:r>
          </w:p>
        </w:tc>
        <w:tc>
          <w:tcPr>
            <w:tcW w:w="1097"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30" w:type="dxa"/>
            <w:gridSpan w:val="2"/>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December 31, 2022</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46" w:type="dxa"/>
            <w:tcBorders/>
            <w:shd w:fill="auto" w:val="clear"/>
            <w:vAlign w:val="center"/>
          </w:tcPr>
          <w:p>
            <w:pPr>
              <w:pStyle w:val="TableContents"/>
              <w:spacing w:lineRule="auto" w:line="285" w:before="0" w:after="0"/>
              <w:ind w:left="0" w:right="0" w:hanging="0"/>
              <w:jc w:val="center"/>
              <w:rPr/>
            </w:pPr>
            <w:r>
              <w:rPr/>
              <w:t> </w:t>
            </w:r>
          </w:p>
        </w:tc>
        <w:tc>
          <w:tcPr>
            <w:tcW w:w="93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109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Marketable securities, available-for-sale: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146" w:type="dxa"/>
            <w:tcBorders/>
            <w:shd w:fill="CCEEFF" w:val="clear"/>
            <w:vAlign w:val="center"/>
          </w:tcPr>
          <w:p>
            <w:pPr>
              <w:pStyle w:val="TableContents"/>
              <w:spacing w:lineRule="auto" w:line="285" w:before="0" w:after="0"/>
              <w:ind w:left="0" w:right="0" w:hanging="0"/>
              <w:rPr/>
            </w:pPr>
            <w:r>
              <w:rPr/>
              <w:t>​</w:t>
            </w:r>
          </w:p>
        </w:tc>
        <w:tc>
          <w:tcPr>
            <w:tcW w:w="352" w:type="dxa"/>
            <w:tcBorders/>
            <w:shd w:fill="CCEEFF" w:val="clear"/>
            <w:vAlign w:val="center"/>
          </w:tcPr>
          <w:p>
            <w:pPr>
              <w:pStyle w:val="TableContents"/>
              <w:spacing w:lineRule="auto" w:line="285" w:before="0" w:after="0"/>
              <w:ind w:left="0" w:right="0" w:hanging="0"/>
              <w:rPr/>
            </w:pPr>
            <w:r>
              <w:rPr/>
              <w:t>​</w:t>
            </w:r>
          </w:p>
        </w:tc>
        <w:tc>
          <w:tcPr>
            <w:tcW w:w="578"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691"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886" w:type="dxa"/>
            <w:tcBorders/>
            <w:shd w:fill="CCEEFF" w:val="cle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U.S. government agency securities </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377,519</w:t>
            </w:r>
          </w:p>
        </w:tc>
        <w:tc>
          <w:tcPr>
            <w:tcW w:w="146" w:type="dxa"/>
            <w:tcBorders/>
            <w:shd w:fill="auto" w:val="clear"/>
            <w:vAlign w:val="center"/>
          </w:tcPr>
          <w:p>
            <w:pPr>
              <w:pStyle w:val="TableContents"/>
              <w:spacing w:lineRule="auto" w:line="285" w:before="0" w:after="0"/>
              <w:ind w:left="0" w:right="0" w:hanging="0"/>
              <w:rPr/>
            </w:pPr>
            <w:r>
              <w:rPr/>
              <w:t>​</w:t>
            </w:r>
          </w:p>
        </w:tc>
        <w:tc>
          <w:tcPr>
            <w:tcW w:w="352" w:type="dxa"/>
            <w:tcBorders/>
            <w:shd w:fill="auto" w:val="clear"/>
            <w:vAlign w:val="center"/>
          </w:tcPr>
          <w:p>
            <w:pPr>
              <w:pStyle w:val="TableContents"/>
              <w:spacing w:lineRule="auto" w:line="285" w:before="0" w:after="0"/>
              <w:ind w:left="0" w:right="0" w:hanging="0"/>
              <w:rPr/>
            </w:pPr>
            <w:r>
              <w:rPr/>
              <w:t>​</w:t>
            </w:r>
          </w:p>
        </w:tc>
        <w:tc>
          <w:tcPr>
            <w:tcW w:w="578" w:type="dxa"/>
            <w:tcBorders/>
            <w:shd w:fill="auto" w:val="clear"/>
            <w:vAlign w:val="center"/>
          </w:tcPr>
          <w:p>
            <w:pPr>
              <w:pStyle w:val="TableContents"/>
              <w:spacing w:lineRule="auto" w:line="285" w:before="0" w:after="0"/>
              <w:ind w:left="0" w:right="0" w:hanging="0"/>
              <w:jc w:val="right"/>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6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U.S. treasury obligations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591,193</w:t>
            </w:r>
          </w:p>
        </w:tc>
        <w:tc>
          <w:tcPr>
            <w:tcW w:w="146" w:type="dxa"/>
            <w:tcBorders/>
            <w:shd w:fill="CCEEFF" w:val="clear"/>
            <w:vAlign w:val="center"/>
          </w:tcPr>
          <w:p>
            <w:pPr>
              <w:pStyle w:val="TableContents"/>
              <w:spacing w:lineRule="auto" w:line="285" w:before="0" w:after="0"/>
              <w:ind w:left="0" w:right="0" w:hanging="0"/>
              <w:rPr/>
            </w:pPr>
            <w:r>
              <w:rPr/>
              <w:t>​</w:t>
            </w:r>
          </w:p>
        </w:tc>
        <w:tc>
          <w:tcPr>
            <w:tcW w:w="352"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57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(5,123)</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146" w:type="dxa"/>
            <w:tcBorders/>
            <w:shd w:fill="auto" w:val="clear"/>
            <w:vAlign w:val="center"/>
          </w:tcPr>
          <w:p>
            <w:pPr>
              <w:pStyle w:val="TableContents"/>
              <w:spacing w:lineRule="auto" w:line="285" w:before="0" w:after="0"/>
              <w:ind w:left="0" w:right="0" w:hanging="0"/>
              <w:rPr/>
            </w:pPr>
            <w:r>
              <w:rPr/>
              <w:t>​</w:t>
            </w:r>
          </w:p>
        </w:tc>
        <w:tc>
          <w:tcPr>
            <w:tcW w:w="352"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(9,971)</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spacing w:lineRule="auto" w:line="285" w:before="0" w:after="0"/>
        <w:ind w:left="0" w:right="0" w:hanging="0"/>
        <w:rPr/>
      </w:pPr>
      <w:r>
        <w:rPr/>
        <w:t> </w:t>
      </w:r>
    </w:p>
    <w:p>
      <w:pPr>
        <w:pStyle w:val="TextBody"/>
        <w:shd w:fill="FFFFFF" w:val="clear"/>
        <w:spacing w:lineRule="auto" w:line="285" w:before="0" w:after="0"/>
        <w:ind w:left="0" w:right="0" w:firstLine="720"/>
        <w:rPr/>
      </w:pPr>
      <w:r>
        <w:rPr/>
        <w:t>​</w:t>
      </w:r>
    </w:p>
    <w:p>
      <w:pPr>
        <w:pStyle w:val="TextBody"/>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following table summarizes the estimated fair value (in thousands) and number of the Company’s available-for-sale securities that are in loss position as of March 31, 2023 and December 31, 2022 by the length of time the security has been in loss position:</w:t>
      </w:r>
    </w:p>
    <w:p>
      <w:pPr>
        <w:pStyle w:val="TextBody"/>
        <w:shd w:fill="FFFFFF" w:val="clear"/>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5329"/>
        <w:gridCol w:w="109"/>
        <w:gridCol w:w="211"/>
        <w:gridCol w:w="781"/>
        <w:gridCol w:w="326"/>
        <w:gridCol w:w="226"/>
        <w:gridCol w:w="653"/>
        <w:gridCol w:w="326"/>
        <w:gridCol w:w="211"/>
        <w:gridCol w:w="781"/>
        <w:gridCol w:w="326"/>
        <w:gridCol w:w="159"/>
        <w:gridCol w:w="767"/>
      </w:tblGrid>
      <w:tr>
        <w:trPr/>
        <w:tc>
          <w:tcPr>
            <w:tcW w:w="5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383915" cy="175260"/>
                      <wp:effectExtent l="0" t="0" r="0" b="0"/>
                      <wp:wrapNone/>
                      <wp:docPr id="83" name="Frame83"/>
                      <a:graphic xmlns:a="http://schemas.openxmlformats.org/drawingml/2006/main">
                        <a:graphicData uri="http://schemas.microsoft.com/office/word/2010/wordprocessingShape">
                          <wps:wsp>
                            <wps:cNvSpPr txBox="1"/>
                            <wps:spPr>
                              <a:xfrm>
                                <a:off x="0" y="0"/>
                                <a:ext cx="33839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8" name="Frame8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14655" cy="175260"/>
                      <wp:effectExtent l="0" t="0" r="0" b="0"/>
                      <wp:wrapNone/>
                      <wp:docPr id="89" name="Frame89"/>
                      <a:graphic xmlns:a="http://schemas.openxmlformats.org/drawingml/2006/main">
                        <a:graphicData uri="http://schemas.microsoft.com/office/word/2010/wordprocessingShape">
                          <wps:wsp>
                            <wps:cNvSpPr txBox="1"/>
                            <wps:spPr>
                              <a:xfrm>
                                <a:off x="0" y="0"/>
                                <a:ext cx="4146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0965" cy="175260"/>
                      <wp:effectExtent l="0" t="0" r="0" b="0"/>
                      <wp:wrapNone/>
                      <wp:docPr id="94" name="Frame94"/>
                      <a:graphic xmlns:a="http://schemas.openxmlformats.org/drawingml/2006/main">
                        <a:graphicData uri="http://schemas.microsoft.com/office/word/2010/wordprocessingShape">
                          <wps:wsp>
                            <wps:cNvSpPr txBox="1"/>
                            <wps:spPr>
                              <a:xfrm>
                                <a:off x="0" y="0"/>
                                <a:ext cx="1009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87045" cy="175260"/>
                      <wp:effectExtent l="0" t="0" r="0" b="0"/>
                      <wp:wrapNone/>
                      <wp:docPr id="95" name="Frame95"/>
                      <a:graphic xmlns:a="http://schemas.openxmlformats.org/drawingml/2006/main">
                        <a:graphicData uri="http://schemas.microsoft.com/office/word/2010/wordprocessingShape">
                          <wps:wsp>
                            <wps:cNvSpPr txBox="1"/>
                            <wps:spPr>
                              <a:xfrm>
                                <a:off x="0" y="0"/>
                                <a:ext cx="4870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32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97"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244"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32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79"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26"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32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79"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2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329"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340,312</w:t>
            </w:r>
          </w:p>
        </w:tc>
        <w:tc>
          <w:tcPr>
            <w:tcW w:w="326" w:type="dxa"/>
            <w:tcBorders/>
            <w:shd w:fill="CCEEFF" w:val="clear"/>
            <w:vAlign w:val="center"/>
          </w:tcPr>
          <w:p>
            <w:pPr>
              <w:pStyle w:val="TableContents"/>
              <w:spacing w:lineRule="auto" w:line="285" w:before="0" w:after="0"/>
              <w:ind w:left="0" w:right="0" w:hanging="0"/>
              <w:rPr/>
            </w:pPr>
            <w:r>
              <w:rPr/>
              <w:t>​</w:t>
            </w:r>
          </w:p>
        </w:tc>
        <w:tc>
          <w:tcPr>
            <w:tcW w:w="226" w:type="dxa"/>
            <w:tcBorders/>
            <w:shd w:fill="CCEEFF" w:val="clear"/>
            <w:vAlign w:val="center"/>
          </w:tcPr>
          <w:p>
            <w:pPr>
              <w:pStyle w:val="TableContents"/>
              <w:spacing w:lineRule="auto" w:line="285" w:before="0" w:after="0"/>
              <w:ind w:left="0" w:right="0" w:hanging="0"/>
              <w:rPr/>
            </w:pPr>
            <w:r>
              <w:rPr/>
              <w:t>​</w:t>
            </w:r>
          </w:p>
        </w:tc>
        <w:tc>
          <w:tcPr>
            <w:tcW w:w="65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371,746</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159" w:type="dxa"/>
            <w:tcBorders/>
            <w:shd w:fill="CCEEFF" w:val="clear"/>
            <w:vAlign w:val="center"/>
          </w:tcPr>
          <w:p>
            <w:pPr>
              <w:pStyle w:val="TableContents"/>
              <w:spacing w:lineRule="auto" w:line="285" w:before="0" w:after="0"/>
              <w:ind w:left="0" w:right="0" w:hanging="0"/>
              <w:rPr/>
            </w:pPr>
            <w:r>
              <w:rPr/>
              <w:t>​</w:t>
            </w:r>
          </w:p>
        </w:tc>
        <w:tc>
          <w:tcPr>
            <w:tcW w:w="76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3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309,579</w:t>
            </w:r>
          </w:p>
        </w:tc>
        <w:tc>
          <w:tcPr>
            <w:tcW w:w="326" w:type="dxa"/>
            <w:tcBorders/>
            <w:shd w:fill="auto" w:val="clear"/>
            <w:vAlign w:val="center"/>
          </w:tcPr>
          <w:p>
            <w:pPr>
              <w:pStyle w:val="TableContents"/>
              <w:spacing w:lineRule="auto" w:line="285"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5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550,561</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59"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6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329"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debt securities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649,891</w:t>
            </w:r>
          </w:p>
        </w:tc>
        <w:tc>
          <w:tcPr>
            <w:tcW w:w="326" w:type="dxa"/>
            <w:tcBorders/>
            <w:shd w:fill="CCEEFF" w:val="clear"/>
            <w:vAlign w:val="center"/>
          </w:tcPr>
          <w:p>
            <w:pPr>
              <w:pStyle w:val="TableContents"/>
              <w:spacing w:lineRule="auto" w:line="285"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65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922,307</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15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67"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122</w:t>
            </w:r>
          </w:p>
        </w:tc>
      </w:tr>
    </w:tbl>
    <w:p>
      <w:pPr>
        <w:pStyle w:val="TextBody"/>
        <w:shd w:fill="FFFFFF" w:val="clear"/>
        <w:spacing w:lineRule="auto" w:line="285" w:before="0" w:after="0"/>
        <w:ind w:left="0" w:right="0" w:hanging="0"/>
        <w:rPr/>
      </w:pPr>
      <w:r>
        <w:rPr/>
        <w:t> </w:t>
      </w:r>
    </w:p>
    <w:p>
      <w:pPr>
        <w:pStyle w:val="TextBody"/>
        <w:shd w:fill="FFFFFF" w:val="clear"/>
        <w:spacing w:lineRule="auto" w:line="285" w:before="0" w:after="0"/>
        <w:ind w:left="0" w:right="0" w:hanging="0"/>
        <w:rPr/>
      </w:pPr>
      <w:r>
        <w:rPr/>
        <w:t>​</w:t>
      </w:r>
    </w:p>
    <w:p>
      <w:pPr>
        <w:pStyle w:val="TextBody"/>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Company has the intent and ability to hold its debt securities until recovery. As a result, the Company did not record any charges for credit-related impairments for its marketable debt securities for the three months ended March 31, 2023 and 2022.</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following table summarizes the amortized cost basis and estimated fair value of the Company’s available-for-sale securities by contractual maturity as of March 31, 2023</w:t>
      </w:r>
      <w:r>
        <w:rPr>
          <w:rFonts w:ascii="Times New Roman;Times;serif" w:hAnsi="Times New Roman;Times;serif"/>
          <w:color w:val="212529"/>
          <w:sz w:val="20"/>
        </w:rPr>
        <w:t xml:space="preserve"> and December 31, 2022 (in thousands):</w:t>
      </w:r>
    </w:p>
    <w:p>
      <w:pPr>
        <w:pStyle w:val="TextBody"/>
        <w:spacing w:lineRule="auto" w:line="285" w:before="0" w:after="0"/>
        <w:ind w:left="0" w:right="0" w:hanging="0"/>
        <w:rPr>
          <w:color w:val="212529"/>
        </w:rPr>
      </w:pPr>
      <w:r>
        <w:rPr>
          <w:color w:val="212529"/>
        </w:rPr>
        <w:t>​</w:t>
      </w:r>
    </w:p>
    <w:tbl>
      <w:tblPr>
        <w:tblW w:w="7763" w:type="dxa"/>
        <w:jc w:val="left"/>
        <w:tblInd w:w="0" w:type="dxa"/>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15110" cy="175260"/>
                      <wp:effectExtent l="0" t="0" r="0" b="0"/>
                      <wp:wrapNone/>
                      <wp:docPr id="96" name="Frame96"/>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108" name="Frame10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3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2310"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41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097"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656,329</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652,437</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834,440</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825,283</w:t>
            </w:r>
          </w:p>
        </w:tc>
      </w:tr>
      <w:tr>
        <w:trPr/>
        <w:tc>
          <w:tcPr>
            <w:tcW w:w="23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139,387</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139,150</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134,272</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133,480</w:t>
            </w:r>
          </w:p>
        </w:tc>
      </w:tr>
      <w:tr>
        <w:trPr/>
        <w:tc>
          <w:tcPr>
            <w:tcW w:w="23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795,716</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791,587</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968,712</w:t>
            </w:r>
          </w:p>
        </w:tc>
        <w:tc>
          <w:tcPr>
            <w:tcW w:w="326" w:type="dxa"/>
            <w:tcBorders/>
            <w:shd w:fill="CCEEFF" w:val="clear"/>
            <w:vAlign w:val="center"/>
          </w:tcPr>
          <w:p>
            <w:pPr>
              <w:pStyle w:val="TableContents"/>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958,763</w:t>
            </w:r>
          </w:p>
        </w:tc>
      </w:tr>
    </w:tbl>
    <w:p>
      <w:pPr>
        <w:pStyle w:val="TextBody"/>
        <w:spacing w:lineRule="auto" w:line="285" w:before="0" w:after="0"/>
        <w:ind w:left="0" w:right="0" w:hanging="0"/>
        <w:rPr>
          <w:color w:val="212529"/>
        </w:rPr>
      </w:pPr>
      <w:r>
        <w:rPr>
          <w:color w:val="212529"/>
        </w:rPr>
        <w:t> </w:t>
      </w:r>
    </w:p>
    <w:p>
      <w:pPr>
        <w:pStyle w:val="TextBody"/>
        <w:spacing w:lineRule="auto" w:line="285" w:before="0" w:after="0"/>
        <w:ind w:left="0" w:right="0" w:hanging="0"/>
        <w:rPr>
          <w:color w:val="212529"/>
        </w:rPr>
      </w:pPr>
      <w:r>
        <w:rPr>
          <w:color w:val="212529"/>
        </w:rPr>
        <w:t>​</w:t>
      </w:r>
    </w:p>
    <w:p>
      <w:pPr>
        <w:pStyle w:val="TextBody"/>
        <w:spacing w:lineRule="auto" w:line="285" w:before="0" w:after="0"/>
        <w:ind w:left="0" w:right="0" w:firstLine="720"/>
        <w:rPr>
          <w:color w:val="212529"/>
        </w:rPr>
      </w:pPr>
      <w:r>
        <w:rPr>
          <w:color w:val="212529"/>
        </w:rPr>
        <w:t>​</w:t>
      </w:r>
    </w:p>
    <w:p>
      <w:pPr>
        <w:pStyle w:val="TextBody"/>
        <w:spacing w:lineRule="auto" w:line="285" w:before="0" w:after="0"/>
        <w:ind w:left="0" w:right="0" w:firstLine="720"/>
        <w:rPr>
          <w:rFonts w:ascii="Times New Roman;Times;serif" w:hAnsi="Times New Roman;Times;serif"/>
          <w:color w:val="212529"/>
          <w:sz w:val="20"/>
        </w:rPr>
      </w:pPr>
      <w:r>
        <w:rPr>
          <w:rFonts w:ascii="Times New Roman;Times;serif" w:hAnsi="Times New Roman;Times;serif"/>
          <w:color w:val="212529"/>
          <w:sz w:val="20"/>
        </w:rPr>
        <w:t>The Company received proceeds of $308.3 million from maturities of debt securities for the three months ended March 31, 2023. The Company did not receive any proceeds from maturities of debt securities for the three months ended March 31, 2022. The Company did not realize any gains or losses from maturities of debt securities for the three months ended March 31, 2023 and 2022.</w:t>
      </w:r>
    </w:p>
    <w:p>
      <w:pPr>
        <w:pStyle w:val="TextBody"/>
        <w:spacing w:lineRule="auto" w:line="285" w:before="0" w:after="0"/>
        <w:ind w:left="0" w:right="0" w:hanging="0"/>
        <w:rPr>
          <w:color w:val="212529"/>
        </w:rPr>
      </w:pPr>
      <w:r>
        <w:rPr>
          <w:color w:val="212529"/>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160"/>
        <w:ind w:left="0" w:right="0" w:hanging="0"/>
        <w:rPr>
          <w:rFonts w:ascii="Times New Roman;Times;serif" w:hAnsi="Times New Roman;Times;serif"/>
          <w:b/>
          <w:sz w:val="20"/>
        </w:rPr>
      </w:pPr>
      <w:bookmarkStart w:id="603" w:name="Tc_t8UIsJf2tEy4vg0IqoQepg_10_12"/>
      <w:bookmarkStart w:id="604" w:name="Tc_qqSJvqh8WU-G8nFJLMPn4w_10_11"/>
      <w:bookmarkStart w:id="605" w:name="Tc_DC5GkzkKyUGnBX1Ei_wZ_Q_10_8"/>
      <w:bookmarkStart w:id="606" w:name="Tc_rC0dliViUkeaXucqMnQSkQ_10_5"/>
      <w:bookmarkStart w:id="607" w:name="Tc_bAMRu7RWikmTLff-Eg2TPQ_10_2"/>
      <w:bookmarkStart w:id="608" w:name="Tc_v-hM4QUKrEGIAy82WEuXhA_10_0"/>
      <w:bookmarkStart w:id="609" w:name="Tc_18zwJAaBmECUM2lg-rUsvQ_9_12"/>
      <w:bookmarkStart w:id="610" w:name="Tc_qkGqJVmFZ06vTahEPRHqbw_9_9"/>
      <w:bookmarkStart w:id="611" w:name="Tc_Gz1J-C38mk2kuOMseKOXHw_9_0"/>
      <w:bookmarkStart w:id="612" w:name="Tc_3-9iemPs0Uqluz2vo934cg_8_12"/>
      <w:bookmarkStart w:id="613" w:name="Tc_NKBuGcibxk2MJhtzg2w6Sw_8_6"/>
      <w:bookmarkStart w:id="614" w:name="Tc_hHNp0V0Sckei3RLdoo5j9Q_8_0"/>
      <w:bookmarkStart w:id="615" w:name="Tc_uQo18Kz0bk6c5DY5EqokQA_7_0"/>
      <w:bookmarkStart w:id="616" w:name="Tc_F41ddIJr20KDLwmLLUj7_w_6_12"/>
      <w:bookmarkStart w:id="617" w:name="Tc_LIKru13AVUyAhjkzIJQ9vw_6_9"/>
      <w:bookmarkStart w:id="618" w:name="Tc_QXpxSYUqfEmdyCza4OYiYQ_6_0"/>
      <w:bookmarkStart w:id="619" w:name="Tc_D_hSuFfr_EC9bChfaX449w_5_12"/>
      <w:bookmarkStart w:id="620" w:name="Tc_N3DGtQSw8kutqukqPLcq5A_5_11"/>
      <w:bookmarkStart w:id="621" w:name="Tc_9d9jML8Tt06OQkWOsumlLg_5_9"/>
      <w:bookmarkStart w:id="622" w:name="Tc_6ERrURuEWka6DwSU5SFd2Q_5_8"/>
      <w:bookmarkStart w:id="623" w:name="Tc_xfe2kFEBwUi75BJMUWVUnQ_5_5"/>
      <w:bookmarkStart w:id="624" w:name="Tc_Ei-sITOvqEGuWaH8KEiCVQ_5_2"/>
      <w:bookmarkStart w:id="625" w:name="Tc_rlPlqhlTA0yC9FH6xAT-Gg_5_0"/>
      <w:bookmarkStart w:id="626" w:name="Tc_LB9N9rzZ2ECzDDVYCLf64g_4_0"/>
      <w:bookmarkStart w:id="627" w:name="Tc_-kaTfZbFXUGEHjdIjsnOWQ_3_11"/>
      <w:bookmarkStart w:id="628" w:name="Tc_K0uhjb759EqRk3wwGInB8A_3_8"/>
      <w:bookmarkStart w:id="629" w:name="Tc_HkPvuOtmQE2aa4JgeJ36vA_3_5"/>
      <w:bookmarkStart w:id="630" w:name="Tc_J_PV_Ka7wEWAR5dbrBKTdw_3_2"/>
      <w:bookmarkStart w:id="631" w:name="Tc_fUYCkvIpEU-aafatX_iryQ_3_0"/>
      <w:bookmarkStart w:id="632" w:name="Tc_MdLDY1rmg0yrwEHjbucZVA_2_11"/>
      <w:bookmarkStart w:id="633" w:name="Tc_NOuK16X7bEifsxew2ZdYWQ_2_8"/>
      <w:bookmarkStart w:id="634" w:name="Tc_RVyhVuCW-k6oN98EDU5ZrQ_2_5"/>
      <w:bookmarkStart w:id="635" w:name="Tc_roplaPURYUK66H_OdMss8Q_2_2"/>
      <w:bookmarkStart w:id="636" w:name="Tc_GzV2PrOVhEq9_lX2x7fMOQ_1_11"/>
      <w:bookmarkStart w:id="637" w:name="Tc_SkT1-m4lpE26hC94Oh3uQQ_1_8"/>
      <w:bookmarkStart w:id="638" w:name="Tc_oGSSG8jxtU-T_-coCMJeww_1_5"/>
      <w:bookmarkStart w:id="639" w:name="_0afdae7e_a779_4cc8_9b24_c3cb770e6a44"/>
      <w:bookmarkStart w:id="640" w:name="Tc_2qHKh1mL3U2ZWfAWEz-TqQ_9_12"/>
      <w:bookmarkStart w:id="641" w:name="Tc_0drmrt2bXUKgk-CRvwZEMg_9_11"/>
      <w:bookmarkStart w:id="642" w:name="Tc_aXYq6y8fQECj9o4zvpcJ0w_9_8"/>
      <w:bookmarkStart w:id="643" w:name="Tc_z4N_NBVz70K0OX4vsxdm8A_9_5"/>
      <w:bookmarkStart w:id="644" w:name="Tc_-t7w7FSHF06MAdCeqjIkNA_9_2"/>
      <w:bookmarkStart w:id="645" w:name="Tc_laOIKaNHKUmZiv6tM9Jb6Q_9_0"/>
      <w:bookmarkStart w:id="646" w:name="Tc_b7JL7LkU10iQjpQT43RADA_8_12"/>
      <w:bookmarkStart w:id="647" w:name="Tc_Fa22HmWBgEe4LQR-Xg_LTA_8_9"/>
      <w:bookmarkStart w:id="648" w:name="Tc_iUXeDFqls0apNge5Wj55jg_8_0"/>
      <w:bookmarkStart w:id="649" w:name="Tc_sHKxSJFlLE6tocCbqeb8qQ_7_12"/>
      <w:bookmarkStart w:id="650" w:name="Tc_lq5tQeRos0Wq0hw5ENgpcQ_7_6"/>
      <w:bookmarkStart w:id="651" w:name="Tc_XtXW9s1NrUa4wYCT-ig1Dw_7_0"/>
      <w:bookmarkStart w:id="652" w:name="Tc_O_xz0j-S-UyD8I-FunaG_g_6_0"/>
      <w:bookmarkStart w:id="653" w:name="Tc_CZSZXBEj1UGQZ-6fbtTWYA_5_12"/>
      <w:bookmarkStart w:id="654" w:name="Tc_k0WIZQQDA0mwF5--NNNO_g_5_11"/>
      <w:bookmarkStart w:id="655" w:name="Tc_nsE6SOcp7kGn6IL4zFVDFQ_5_9"/>
      <w:bookmarkStart w:id="656" w:name="Tc_ptVbOPpSZk2M08OIBunzfg_5_2"/>
      <w:bookmarkStart w:id="657" w:name="Tc__to1T8YjU0Sf3FrdYGkYxA_5_0"/>
      <w:bookmarkStart w:id="658" w:name="Tc_-S8XQAt5SUGmNmYHARzb-A_4_0"/>
      <w:bookmarkStart w:id="659" w:name="Tc_ATyVaLkyTkCUwrv4LtC7DA_3_11"/>
      <w:bookmarkStart w:id="660" w:name="Tc_jSdHHdeZUkar5hCH3KRf1Q_3_8"/>
      <w:bookmarkStart w:id="661" w:name="Tc_7VfJuZcf1EaSuHYx5poVEg_3_5"/>
      <w:bookmarkStart w:id="662" w:name="Tc_YIsrBBaQrkaty2Ccoqv5ew_3_2"/>
      <w:bookmarkStart w:id="663" w:name="Tc_pcHw1I5JREKyXF3FGHzy8g_3_0"/>
      <w:bookmarkStart w:id="664" w:name="Tc_-5TUgj7JbEmUq9tvRDk5ZQ_2_11"/>
      <w:bookmarkStart w:id="665" w:name="Tc_dlUZKBmRPEWE7-FUrc4mKQ_2_8"/>
      <w:bookmarkStart w:id="666" w:name="Tc_EDbn9P4Cnk6YwqWasAPojA_2_5"/>
      <w:bookmarkStart w:id="667" w:name="Tc_7sr0eRJ3zEGg4xr3d58gaw_2_2"/>
      <w:bookmarkStart w:id="668" w:name="Tc_bwAtVNY9xUaS3rxLioHPww_1_11"/>
      <w:bookmarkStart w:id="669" w:name="Tc_X2eC3k7Hpke3qgWMoBr94Q_1_8"/>
      <w:bookmarkStart w:id="670" w:name="Tc_RuEWQvN5702--K094kvNhQ_1_5"/>
      <w:bookmarkStart w:id="671" w:name="_b5e410fc_a25f_4f8e_8cc7_95c591eab7c9"/>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sz w:val="20"/>
        </w:rPr>
        <w:t>5. Fair Value of Financial Instruments</w:t>
      </w:r>
    </w:p>
    <w:p>
      <w:pPr>
        <w:pStyle w:val="TextBody"/>
        <w:spacing w:lineRule="auto" w:line="285" w:before="0" w:after="160"/>
        <w:ind w:left="0" w:right="0" w:firstLine="720"/>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March 31, 2023 (in thousands):</w:t>
      </w:r>
    </w:p>
    <w:tbl>
      <w:tblPr>
        <w:tblW w:w="8842" w:type="dxa"/>
        <w:jc w:val="left"/>
        <w:tblInd w:w="0" w:type="dxa"/>
        <w:tblCellMar>
          <w:top w:w="0" w:type="dxa"/>
          <w:left w:w="0" w:type="dxa"/>
          <w:bottom w:w="0" w:type="dxa"/>
          <w:right w:w="0" w:type="dxa"/>
        </w:tblCellMar>
      </w:tblPr>
      <w:tblGrid>
        <w:gridCol w:w="3421"/>
        <w:gridCol w:w="326"/>
        <w:gridCol w:w="211"/>
        <w:gridCol w:w="781"/>
        <w:gridCol w:w="326"/>
        <w:gridCol w:w="211"/>
        <w:gridCol w:w="781"/>
        <w:gridCol w:w="326"/>
        <w:gridCol w:w="211"/>
        <w:gridCol w:w="781"/>
        <w:gridCol w:w="326"/>
        <w:gridCol w:w="363"/>
        <w:gridCol w:w="778"/>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72335" cy="175260"/>
                      <wp:effectExtent l="0" t="0" r="0" b="0"/>
                      <wp:wrapNone/>
                      <wp:docPr id="109" name="Frame109"/>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2" name="Frame11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0505" cy="175260"/>
                      <wp:effectExtent l="0" t="0" r="0" b="0"/>
                      <wp:wrapNone/>
                      <wp:docPr id="120" name="Frame120"/>
                      <a:graphic xmlns:a="http://schemas.openxmlformats.org/drawingml/2006/main">
                        <a:graphicData uri="http://schemas.microsoft.com/office/word/2010/wordprocessingShape">
                          <wps:wsp>
                            <wps:cNvSpPr txBox="1"/>
                            <wps:spPr>
                              <a:xfrm>
                                <a:off x="0" y="0"/>
                                <a:ext cx="2305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4030" cy="175260"/>
                      <wp:effectExtent l="0" t="0" r="0" b="0"/>
                      <wp:wrapNone/>
                      <wp:docPr id="121" name="Frame121"/>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11" w:type="dxa"/>
            <w:tcBorders/>
            <w:shd w:fill="auto" w:val="clear"/>
            <w:vAlign w:val="center"/>
          </w:tcPr>
          <w:p>
            <w:pPr>
              <w:pStyle w:val="TableContents"/>
              <w:spacing w:lineRule="auto" w:line="285" w:before="0" w:after="0"/>
              <w:ind w:left="0" w:right="0" w:hanging="0"/>
              <w:jc w:val="center"/>
              <w:rPr/>
            </w:pPr>
            <w:r>
              <w:rPr/>
              <w:t>​</w:t>
            </w:r>
          </w:p>
        </w:tc>
        <w:tc>
          <w:tcPr>
            <w:tcW w:w="781"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4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shd w:fill="CCEEFF" w:val="clear"/>
            <w:vAlign w:val="center"/>
          </w:tcPr>
          <w:p>
            <w:pPr>
              <w:pStyle w:val="TableContents"/>
              <w:spacing w:lineRule="auto" w:line="285" w:before="0" w:after="0"/>
              <w:ind w:left="0" w:right="0" w:hanging="0"/>
              <w:rPr/>
            </w:pPr>
            <w:r>
              <w:rPr/>
              <w:t>​</w:t>
            </w:r>
          </w:p>
        </w:tc>
        <w:tc>
          <w:tcPr>
            <w:tcW w:w="778" w:type="dxa"/>
            <w:tcBorders/>
            <w:shd w:fill="CCEEFF" w:val="clear"/>
            <w:vAlign w:val="center"/>
          </w:tcPr>
          <w:p>
            <w:pPr>
              <w:pStyle w:val="TableContents"/>
              <w:spacing w:lineRule="auto" w:line="285" w:before="0" w:after="0"/>
              <w:ind w:left="0" w:right="0" w:hanging="0"/>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155,771</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155,771</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lineRule="auto" w:line="285" w:before="0" w:after="0"/>
              <w:ind w:left="0" w:right="0" w:hanging="0"/>
              <w:jc w:val="right"/>
              <w:rPr/>
            </w:pPr>
            <w:r>
              <w:rPr/>
              <w:t>—</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shd w:fill="CCEEFF" w:val="clear"/>
            <w:vAlign w:val="center"/>
          </w:tcPr>
          <w:p>
            <w:pPr>
              <w:pStyle w:val="TableContents"/>
              <w:spacing w:lineRule="auto" w:line="285" w:before="0" w:after="0"/>
              <w:ind w:left="0" w:right="0" w:hanging="0"/>
              <w:rPr/>
            </w:pPr>
            <w:r>
              <w:rPr/>
              <w:t>​</w:t>
            </w:r>
          </w:p>
        </w:tc>
        <w:tc>
          <w:tcPr>
            <w:tcW w:w="778" w:type="dxa"/>
            <w:tcBorders/>
            <w:shd w:fill="CCEEFF" w:val="cle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312,802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312,802</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shd w:fill="auto" w:val="clear"/>
            <w:vAlign w:val="center"/>
          </w:tcPr>
          <w:p>
            <w:pPr>
              <w:pStyle w:val="TableContents"/>
              <w:spacing w:lineRule="auto" w:line="285" w:before="0" w:after="0"/>
              <w:ind w:left="0" w:right="0" w:hanging="0"/>
              <w:rPr/>
            </w:pPr>
            <w:r>
              <w:rPr/>
              <w:t>​</w:t>
            </w:r>
          </w:p>
        </w:tc>
        <w:tc>
          <w:tcPr>
            <w:tcW w:w="778" w:type="dxa"/>
            <w:tcBorders/>
            <w:shd w:fill="auto" w:val="clear"/>
            <w:vAlign w:val="center"/>
          </w:tcPr>
          <w:p>
            <w:pPr>
              <w:pStyle w:val="TableContents"/>
              <w:spacing w:lineRule="auto" w:line="285" w:before="0" w:after="0"/>
              <w:ind w:left="0" w:right="0" w:hanging="0"/>
              <w:jc w:val="right"/>
              <w:rPr/>
            </w:pPr>
            <w:r>
              <w:rPr/>
              <w:t>—</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478,785</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478,785</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947,358</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634,556</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312,802</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pPr>
            <w:r>
              <w:rPr/>
              <w:t>—</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December 31, 2022 (in thousands):</w:t>
      </w:r>
    </w:p>
    <w:tbl>
      <w:tblPr>
        <w:tblW w:w="8992" w:type="dxa"/>
        <w:jc w:val="left"/>
        <w:tblInd w:w="0" w:type="dxa"/>
        <w:tblCellMar>
          <w:top w:w="0" w:type="dxa"/>
          <w:left w:w="0" w:type="dxa"/>
          <w:bottom w:w="0" w:type="dxa"/>
          <w:right w:w="0" w:type="dxa"/>
        </w:tblCellMar>
      </w:tblPr>
      <w:tblGrid>
        <w:gridCol w:w="3421"/>
        <w:gridCol w:w="326"/>
        <w:gridCol w:w="211"/>
        <w:gridCol w:w="931"/>
        <w:gridCol w:w="326"/>
        <w:gridCol w:w="211"/>
        <w:gridCol w:w="781"/>
        <w:gridCol w:w="326"/>
        <w:gridCol w:w="211"/>
        <w:gridCol w:w="781"/>
        <w:gridCol w:w="326"/>
        <w:gridCol w:w="363"/>
        <w:gridCol w:w="778"/>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72335" cy="175260"/>
                      <wp:effectExtent l="0" t="0" r="0" b="0"/>
                      <wp:wrapNone/>
                      <wp:docPr id="122" name="Frame122"/>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0505" cy="175260"/>
                      <wp:effectExtent l="0" t="0" r="0" b="0"/>
                      <wp:wrapNone/>
                      <wp:docPr id="133" name="Frame133"/>
                      <a:graphic xmlns:a="http://schemas.openxmlformats.org/drawingml/2006/main">
                        <a:graphicData uri="http://schemas.microsoft.com/office/word/2010/wordprocessingShape">
                          <wps:wsp>
                            <wps:cNvSpPr txBox="1"/>
                            <wps:spPr>
                              <a:xfrm>
                                <a:off x="0" y="0"/>
                                <a:ext cx="2305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4030" cy="175260"/>
                      <wp:effectExtent l="0" t="0" r="0" b="0"/>
                      <wp:wrapNone/>
                      <wp:docPr id="134" name="Frame134"/>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211" w:type="dxa"/>
            <w:tcBorders/>
            <w:shd w:fill="auto" w:val="clear"/>
            <w:vAlign w:val="center"/>
          </w:tcPr>
          <w:p>
            <w:pPr>
              <w:pStyle w:val="TableContents"/>
              <w:spacing w:lineRule="auto" w:line="285" w:before="0" w:after="0"/>
              <w:ind w:left="0" w:right="0" w:hanging="0"/>
              <w:jc w:val="center"/>
              <w:rPr/>
            </w:pPr>
            <w:r>
              <w:rPr/>
              <w:t>​</w:t>
            </w:r>
          </w:p>
        </w:tc>
        <w:tc>
          <w:tcPr>
            <w:tcW w:w="931"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4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1"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14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3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shd w:fill="CCEEFF" w:val="clear"/>
            <w:vAlign w:val="center"/>
          </w:tcPr>
          <w:p>
            <w:pPr>
              <w:pStyle w:val="TableContents"/>
              <w:spacing w:lineRule="auto" w:line="285" w:before="0" w:after="0"/>
              <w:ind w:left="0" w:right="0" w:hanging="0"/>
              <w:rPr/>
            </w:pPr>
            <w:r>
              <w:rPr/>
              <w:t>​</w:t>
            </w:r>
          </w:p>
        </w:tc>
        <w:tc>
          <w:tcPr>
            <w:tcW w:w="778" w:type="dxa"/>
            <w:tcBorders/>
            <w:shd w:fill="CCEEFF" w:val="clear"/>
            <w:vAlign w:val="center"/>
          </w:tcPr>
          <w:p>
            <w:pPr>
              <w:pStyle w:val="TableContents"/>
              <w:spacing w:lineRule="auto" w:line="285" w:before="0" w:after="0"/>
              <w:ind w:left="0" w:right="0" w:hanging="0"/>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95,198</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lineRule="auto" w:line="285" w:before="0" w:after="0"/>
              <w:ind w:left="0" w:right="0" w:hanging="0"/>
              <w:jc w:val="right"/>
              <w:rPr/>
            </w:pPr>
            <w:r>
              <w:rPr/>
              <w:t>—</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3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shd w:fill="CCEEFF" w:val="clear"/>
            <w:vAlign w:val="center"/>
          </w:tcPr>
          <w:p>
            <w:pPr>
              <w:pStyle w:val="TableContents"/>
              <w:spacing w:lineRule="auto" w:line="285" w:before="0" w:after="0"/>
              <w:ind w:left="0" w:right="0" w:hanging="0"/>
              <w:rPr/>
            </w:pPr>
            <w:r>
              <w:rPr/>
              <w:t>​</w:t>
            </w:r>
          </w:p>
        </w:tc>
        <w:tc>
          <w:tcPr>
            <w:tcW w:w="778" w:type="dxa"/>
            <w:tcBorders/>
            <w:shd w:fill="CCEEFF" w:val="cle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93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shd w:fill="auto" w:val="clear"/>
            <w:vAlign w:val="center"/>
          </w:tcPr>
          <w:p>
            <w:pPr>
              <w:pStyle w:val="TableContents"/>
              <w:spacing w:lineRule="auto" w:line="285" w:before="0" w:after="0"/>
              <w:ind w:left="0" w:right="0" w:hanging="0"/>
              <w:rPr/>
            </w:pPr>
            <w:r>
              <w:rPr/>
              <w:t>​</w:t>
            </w:r>
          </w:p>
        </w:tc>
        <w:tc>
          <w:tcPr>
            <w:tcW w:w="778" w:type="dxa"/>
            <w:tcBorders/>
            <w:shd w:fill="auto" w:val="clear"/>
            <w:vAlign w:val="center"/>
          </w:tcPr>
          <w:p>
            <w:pPr>
              <w:pStyle w:val="TableContents"/>
              <w:spacing w:lineRule="auto" w:line="285" w:before="0" w:after="0"/>
              <w:ind w:left="0" w:right="0" w:hanging="0"/>
              <w:jc w:val="right"/>
              <w:rPr/>
            </w:pPr>
            <w:r>
              <w:rPr/>
              <w:t>​</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93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shd w:fill="CCEEFF" w:val="clear"/>
            <w:vAlign w:val="center"/>
          </w:tcPr>
          <w:p>
            <w:pPr>
              <w:pStyle w:val="TableContents"/>
              <w:spacing w:lineRule="auto" w:line="285" w:before="0" w:after="0"/>
              <w:ind w:left="0" w:right="0" w:hanging="0"/>
              <w:rPr/>
            </w:pPr>
            <w:r>
              <w:rPr/>
              <w:t>​</w:t>
            </w:r>
          </w:p>
        </w:tc>
        <w:tc>
          <w:tcPr>
            <w:tcW w:w="778" w:type="dxa"/>
            <w:tcBorders/>
            <w:shd w:fill="CCEEFF" w:val="clear"/>
            <w:vAlign w:val="center"/>
          </w:tcPr>
          <w:p>
            <w:pPr>
              <w:pStyle w:val="TableContents"/>
              <w:spacing w:lineRule="auto" w:line="285" w:before="0" w:after="0"/>
              <w:ind w:left="0" w:right="0" w:hanging="0"/>
              <w:jc w:val="right"/>
              <w:rPr/>
            </w:pPr>
            <w:r>
              <w:rPr/>
              <w:t>—</w:t>
            </w:r>
          </w:p>
        </w:tc>
      </w:tr>
      <w:tr>
        <w:trPr/>
        <w:tc>
          <w:tcPr>
            <w:tcW w:w="34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586,092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363"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7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r>
      <w:tr>
        <w:trPr/>
        <w:tc>
          <w:tcPr>
            <w:tcW w:w="34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1,058,950</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686,279</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372,671</w:t>
            </w:r>
          </w:p>
        </w:tc>
        <w:tc>
          <w:tcPr>
            <w:tcW w:w="326" w:type="dxa"/>
            <w:tcBorders/>
            <w:shd w:fill="CCEEFF" w:val="clear"/>
            <w:vAlign w:val="center"/>
          </w:tcPr>
          <w:p>
            <w:pPr>
              <w:pStyle w:val="TableContents"/>
              <w:spacing w:lineRule="auto" w:line="285" w:before="0" w:after="0"/>
              <w:ind w:left="0" w:right="0" w:hanging="0"/>
              <w:rPr/>
            </w:pPr>
            <w:r>
              <w:rPr/>
              <w:t>​</w:t>
            </w:r>
          </w:p>
        </w:tc>
        <w:tc>
          <w:tcPr>
            <w:tcW w:w="36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pPr>
            <w:r>
              <w:rPr/>
              <w:t>—</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0"/>
        <w:ind w:left="0" w:right="0" w:hanging="0"/>
        <w:rPr/>
      </w:pPr>
      <w:r>
        <w:rPr/>
        <w:t> </w:t>
      </w:r>
    </w:p>
    <w:p>
      <w:pPr>
        <w:pStyle w:val="TextBody"/>
        <w:spacing w:lineRule="auto" w:line="285" w:before="0" w:after="240"/>
        <w:ind w:left="0" w:right="0" w:hanging="0"/>
        <w:rPr>
          <w:rFonts w:ascii="Times New Roman;Times;serif" w:hAnsi="Times New Roman;Times;serif"/>
          <w:b/>
          <w:sz w:val="20"/>
        </w:rPr>
      </w:pPr>
      <w:bookmarkStart w:id="672" w:name="Tc_GWNziElkxkOP_EhhBOe9jg_6_5"/>
      <w:bookmarkStart w:id="673" w:name="Tc_HevVKxtCi0eXXt331tCZCQ_6_2"/>
      <w:bookmarkStart w:id="674" w:name="Tc_DZIn3TEVGUG_zscTw_TNfg_6_0"/>
      <w:bookmarkStart w:id="675" w:name="Tc_C3nqByu2I0aI8WU-OwltUA_5_0"/>
      <w:bookmarkStart w:id="676" w:name="Tc_wOMauNzJNkux3Ss5IFKN0g_4_5"/>
      <w:bookmarkStart w:id="677" w:name="Tc_yhU9SJdxyk-1FofonBiJ2A_4_2"/>
      <w:bookmarkStart w:id="678" w:name="Tc_2FHDUf-ED0WRk5EZClu_YA_4_0"/>
      <w:bookmarkStart w:id="679" w:name="Tc_44XocsExrkmI8IdtEUTmOw_3_5"/>
      <w:bookmarkStart w:id="680" w:name="Tc__njCzcjk1EyXwcr7Q-qrXw_3_2"/>
      <w:bookmarkStart w:id="681" w:name="Tc_QdAT50nQg0K5eIxEQOoayw_2_2"/>
      <w:bookmarkStart w:id="682" w:name="Tc_Eo33nquZSUm1W5neR7L9zA_1_2"/>
      <w:bookmarkStart w:id="683" w:name="_483b36b5_f382_4a75_a007_12579aa38640"/>
      <w:bookmarkEnd w:id="672"/>
      <w:bookmarkEnd w:id="673"/>
      <w:bookmarkEnd w:id="674"/>
      <w:bookmarkEnd w:id="675"/>
      <w:bookmarkEnd w:id="676"/>
      <w:bookmarkEnd w:id="677"/>
      <w:bookmarkEnd w:id="678"/>
      <w:bookmarkEnd w:id="679"/>
      <w:bookmarkEnd w:id="680"/>
      <w:bookmarkEnd w:id="681"/>
      <w:bookmarkEnd w:id="682"/>
      <w:bookmarkEnd w:id="683"/>
      <w:r>
        <w:rPr>
          <w:rFonts w:ascii="Times New Roman;Times;serif" w:hAnsi="Times New Roman;Times;serif"/>
          <w:b/>
          <w:sz w:val="20"/>
        </w:rPr>
        <w:t>6. Product Revenue Reserves and Allowances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 </w:t>
      </w:r>
      <w:r>
        <w:rPr>
          <w:rFonts w:ascii="Times New Roman;Times;serif" w:hAnsi="Times New Roman;Times;serif"/>
          <w:sz w:val="20"/>
          <w:highlight w:val="white"/>
        </w:rPr>
        <w:t xml:space="preserve">In March 2022, the European Commission expanded the marketing authorization for AYVAKYT to include the treatment of adult patients with ASM, SM-AHN, or MCL, after at least one systemic therapy.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revenue recognized from product sales for the three months ended March 31, 2023 and 2022 (in thousands): </w:t>
      </w:r>
    </w:p>
    <w:p>
      <w:pPr>
        <w:pStyle w:val="TextBody"/>
        <w:spacing w:lineRule="auto" w:line="285" w:before="0" w:after="0"/>
        <w:ind w:left="0" w:right="0" w:hanging="0"/>
        <w:rPr/>
      </w:pPr>
      <w:r>
        <w:rPr/>
        <w:t>​</w:t>
      </w:r>
    </w:p>
    <w:tbl>
      <w:tblPr>
        <w:tblW w:w="4055" w:type="dxa"/>
        <w:jc w:val="left"/>
        <w:tblInd w:w="0" w:type="dxa"/>
        <w:tblCellMar>
          <w:top w:w="0" w:type="dxa"/>
          <w:left w:w="0" w:type="dxa"/>
          <w:bottom w:w="0" w:type="dxa"/>
          <w:right w:w="0" w:type="dxa"/>
        </w:tblCellMar>
      </w:tblPr>
      <w:tblGrid>
        <w:gridCol w:w="1921"/>
        <w:gridCol w:w="109"/>
        <w:gridCol w:w="211"/>
        <w:gridCol w:w="676"/>
        <w:gridCol w:w="146"/>
        <w:gridCol w:w="211"/>
        <w:gridCol w:w="781"/>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19835" cy="175260"/>
                      <wp:effectExtent l="0" t="0" r="0" b="0"/>
                      <wp:wrapNone/>
                      <wp:docPr id="135" name="Frame135"/>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8" name="Frame13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710" cy="175260"/>
                      <wp:effectExtent l="0" t="0" r="0" b="0"/>
                      <wp:wrapNone/>
                      <wp:docPr id="139" name="Frame13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92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02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2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02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2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shd w:fill="auto" w:val="clear"/>
            <w:vAlign w:val="center"/>
          </w:tcPr>
          <w:p>
            <w:pPr>
              <w:pStyle w:val="TableContents"/>
              <w:spacing w:lineRule="auto" w:line="285"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34,927</w:t>
            </w:r>
          </w:p>
        </w:tc>
        <w:tc>
          <w:tcPr>
            <w:tcW w:w="14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21,328</w:t>
            </w:r>
          </w:p>
        </w:tc>
      </w:tr>
      <w:tr>
        <w:trPr/>
        <w:tc>
          <w:tcPr>
            <w:tcW w:w="19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Rest of World</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14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19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14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23,841</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307" w:before="0" w:after="0"/>
        <w:ind w:left="0" w:right="0" w:hanging="0"/>
        <w:rPr>
          <w:rFonts w:ascii="Times New Roman;Times;serif" w:hAnsi="Times New Roman;Times;serif"/>
          <w:sz w:val="20"/>
        </w:rPr>
      </w:pPr>
      <w:r>
        <w:rPr>
          <w:rFonts w:ascii="Times New Roman;Times;serif" w:hAnsi="Times New Roman;Times;serif"/>
          <w:sz w:val="20"/>
        </w:rPr>
        <w:t xml:space="preserve">The Company primarily sells AYVAKIT/AYVAKYT through specialty distributors and specialty pharmacies. The Company recognized revenues from three customers accounting for 51%, 12%, and 10% of gross product revenues for the three months ended March 31, 2023, and 55%, 13%, and 9% of gross product revenues for the three months ended March 31, 2022, respectively. As of March 31, 2023, three customers individually accounted for approximately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7" w:before="0" w:after="160"/>
        <w:ind w:left="0" w:right="0" w:hanging="0"/>
        <w:rPr>
          <w:rFonts w:ascii="Times New Roman;Times;serif" w:hAnsi="Times New Roman;Times;serif"/>
          <w:sz w:val="20"/>
        </w:rPr>
      </w:pPr>
      <w:bookmarkStart w:id="684" w:name="Tc_ex7ylUeFCk2WEtHF6at3pQ_5_4"/>
      <w:bookmarkStart w:id="685" w:name="Tc_378qAr5DvEWHxr2soC1gTg_5_1"/>
      <w:bookmarkStart w:id="686" w:name="Tc_rYlT_-pJw0SciEHiMxuc4Q_5_0"/>
      <w:bookmarkStart w:id="687" w:name="Tc_CDDYBE5EnE6CdZNvhcoa1Q_4_0"/>
      <w:bookmarkStart w:id="688" w:name="Tc_gi3suDqkbES8JHBqRgEtgQ_3_4"/>
      <w:bookmarkStart w:id="689" w:name="Tc_Pc8sFHf6_0eNNVE-_AGnOw_3_1"/>
      <w:bookmarkStart w:id="690" w:name="Tc_6LJoVrRNuUqsFpp2eoUAuQ_3_0"/>
      <w:bookmarkStart w:id="691" w:name="Tc_KZs2nrkFIU2MIa-hD2NxwQ_2_4"/>
      <w:bookmarkStart w:id="692" w:name="Tc_DRU3HrD2okaHgfNaw6KsdQ_2_1"/>
      <w:bookmarkStart w:id="693" w:name="Tc__FwLn7HYjUKqr_CNzvKYBw_1_4"/>
      <w:bookmarkStart w:id="694" w:name="Tc_EWY1KNeFLUWW0V5Os283Hg_1_1"/>
      <w:bookmarkStart w:id="695" w:name="_3eb0aa7b_e73c_424a_85f3_66599e7395d7"/>
      <w:bookmarkStart w:id="696" w:name="Tc_JnEdqJ8a3EClEJKYAECzEg_7_4"/>
      <w:bookmarkStart w:id="697" w:name="Tc_SYrfdemaIUeKQ8HpjR-F6g_7_1"/>
      <w:bookmarkStart w:id="698" w:name="Tc_ZUIiji_jukWgLa107x4BAA_7_0"/>
      <w:bookmarkStart w:id="699" w:name="Tc_QdMvqA6k20Wz7_0FEBO89Q_6_0"/>
      <w:bookmarkStart w:id="700" w:name="Tc_fDXCeWW1TEC6a1craJjgSw_5_0"/>
      <w:bookmarkStart w:id="701" w:name="Tc_aD4zFJzx60-B4ExRPb9m6g_4_0"/>
      <w:bookmarkStart w:id="702" w:name="Tc_ddgyAnEqDE2_3L0h3uLbug_3_4"/>
      <w:bookmarkStart w:id="703" w:name="Tc_oFAGQFlFg0uk20kOjcENYA_3_1"/>
      <w:bookmarkStart w:id="704" w:name="Tc_svgb46l1KESwg5DX9oYRzw_3_0"/>
      <w:bookmarkStart w:id="705" w:name="Tc__Ugnf3A8YUeSIm67Z4r08Q_2_4"/>
      <w:bookmarkStart w:id="706" w:name="Tc_gJlmFua9oUSo_WBOdlAFxQ_2_1"/>
      <w:bookmarkStart w:id="707" w:name="Tc_p-Qv7cM2fE2pl4hOdj-ytA_1_1"/>
      <w:bookmarkStart w:id="708" w:name="_d00bc77d_91c8_4927_a4fc_082d25fa463b"/>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sz w:val="20"/>
        </w:rPr>
        <w:t>40%, 13% and 12% of accounts receivable associated with the Company's product sales, as compared to 40%, 18% and 15% as of December 31, 2022, respectively.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activity in each of the product revenue allowance and reserve categories for the three months ended March 31, 2023 and 2022 (in thousands):</w:t>
      </w:r>
    </w:p>
    <w:p>
      <w:pPr>
        <w:pStyle w:val="TextBody"/>
        <w:spacing w:lineRule="auto" w:line="285" w:before="0" w:after="0"/>
        <w:ind w:left="0" w:right="0" w:hanging="0"/>
        <w:rPr/>
      </w:pPr>
      <w:r>
        <w:rPr/>
        <w:t>​</w:t>
      </w:r>
    </w:p>
    <w:tbl>
      <w:tblPr>
        <w:tblW w:w="6330" w:type="dxa"/>
        <w:jc w:val="left"/>
        <w:tblInd w:w="0" w:type="dxa"/>
        <w:tblCellMar>
          <w:top w:w="0" w:type="dxa"/>
          <w:left w:w="0" w:type="dxa"/>
          <w:bottom w:w="0" w:type="dxa"/>
          <w:right w:w="0" w:type="dxa"/>
        </w:tblCellMar>
      </w:tblPr>
      <w:tblGrid>
        <w:gridCol w:w="3841"/>
        <w:gridCol w:w="268"/>
        <w:gridCol w:w="879"/>
        <w:gridCol w:w="138"/>
        <w:gridCol w:w="268"/>
        <w:gridCol w:w="936"/>
      </w:tblGrid>
      <w:tr>
        <w:trPr/>
        <w:tc>
          <w:tcPr>
            <w:tcW w:w="3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439035" cy="175260"/>
                      <wp:effectExtent l="0" t="0" r="0" b="0"/>
                      <wp:wrapNone/>
                      <wp:docPr id="142" name="Frame142"/>
                      <a:graphic xmlns:a="http://schemas.openxmlformats.org/drawingml/2006/main">
                        <a:graphicData uri="http://schemas.microsoft.com/office/word/2010/wordprocessingShape">
                          <wps:wsp>
                            <wps:cNvSpPr txBox="1"/>
                            <wps:spPr>
                              <a:xfrm>
                                <a:off x="0" y="0"/>
                                <a:ext cx="24390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0180" cy="175260"/>
                      <wp:effectExtent l="0" t="0" r="0" b="0"/>
                      <wp:wrapNone/>
                      <wp:docPr id="143" name="Frame143"/>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58165" cy="175260"/>
                      <wp:effectExtent l="0" t="0" r="0" b="0"/>
                      <wp:wrapNone/>
                      <wp:docPr id="144" name="Frame144"/>
                      <a:graphic xmlns:a="http://schemas.openxmlformats.org/drawingml/2006/main">
                        <a:graphicData uri="http://schemas.microsoft.com/office/word/2010/wordprocessingShape">
                          <wps:wsp>
                            <wps:cNvSpPr txBox="1"/>
                            <wps:spPr>
                              <a:xfrm>
                                <a:off x="0" y="0"/>
                                <a:ext cx="5581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7630" cy="175260"/>
                      <wp:effectExtent l="0" t="0" r="0" b="0"/>
                      <wp:wrapNone/>
                      <wp:docPr id="145" name="Frame145"/>
                      <a:graphic xmlns:a="http://schemas.openxmlformats.org/drawingml/2006/main">
                        <a:graphicData uri="http://schemas.microsoft.com/office/word/2010/wordprocessingShape">
                          <wps:wsp>
                            <wps:cNvSpPr txBox="1"/>
                            <wps:spPr>
                              <a:xfrm>
                                <a:off x="0" y="0"/>
                                <a:ext cx="876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0180" cy="175260"/>
                      <wp:effectExtent l="0" t="0" r="0" b="0"/>
                      <wp:wrapNone/>
                      <wp:docPr id="146" name="Frame146"/>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4360" cy="175260"/>
                      <wp:effectExtent l="0" t="0" r="0" b="0"/>
                      <wp:wrapNone/>
                      <wp:docPr id="147" name="Frame147"/>
                      <a:graphic xmlns:a="http://schemas.openxmlformats.org/drawingml/2006/main">
                        <a:graphicData uri="http://schemas.microsoft.com/office/word/2010/wordprocessingShape">
                          <wps:wsp>
                            <wps:cNvSpPr txBox="1"/>
                            <wps:spPr>
                              <a:xfrm>
                                <a:off x="0" y="0"/>
                                <a:ext cx="5943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841" w:type="dxa"/>
            <w:tcBorders/>
            <w:shd w:fill="auto" w:val="clear"/>
            <w:vAlign w:val="center"/>
          </w:tcPr>
          <w:p>
            <w:pPr>
              <w:pStyle w:val="TableContents"/>
              <w:spacing w:lineRule="auto" w:line="285" w:before="0" w:after="0"/>
              <w:ind w:left="0" w:right="0" w:hanging="0"/>
              <w:rPr/>
            </w:pPr>
            <w:r>
              <w:rPr/>
              <w:t>​</w:t>
            </w:r>
          </w:p>
        </w:tc>
        <w:tc>
          <w:tcPr>
            <w:tcW w:w="2489"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841" w:type="dxa"/>
            <w:tcBorders/>
            <w:shd w:fill="auto" w:val="clear"/>
            <w:vAlign w:val="center"/>
          </w:tcPr>
          <w:p>
            <w:pPr>
              <w:pStyle w:val="TableContents"/>
              <w:spacing w:lineRule="auto" w:line="285" w:before="0" w:after="0"/>
              <w:ind w:left="0" w:right="0" w:hanging="0"/>
              <w:rPr/>
            </w:pPr>
            <w:r>
              <w:rPr/>
              <w:t>​</w:t>
            </w:r>
          </w:p>
        </w:tc>
        <w:tc>
          <w:tcPr>
            <w:tcW w:w="114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8" w:type="dxa"/>
            <w:tcBorders/>
            <w:shd w:fill="auto" w:val="clear"/>
            <w:vAlign w:val="center"/>
          </w:tcPr>
          <w:p>
            <w:pPr>
              <w:pStyle w:val="TableContents"/>
              <w:spacing w:lineRule="auto" w:line="285" w:before="0" w:after="0"/>
              <w:ind w:left="0" w:right="0" w:hanging="0"/>
              <w:rPr/>
            </w:pPr>
            <w:r>
              <w:rPr/>
              <w:t>​</w:t>
            </w:r>
          </w:p>
        </w:tc>
        <w:tc>
          <w:tcPr>
            <w:tcW w:w="1204"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Beginning balance at January 1</w:t>
            </w:r>
          </w:p>
        </w:tc>
        <w:tc>
          <w:tcPr>
            <w:tcW w:w="26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9,788</w:t>
            </w:r>
          </w:p>
        </w:tc>
        <w:tc>
          <w:tcPr>
            <w:tcW w:w="138" w:type="dxa"/>
            <w:tcBorders/>
            <w:shd w:fill="CCEEFF" w:val="clear"/>
            <w:vAlign w:val="center"/>
          </w:tcPr>
          <w:p>
            <w:pPr>
              <w:pStyle w:val="TableContents"/>
              <w:spacing w:lineRule="auto" w:line="285" w:before="0" w:after="0"/>
              <w:ind w:left="0" w:right="0" w:hanging="0"/>
              <w:rPr/>
            </w:pPr>
            <w:r>
              <w:rPr/>
              <w:t>​</w:t>
            </w:r>
          </w:p>
        </w:tc>
        <w:tc>
          <w:tcPr>
            <w:tcW w:w="268" w:type="dxa"/>
            <w:tcBorders/>
            <w:shd w:fill="CCEEFF"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3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4,345</w:t>
            </w:r>
          </w:p>
        </w:tc>
      </w:tr>
      <w:tr>
        <w:trPr/>
        <w:tc>
          <w:tcPr>
            <w:tcW w:w="38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Provision related to sales in the current period</w:t>
            </w:r>
          </w:p>
        </w:tc>
        <w:tc>
          <w:tcPr>
            <w:tcW w:w="268" w:type="dxa"/>
            <w:tcBorders/>
            <w:shd w:fill="auto" w:val="clear"/>
            <w:vAlign w:val="center"/>
          </w:tcPr>
          <w:p>
            <w:pPr>
              <w:pStyle w:val="TableContents"/>
              <w:spacing w:lineRule="auto" w:line="285" w:before="0" w:after="0"/>
              <w:ind w:left="0" w:right="0" w:hanging="0"/>
              <w:jc w:val="right"/>
              <w:rPr/>
            </w:pPr>
            <w:r>
              <w:rPr/>
              <w:t> </w:t>
            </w:r>
          </w:p>
        </w:tc>
        <w:tc>
          <w:tcPr>
            <w:tcW w:w="879"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8,502</w:t>
            </w:r>
          </w:p>
        </w:tc>
        <w:tc>
          <w:tcPr>
            <w:tcW w:w="138" w:type="dxa"/>
            <w:tcBorders/>
            <w:shd w:fill="auto" w:val="clear"/>
            <w:vAlign w:val="center"/>
          </w:tcPr>
          <w:p>
            <w:pPr>
              <w:pStyle w:val="TableContents"/>
              <w:spacing w:lineRule="auto" w:line="285" w:before="0" w:after="0"/>
              <w:ind w:left="0" w:right="0" w:hanging="0"/>
              <w:rPr/>
            </w:pPr>
            <w:r>
              <w:rPr/>
              <w:t>​</w:t>
            </w:r>
          </w:p>
        </w:tc>
        <w:tc>
          <w:tcPr>
            <w:tcW w:w="268" w:type="dxa"/>
            <w:tcBorders/>
            <w:shd w:fill="auto" w:val="clear"/>
            <w:vAlign w:val="center"/>
          </w:tcPr>
          <w:p>
            <w:pPr>
              <w:pStyle w:val="TableContents"/>
              <w:spacing w:lineRule="auto" w:line="285" w:before="0" w:after="0"/>
              <w:ind w:left="0" w:right="0" w:hanging="0"/>
              <w:rPr/>
            </w:pPr>
            <w:r>
              <w:rPr/>
              <w:t>​</w:t>
            </w:r>
          </w:p>
        </w:tc>
        <w:tc>
          <w:tcPr>
            <w:tcW w:w="93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4,581</w:t>
            </w:r>
          </w:p>
        </w:tc>
      </w:tr>
      <w:tr>
        <w:trPr/>
        <w:tc>
          <w:tcPr>
            <w:tcW w:w="38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Adjustment related to prior periods sales</w:t>
            </w:r>
          </w:p>
        </w:tc>
        <w:tc>
          <w:tcPr>
            <w:tcW w:w="268" w:type="dxa"/>
            <w:tcBorders/>
            <w:shd w:fill="CCEEFF" w:val="clear"/>
            <w:vAlign w:val="center"/>
          </w:tcPr>
          <w:p>
            <w:pPr>
              <w:pStyle w:val="TableContents"/>
              <w:spacing w:lineRule="auto" w:line="285" w:before="0" w:after="0"/>
              <w:ind w:left="0" w:right="0" w:hanging="0"/>
              <w:jc w:val="right"/>
              <w:rPr/>
            </w:pPr>
            <w:r>
              <w:rPr/>
              <w:t> </w:t>
            </w:r>
          </w:p>
        </w:tc>
        <w:tc>
          <w:tcPr>
            <w:tcW w:w="87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138" w:type="dxa"/>
            <w:tcBorders/>
            <w:shd w:fill="CCEEFF" w:val="clear"/>
            <w:vAlign w:val="center"/>
          </w:tcPr>
          <w:p>
            <w:pPr>
              <w:pStyle w:val="TableContents"/>
              <w:spacing w:lineRule="auto" w:line="285" w:before="0" w:after="0"/>
              <w:ind w:left="0" w:right="0" w:hanging="0"/>
              <w:rPr/>
            </w:pPr>
            <w:r>
              <w:rPr/>
              <w:t>​</w:t>
            </w:r>
          </w:p>
        </w:tc>
        <w:tc>
          <w:tcPr>
            <w:tcW w:w="268" w:type="dxa"/>
            <w:tcBorders/>
            <w:shd w:fill="CCEEFF" w:val="clear"/>
            <w:vAlign w:val="center"/>
          </w:tcPr>
          <w:p>
            <w:pPr>
              <w:pStyle w:val="TableContents"/>
              <w:spacing w:lineRule="auto" w:line="285" w:before="0" w:after="0"/>
              <w:ind w:left="0" w:right="0" w:hanging="0"/>
              <w:rPr/>
            </w:pPr>
            <w:r>
              <w:rPr/>
              <w:t>​</w:t>
            </w:r>
          </w:p>
        </w:tc>
        <w:tc>
          <w:tcPr>
            <w:tcW w:w="93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8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Credits and payments made</w:t>
            </w:r>
          </w:p>
        </w:tc>
        <w:tc>
          <w:tcPr>
            <w:tcW w:w="26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879"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(4,773)</w:t>
            </w:r>
          </w:p>
        </w:tc>
        <w:tc>
          <w:tcPr>
            <w:tcW w:w="138" w:type="dxa"/>
            <w:tcBorders/>
            <w:shd w:fill="auto" w:val="clear"/>
            <w:vAlign w:val="center"/>
          </w:tcPr>
          <w:p>
            <w:pPr>
              <w:pStyle w:val="TableContents"/>
              <w:spacing w:lineRule="auto" w:line="285"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93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(2,654)</w:t>
            </w:r>
          </w:p>
        </w:tc>
      </w:tr>
      <w:tr>
        <w:trPr/>
        <w:tc>
          <w:tcPr>
            <w:tcW w:w="38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Ending balance at March 31</w:t>
            </w:r>
          </w:p>
        </w:tc>
        <w:tc>
          <w:tcPr>
            <w:tcW w:w="26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13,289</w:t>
            </w:r>
          </w:p>
        </w:tc>
        <w:tc>
          <w:tcPr>
            <w:tcW w:w="138" w:type="dxa"/>
            <w:tcBorders/>
            <w:shd w:fill="CCEEFF" w:val="clear"/>
            <w:vAlign w:val="center"/>
          </w:tcPr>
          <w:p>
            <w:pPr>
              <w:pStyle w:val="TableContents"/>
              <w:spacing w:lineRule="auto" w:line="285"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5,964</w:t>
            </w:r>
          </w:p>
        </w:tc>
      </w:tr>
    </w:tbl>
    <w:p>
      <w:pPr>
        <w:pStyle w:val="TextBody"/>
        <w:spacing w:lineRule="auto" w:line="285" w:before="0" w:after="0"/>
        <w:ind w:left="0" w:right="0" w:hanging="0"/>
        <w:rPr/>
      </w:pPr>
      <w:r>
        <w:rPr/>
        <w:t> </w:t>
      </w:r>
    </w:p>
    <w:p>
      <w:pPr>
        <w:pStyle w:val="TextBody"/>
        <w:spacing w:lineRule="auto" w:line="285" w:before="0" w:after="0"/>
        <w:ind w:left="0" w:right="0" w:hanging="0"/>
        <w:rPr>
          <w:highlight w:val="yellow"/>
        </w:rPr>
      </w:pPr>
      <w:r>
        <w:rPr>
          <w:highlight w:val="yellow"/>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March 31, 2023 and December 31, 2022, are summarized as follows (in thousands):</w:t>
      </w:r>
    </w:p>
    <w:p>
      <w:pPr>
        <w:pStyle w:val="TextBody"/>
        <w:spacing w:lineRule="auto" w:line="285" w:before="0" w:after="0"/>
        <w:ind w:left="0" w:right="0" w:hanging="0"/>
        <w:rPr/>
      </w:pPr>
      <w:r>
        <w:rPr/>
        <w:t>​</w:t>
      </w:r>
    </w:p>
    <w:tbl>
      <w:tblPr>
        <w:tblW w:w="5375" w:type="dxa"/>
        <w:jc w:val="left"/>
        <w:tblInd w:w="0" w:type="dxa"/>
        <w:tblCellMar>
          <w:top w:w="0" w:type="dxa"/>
          <w:left w:w="0" w:type="dxa"/>
          <w:bottom w:w="0" w:type="dxa"/>
          <w:right w:w="0" w:type="dxa"/>
        </w:tblCellMar>
      </w:tblPr>
      <w:tblGrid>
        <w:gridCol w:w="3181"/>
        <w:gridCol w:w="214"/>
        <w:gridCol w:w="686"/>
        <w:gridCol w:w="109"/>
        <w:gridCol w:w="281"/>
        <w:gridCol w:w="904"/>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19935" cy="175260"/>
                      <wp:effectExtent l="0" t="0" r="0" b="0"/>
                      <wp:wrapNone/>
                      <wp:docPr id="148" name="Frame148"/>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5890" cy="175260"/>
                      <wp:effectExtent l="0" t="0" r="0" b="0"/>
                      <wp:wrapNone/>
                      <wp:docPr id="149" name="Frame149"/>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5610" cy="175260"/>
                      <wp:effectExtent l="0" t="0" r="0" b="0"/>
                      <wp:wrapNone/>
                      <wp:docPr id="150" name="Frame150"/>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8435" cy="175260"/>
                      <wp:effectExtent l="0" t="0" r="0" b="0"/>
                      <wp:wrapNone/>
                      <wp:docPr id="152" name="Frame152"/>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4040" cy="175260"/>
                      <wp:effectExtent l="0" t="0" r="0" b="0"/>
                      <wp:wrapNone/>
                      <wp:docPr id="153" name="Frame153"/>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lineRule="auto" w:line="285" w:before="0" w:after="0"/>
              <w:ind w:left="0" w:right="0" w:hanging="0"/>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shd w:fill="auto" w:val="clear"/>
            <w:vAlign w:val="center"/>
          </w:tcPr>
          <w:p>
            <w:pPr>
              <w:pStyle w:val="TableContents"/>
              <w:spacing w:lineRule="auto" w:line="285" w:before="0" w:after="0"/>
              <w:ind w:left="0" w:right="0" w:hanging="0"/>
              <w:rPr/>
            </w:pPr>
            <w:r>
              <w:rPr/>
              <w:t>​</w:t>
            </w:r>
          </w:p>
        </w:tc>
        <w:tc>
          <w:tcPr>
            <w:tcW w:w="118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shd w:fill="auto" w:val="clear"/>
            <w:vAlign w:val="center"/>
          </w:tcPr>
          <w:p>
            <w:pPr>
              <w:pStyle w:val="TableContents"/>
              <w:spacing w:lineRule="auto" w:line="285"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lineRule="auto" w:line="285"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Reduction of accounts receivable, net</w:t>
            </w:r>
          </w:p>
        </w:tc>
        <w:tc>
          <w:tcPr>
            <w:tcW w:w="21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109" w:type="dxa"/>
            <w:tcBorders/>
            <w:shd w:fill="CCEEFF" w:val="clear"/>
            <w:vAlign w:val="center"/>
          </w:tcPr>
          <w:p>
            <w:pPr>
              <w:pStyle w:val="TableContents"/>
              <w:spacing w:lineRule="auto" w:line="285" w:before="0" w:after="0"/>
              <w:ind w:left="0" w:right="0" w:hanging="0"/>
              <w:rPr/>
            </w:pPr>
            <w:r>
              <w:rPr/>
              <w:t>​</w:t>
            </w:r>
          </w:p>
        </w:tc>
        <w:tc>
          <w:tcPr>
            <w:tcW w:w="2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31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Component of accrued expenses</w:t>
            </w:r>
          </w:p>
        </w:tc>
        <w:tc>
          <w:tcPr>
            <w:tcW w:w="214"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12,033</w:t>
            </w:r>
          </w:p>
        </w:tc>
        <w:tc>
          <w:tcPr>
            <w:tcW w:w="109" w:type="dxa"/>
            <w:tcBorders/>
            <w:shd w:fill="auto" w:val="clear"/>
            <w:vAlign w:val="center"/>
          </w:tcPr>
          <w:p>
            <w:pPr>
              <w:pStyle w:val="TableContents"/>
              <w:spacing w:lineRule="auto" w:line="285" w:before="0" w:after="0"/>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0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31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revenue-related reserves</w:t>
            </w:r>
          </w:p>
        </w:tc>
        <w:tc>
          <w:tcPr>
            <w:tcW w:w="21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13,289</w:t>
            </w:r>
          </w:p>
        </w:tc>
        <w:tc>
          <w:tcPr>
            <w:tcW w:w="109" w:type="dxa"/>
            <w:tcBorders/>
            <w:shd w:fill="CCEEFF" w:val="clear"/>
            <w:vAlign w:val="center"/>
          </w:tcPr>
          <w:p>
            <w:pPr>
              <w:pStyle w:val="TableContents"/>
              <w:spacing w:lineRule="auto" w:line="285" w:before="0" w:after="0"/>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9,788</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b/>
          <w:sz w:val="20"/>
        </w:rPr>
      </w:pPr>
      <w:bookmarkStart w:id="709" w:name="Tc_8A50DRuBdUuIBpz56v66EA_5_5"/>
      <w:bookmarkStart w:id="710" w:name="Tc_7kqOx5hxGkGlTGpA8X_PfQ_5_2"/>
      <w:bookmarkStart w:id="711" w:name="Tc_edbPJwkpR0ujOcFnV7IRuQ_5_0"/>
      <w:bookmarkStart w:id="712" w:name="Tc_ORo2B0CbZE2DW_hTv4k5IQ_4_0"/>
      <w:bookmarkStart w:id="713" w:name="Tc_hoXghvQ6rU2xsB18xDuP_Q_3_5"/>
      <w:bookmarkStart w:id="714" w:name="Tc_C11bMyVxuUeZ9fNyKhI5jA_3_2"/>
      <w:bookmarkStart w:id="715" w:name="Tc_A3yJKx2vE0ygvn93wStjIg_3_0"/>
      <w:bookmarkStart w:id="716" w:name="Tc_aNEojiTLE0KWSZ5LPH_jkg_2_5"/>
      <w:bookmarkStart w:id="717" w:name="Tc_1d8hfAYBBk6vfGOmp-OzZQ_2_2"/>
      <w:bookmarkStart w:id="718" w:name="Tc_dH14C935h0GUaxYDqQgwtQ_1_5"/>
      <w:bookmarkStart w:id="719" w:name="Tc_NhjNpmnh20iZM1xYoJbsTA_1_2"/>
      <w:bookmarkStart w:id="720" w:name="_23691ca8_8b90_4e0e_b51d_ba7190972267"/>
      <w:bookmarkStart w:id="721" w:name="Tc_xU5gn9vOvEWtRGNhoDjbrw_6_5"/>
      <w:bookmarkStart w:id="722" w:name="Tc_DxS31lDNXky3mfcBkXaFbg_6_2"/>
      <w:bookmarkStart w:id="723" w:name="Tc_8TlzO7ctPkGXDhptfI_1dQ_6_0"/>
      <w:bookmarkStart w:id="724" w:name="Tc_RF0JzowO_EeDlF-6VEb6Eg_5_0"/>
      <w:bookmarkStart w:id="725" w:name="Tc_fgzPlpO6WkC3IxevhF9XQA_4_0"/>
      <w:bookmarkStart w:id="726" w:name="Tc_YDcCL5hyvUeMdEJ0hN0XwA_3_5"/>
      <w:bookmarkStart w:id="727" w:name="Tc_oloi3-VKXUmx6q5pvrlQGQ_3_2"/>
      <w:bookmarkStart w:id="728" w:name="Tc_NgI0A5COxkGYJTpKa---yw_3_0"/>
      <w:bookmarkStart w:id="729" w:name="Tc_J11Af6ryGUGQMLbDthIuHQ_2_5"/>
      <w:bookmarkStart w:id="730" w:name="Tc_M8IjjGduZUaKA6JyYjeF_g_2_2"/>
      <w:bookmarkStart w:id="731" w:name="Tc_NUB5h9bcr0yIZHIhqQHU2Q_1_5"/>
      <w:bookmarkStart w:id="732" w:name="Tc_zuoh4RJGG0mRDBPnbuaqbA_1_2"/>
      <w:bookmarkStart w:id="733" w:name="_69d59e8b_f1d5_47bc_9495_264411eb0e87"/>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 xml:space="preserve">7. Inventory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Capitalized inventory consists of the following at March 31, 2023 and December 31, 2022 (in thousands):</w:t>
      </w:r>
    </w:p>
    <w:p>
      <w:pPr>
        <w:pStyle w:val="TextBody"/>
        <w:spacing w:lineRule="auto" w:line="285" w:before="0" w:after="0"/>
        <w:ind w:left="0" w:right="0" w:hanging="0"/>
        <w:rPr/>
      </w:pPr>
      <w:r>
        <w:rPr/>
        <w:t>​</w:t>
      </w:r>
    </w:p>
    <w:tbl>
      <w:tblPr>
        <w:tblW w:w="3946" w:type="dxa"/>
        <w:jc w:val="left"/>
        <w:tblInd w:w="0" w:type="dxa"/>
        <w:tblCellMar>
          <w:top w:w="0" w:type="dxa"/>
          <w:left w:w="0" w:type="dxa"/>
          <w:bottom w:w="0" w:type="dxa"/>
          <w:right w:w="0" w:type="dxa"/>
        </w:tblCellMar>
      </w:tblPr>
      <w:tblGrid>
        <w:gridCol w:w="1426"/>
        <w:gridCol w:w="109"/>
        <w:gridCol w:w="214"/>
        <w:gridCol w:w="686"/>
        <w:gridCol w:w="326"/>
        <w:gridCol w:w="252"/>
        <w:gridCol w:w="933"/>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05510" cy="175260"/>
                      <wp:effectExtent l="0" t="0" r="0" b="0"/>
                      <wp:wrapNone/>
                      <wp:docPr id="154" name="Frame154"/>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5890" cy="175260"/>
                      <wp:effectExtent l="0" t="0" r="0" b="0"/>
                      <wp:wrapNone/>
                      <wp:docPr id="156" name="Frame15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5610" cy="175260"/>
                      <wp:effectExtent l="0" t="0" r="0" b="0"/>
                      <wp:wrapNone/>
                      <wp:docPr id="157" name="Frame157"/>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0020" cy="175260"/>
                      <wp:effectExtent l="0" t="0" r="0" b="0"/>
                      <wp:wrapNone/>
                      <wp:docPr id="159" name="Frame159"/>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2455" cy="175260"/>
                      <wp:effectExtent l="0" t="0" r="0" b="0"/>
                      <wp:wrapNone/>
                      <wp:docPr id="160" name="Frame160"/>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285" w:before="0" w:after="0"/>
              <w:ind w:left="0" w:right="0" w:hanging="0"/>
              <w:rPr/>
            </w:pPr>
            <w:r>
              <w:rPr/>
              <w:t>​</w:t>
            </w:r>
          </w:p>
        </w:tc>
        <w:tc>
          <w:tcPr>
            <w:tcW w:w="118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Raw materials </w:t>
            </w:r>
          </w:p>
        </w:tc>
        <w:tc>
          <w:tcPr>
            <w:tcW w:w="109" w:type="dxa"/>
            <w:tcBorders/>
            <w:shd w:fill="CCEEFF" w:val="clear"/>
            <w:vAlign w:val="center"/>
          </w:tcPr>
          <w:p>
            <w:pPr>
              <w:pStyle w:val="TableContents"/>
              <w:spacing w:lineRule="auto" w:line="285" w:before="0" w:after="0"/>
              <w:ind w:left="0" w:right="0" w:hanging="0"/>
              <w:rPr/>
            </w:pPr>
            <w:r>
              <w:rPr/>
              <w:t>​</w:t>
            </w:r>
          </w:p>
        </w:tc>
        <w:tc>
          <w:tcPr>
            <w:tcW w:w="21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4,642</w:t>
            </w:r>
          </w:p>
        </w:tc>
        <w:tc>
          <w:tcPr>
            <w:tcW w:w="326" w:type="dxa"/>
            <w:tcBorders/>
            <w:shd w:fill="CCEEFF" w:val="clear"/>
            <w:vAlign w:val="center"/>
          </w:tcPr>
          <w:p>
            <w:pPr>
              <w:pStyle w:val="TableContents"/>
              <w:spacing w:lineRule="auto" w:line="285" w:before="0" w:after="0"/>
              <w:ind w:left="0" w:right="0" w:hanging="0"/>
              <w:rPr/>
            </w:pPr>
            <w:r>
              <w:rPr/>
              <w:t>​</w:t>
            </w:r>
          </w:p>
        </w:tc>
        <w:tc>
          <w:tcPr>
            <w:tcW w:w="25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4,967</w:t>
            </w:r>
          </w:p>
        </w:tc>
      </w:tr>
      <w:tr>
        <w:trPr/>
        <w:tc>
          <w:tcPr>
            <w:tcW w:w="14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Work in process</w:t>
            </w:r>
          </w:p>
        </w:tc>
        <w:tc>
          <w:tcPr>
            <w:tcW w:w="109" w:type="dxa"/>
            <w:tcBorders/>
            <w:shd w:fill="auto" w:val="clear"/>
            <w:vAlign w:val="center"/>
          </w:tcPr>
          <w:p>
            <w:pPr>
              <w:pStyle w:val="TableContents"/>
              <w:spacing w:lineRule="auto" w:line="285" w:before="0" w:after="0"/>
              <w:ind w:left="0" w:right="0" w:hanging="0"/>
              <w:rPr/>
            </w:pPr>
            <w:r>
              <w:rPr/>
              <w:t>​</w:t>
            </w:r>
          </w:p>
        </w:tc>
        <w:tc>
          <w:tcPr>
            <w:tcW w:w="214" w:type="dxa"/>
            <w:tcBorders/>
            <w:shd w:fill="auto" w:val="clear"/>
            <w:vAlign w:val="center"/>
          </w:tcPr>
          <w:p>
            <w:pPr>
              <w:pStyle w:val="TableContents"/>
              <w:spacing w:lineRule="auto" w:line="285" w:before="0" w:after="0"/>
              <w:ind w:left="0" w:right="0" w:hanging="0"/>
              <w:rPr/>
            </w:pPr>
            <w:r>
              <w:rPr/>
              <w:t>​</w:t>
            </w:r>
          </w:p>
        </w:tc>
        <w:tc>
          <w:tcPr>
            <w:tcW w:w="68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31,050</w:t>
            </w:r>
          </w:p>
        </w:tc>
        <w:tc>
          <w:tcPr>
            <w:tcW w:w="326" w:type="dxa"/>
            <w:tcBorders/>
            <w:shd w:fill="auto" w:val="clear"/>
            <w:vAlign w:val="center"/>
          </w:tcPr>
          <w:p>
            <w:pPr>
              <w:pStyle w:val="TableContents"/>
              <w:spacing w:lineRule="auto" w:line="285" w:before="0" w:after="0"/>
              <w:ind w:left="0" w:right="0" w:hanging="0"/>
              <w:rPr/>
            </w:pPr>
            <w:r>
              <w:rPr/>
              <w:t>​</w:t>
            </w:r>
          </w:p>
        </w:tc>
        <w:tc>
          <w:tcPr>
            <w:tcW w:w="252" w:type="dxa"/>
            <w:tcBorders/>
            <w:shd w:fill="auto" w:val="clear"/>
            <w:vAlign w:val="center"/>
          </w:tcPr>
          <w:p>
            <w:pPr>
              <w:pStyle w:val="TableContents"/>
              <w:spacing w:lineRule="auto" w:line="285" w:before="0" w:after="0"/>
              <w:ind w:left="0" w:right="0" w:hanging="0"/>
              <w:rPr/>
            </w:pPr>
            <w:r>
              <w:rPr/>
              <w:t>​</w:t>
            </w:r>
          </w:p>
        </w:tc>
        <w:tc>
          <w:tcPr>
            <w:tcW w:w="93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28,427</w:t>
            </w:r>
          </w:p>
        </w:tc>
      </w:tr>
      <w:tr>
        <w:trPr/>
        <w:tc>
          <w:tcPr>
            <w:tcW w:w="14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spacing w:lineRule="auto" w:line="285"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 </w:t>
            </w:r>
          </w:p>
        </w:tc>
        <w:tc>
          <w:tcPr>
            <w:tcW w:w="68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26" w:type="dxa"/>
            <w:tcBorders/>
            <w:shd w:fill="CCEEFF" w:val="clear"/>
            <w:vAlign w:val="center"/>
          </w:tcPr>
          <w:p>
            <w:pPr>
              <w:pStyle w:val="TableContents"/>
              <w:spacing w:lineRule="auto" w:line="285"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2,791</w:t>
            </w:r>
          </w:p>
        </w:tc>
      </w:tr>
      <w:tr>
        <w:trPr/>
        <w:tc>
          <w:tcPr>
            <w:tcW w:w="14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auto" w:val="clear"/>
            <w:vAlign w:val="center"/>
          </w:tcPr>
          <w:p>
            <w:pPr>
              <w:pStyle w:val="TableContents"/>
              <w:spacing w:lineRule="auto" w:line="285"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38,316</w:t>
            </w:r>
          </w:p>
        </w:tc>
        <w:tc>
          <w:tcPr>
            <w:tcW w:w="326" w:type="dxa"/>
            <w:tcBorders/>
            <w:shd w:fill="auto" w:val="clear"/>
            <w:vAlign w:val="center"/>
          </w:tcPr>
          <w:p>
            <w:pPr>
              <w:pStyle w:val="TableContents"/>
              <w:spacing w:lineRule="auto" w:line="285"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Balance sheet classification</w:t>
      </w:r>
    </w:p>
    <w:tbl>
      <w:tblPr>
        <w:tblW w:w="3601" w:type="dxa"/>
        <w:jc w:val="left"/>
        <w:tblInd w:w="0" w:type="dxa"/>
        <w:tblCellMar>
          <w:top w:w="0" w:type="dxa"/>
          <w:left w:w="0" w:type="dxa"/>
          <w:bottom w:w="0" w:type="dxa"/>
          <w:right w:w="0" w:type="dxa"/>
        </w:tblCellMar>
      </w:tblPr>
      <w:tblGrid>
        <w:gridCol w:w="1081"/>
        <w:gridCol w:w="109"/>
        <w:gridCol w:w="214"/>
        <w:gridCol w:w="686"/>
        <w:gridCol w:w="326"/>
        <w:gridCol w:w="252"/>
        <w:gridCol w:w="933"/>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86435" cy="175260"/>
                      <wp:effectExtent l="0" t="0" r="0" b="0"/>
                      <wp:wrapNone/>
                      <wp:docPr id="161" name="Frame16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5890" cy="175260"/>
                      <wp:effectExtent l="0" t="0" r="0" b="0"/>
                      <wp:wrapNone/>
                      <wp:docPr id="163" name="Frame16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5610" cy="175260"/>
                      <wp:effectExtent l="0" t="0" r="0" b="0"/>
                      <wp:wrapNone/>
                      <wp:docPr id="164" name="Frame164"/>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0020" cy="175260"/>
                      <wp:effectExtent l="0" t="0" r="0" b="0"/>
                      <wp:wrapNone/>
                      <wp:docPr id="166" name="Frame166"/>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2455" cy="175260"/>
                      <wp:effectExtent l="0" t="0" r="0" b="0"/>
                      <wp:wrapNone/>
                      <wp:docPr id="167" name="Frame167"/>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08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285" w:before="0" w:after="0"/>
              <w:ind w:left="0" w:right="0" w:hanging="0"/>
              <w:rPr/>
            </w:pPr>
            <w:r>
              <w:rPr/>
              <w:t>​</w:t>
            </w:r>
          </w:p>
        </w:tc>
        <w:tc>
          <w:tcPr>
            <w:tcW w:w="118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spacing w:lineRule="auto" w:line="285" w:before="0" w:after="0"/>
              <w:ind w:left="0" w:right="0" w:hanging="0"/>
              <w:jc w:val="center"/>
              <w:rPr/>
            </w:pPr>
            <w:r>
              <w:rPr/>
              <w:t>​</w:t>
            </w:r>
          </w:p>
        </w:tc>
        <w:tc>
          <w:tcPr>
            <w:tcW w:w="21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17,521</w:t>
            </w:r>
          </w:p>
        </w:tc>
        <w:tc>
          <w:tcPr>
            <w:tcW w:w="326" w:type="dxa"/>
            <w:tcBorders/>
            <w:shd w:fill="CCEEFF" w:val="clear"/>
            <w:vAlign w:val="center"/>
          </w:tcPr>
          <w:p>
            <w:pPr>
              <w:pStyle w:val="TableContents"/>
              <w:spacing w:lineRule="auto" w:line="285" w:before="0" w:after="0"/>
              <w:ind w:left="0" w:right="0" w:hanging="0"/>
              <w:rPr/>
            </w:pPr>
            <w:r>
              <w:rPr/>
              <w:t>​</w:t>
            </w:r>
          </w:p>
        </w:tc>
        <w:tc>
          <w:tcPr>
            <w:tcW w:w="25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29,697</w:t>
            </w:r>
          </w:p>
        </w:tc>
      </w:tr>
      <w:tr>
        <w:trPr/>
        <w:tc>
          <w:tcPr>
            <w:tcW w:w="10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109" w:type="dxa"/>
            <w:tcBorders/>
            <w:shd w:fill="auto" w:val="clear"/>
            <w:vAlign w:val="center"/>
          </w:tcPr>
          <w:p>
            <w:pPr>
              <w:pStyle w:val="TableContents"/>
              <w:spacing w:lineRule="auto" w:line="285"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20,795</w:t>
            </w:r>
          </w:p>
        </w:tc>
        <w:tc>
          <w:tcPr>
            <w:tcW w:w="326" w:type="dxa"/>
            <w:tcBorders/>
            <w:shd w:fill="auto" w:val="clear"/>
            <w:vAlign w:val="center"/>
          </w:tcPr>
          <w:p>
            <w:pPr>
              <w:pStyle w:val="TableContents"/>
              <w:spacing w:lineRule="auto" w:line="285" w:before="0" w:after="0"/>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 </w:t>
            </w:r>
          </w:p>
        </w:tc>
        <w:tc>
          <w:tcPr>
            <w:tcW w:w="93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6,488</w:t>
            </w:r>
          </w:p>
        </w:tc>
      </w:tr>
      <w:tr>
        <w:trPr/>
        <w:tc>
          <w:tcPr>
            <w:tcW w:w="10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spacing w:lineRule="auto" w:line="285"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38,316</w:t>
            </w:r>
          </w:p>
        </w:tc>
        <w:tc>
          <w:tcPr>
            <w:tcW w:w="326" w:type="dxa"/>
            <w:tcBorders/>
            <w:shd w:fill="CCEEFF" w:val="clear"/>
            <w:vAlign w:val="center"/>
          </w:tcPr>
          <w:p>
            <w:pPr>
              <w:pStyle w:val="TableContents"/>
              <w:spacing w:lineRule="auto" w:line="285" w:before="0" w:after="0"/>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36,185</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recognized a write-down of $1.5 million for the three months ended March 31, 2023. The Company did not recognize any write-down for the three months ended March 31, 2022. Long-term inventory, which primarily consists of work in process and raw materials, is included in other assets in the unaudited condensed consolidated balance sheets.</w:t>
      </w:r>
    </w:p>
    <w:p>
      <w:pPr>
        <w:pStyle w:val="TextBody"/>
        <w:spacing w:lineRule="auto" w:line="285" w:before="0" w:after="0"/>
        <w:ind w:left="0" w:right="0" w:firstLine="720"/>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8. Restricted Cash</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At March 31, 2023 and December 31, 2022, $5.2 million and $5.2 million, respectively, of the Company’s cash is restricted by a financial institution primarily related to security deposits for the lease agreements for the Company’s office and laboratory spaces. </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sz w:val="20"/>
        </w:rPr>
      </w:pPr>
      <w:bookmarkStart w:id="734" w:name="Tc_-X68I28SaUqy5nZgRV83Wg_8_5"/>
      <w:bookmarkStart w:id="735" w:name="Tc_yPelSTTX5k6eI7jGnwslZw_8_2"/>
      <w:bookmarkStart w:id="736" w:name="Tc_1LSc0hhOJ0KaICb3OB12Nw_8_0"/>
      <w:bookmarkStart w:id="737" w:name="Tc_6xB1lbRPcUe_uKagD22wgg_7_0"/>
      <w:bookmarkStart w:id="738" w:name="Tc_m4Gpe-x2SkGJlws3F8VUrw_6_0"/>
      <w:bookmarkStart w:id="739" w:name="Tc__IpOObaLP02w0iDvQZBI7w_5_0"/>
      <w:bookmarkStart w:id="740" w:name="Tc_i5e_MciPBUONd7KbB75bxA_4_0"/>
      <w:bookmarkStart w:id="741" w:name="Tc_mL7iiyB9vE6y7M5X9rtXHw_3_5"/>
      <w:bookmarkStart w:id="742" w:name="Tc_C2c_3dAKWUuQF86maaVrSw_3_2"/>
      <w:bookmarkStart w:id="743" w:name="Tc_RC4NCXy6pEyOw14784qDZA_3_0"/>
      <w:bookmarkStart w:id="744" w:name="Tc_8NU_9rO-XEyW1-hTLyeKvw_2_5"/>
      <w:bookmarkStart w:id="745" w:name="Tc_dM5WxkHQvkGviCkg992fZg_2_2"/>
      <w:bookmarkStart w:id="746" w:name="Tc_xJiv2-88D0W558qbvmrLvQ_1_5"/>
      <w:bookmarkStart w:id="747" w:name="Tc_fxw-P8D8UUOoJ1CM83Qncg_1_2"/>
      <w:bookmarkStart w:id="748" w:name="_9a254f94_f439_4e02_a769_8974d5e53ad5"/>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sz w:val="20"/>
        </w:rPr>
        <w:t>9. Accrued Expenses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spacing w:lineRule="auto" w:line="285" w:before="0" w:after="0"/>
        <w:ind w:left="0" w:right="0" w:hanging="0"/>
        <w:rPr/>
      </w:pPr>
      <w:r>
        <w:rPr/>
        <w:t>​</w:t>
      </w:r>
    </w:p>
    <w:tbl>
      <w:tblPr>
        <w:tblW w:w="7330" w:type="dxa"/>
        <w:jc w:val="left"/>
        <w:tblInd w:w="0" w:type="dxa"/>
        <w:tblCellMar>
          <w:top w:w="0" w:type="dxa"/>
          <w:left w:w="0" w:type="dxa"/>
          <w:bottom w:w="0" w:type="dxa"/>
          <w:right w:w="0" w:type="dxa"/>
        </w:tblCellMar>
      </w:tblPr>
      <w:tblGrid>
        <w:gridCol w:w="4501"/>
        <w:gridCol w:w="326"/>
        <w:gridCol w:w="211"/>
        <w:gridCol w:w="781"/>
        <w:gridCol w:w="326"/>
        <w:gridCol w:w="228"/>
        <w:gridCol w:w="957"/>
      </w:tblGrid>
      <w:tr>
        <w:trPr/>
        <w:tc>
          <w:tcPr>
            <w:tcW w:w="4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58135" cy="175260"/>
                      <wp:effectExtent l="0" t="0" r="0" b="0"/>
                      <wp:wrapNone/>
                      <wp:docPr id="168" name="Frame168"/>
                      <a:graphic xmlns:a="http://schemas.openxmlformats.org/drawingml/2006/main">
                        <a:graphicData uri="http://schemas.microsoft.com/office/word/2010/wordprocessingShape">
                          <wps:wsp>
                            <wps:cNvSpPr txBox="1"/>
                            <wps:spPr>
                              <a:xfrm>
                                <a:off x="0" y="0"/>
                                <a:ext cx="2858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5935" cy="175260"/>
                      <wp:effectExtent l="0" t="0" r="0" b="0"/>
                      <wp:wrapNone/>
                      <wp:docPr id="171" name="Frame17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4780" cy="175260"/>
                      <wp:effectExtent l="0" t="0" r="0" b="0"/>
                      <wp:wrapNone/>
                      <wp:docPr id="173" name="Frame173"/>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07695" cy="175260"/>
                      <wp:effectExtent l="0" t="0" r="0" b="0"/>
                      <wp:wrapNone/>
                      <wp:docPr id="174" name="Frame174"/>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50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92"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285" w:before="0" w:after="0"/>
              <w:ind w:left="0" w:right="0" w:hanging="0"/>
              <w:rPr/>
            </w:pPr>
            <w:r>
              <w:rPr/>
              <w:t>​</w:t>
            </w:r>
          </w:p>
        </w:tc>
        <w:tc>
          <w:tcPr>
            <w:tcW w:w="118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60,596</w:t>
            </w:r>
          </w:p>
        </w:tc>
        <w:tc>
          <w:tcPr>
            <w:tcW w:w="326" w:type="dxa"/>
            <w:tcBorders/>
            <w:shd w:fill="CCEEFF" w:val="clear"/>
            <w:vAlign w:val="center"/>
          </w:tcPr>
          <w:p>
            <w:pPr>
              <w:pStyle w:val="TableContents"/>
              <w:spacing w:lineRule="auto" w:line="285" w:before="0" w:after="0"/>
              <w:ind w:left="0" w:right="0" w:hanging="0"/>
              <w:rPr/>
            </w:pPr>
            <w:r>
              <w:rPr/>
              <w:t>​</w:t>
            </w:r>
          </w:p>
        </w:tc>
        <w:tc>
          <w:tcPr>
            <w:tcW w:w="22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66,041</w:t>
            </w:r>
          </w:p>
        </w:tc>
      </w:tr>
      <w:tr>
        <w:trPr/>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Employee compensation</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17,012</w:t>
            </w:r>
          </w:p>
        </w:tc>
        <w:tc>
          <w:tcPr>
            <w:tcW w:w="326" w:type="dxa"/>
            <w:tcBorders/>
            <w:shd w:fill="auto" w:val="clear"/>
            <w:vAlign w:val="center"/>
          </w:tcPr>
          <w:p>
            <w:pPr>
              <w:pStyle w:val="TableContents"/>
              <w:spacing w:lineRule="auto" w:line="285" w:before="0" w:after="0"/>
              <w:ind w:left="0" w:right="0" w:hanging="0"/>
              <w:rPr/>
            </w:pPr>
            <w:r>
              <w:rPr/>
              <w:t>​</w:t>
            </w:r>
          </w:p>
        </w:tc>
        <w:tc>
          <w:tcPr>
            <w:tcW w:w="228" w:type="dxa"/>
            <w:tcBorders/>
            <w:shd w:fill="auto" w:val="clear"/>
            <w:vAlign w:val="center"/>
          </w:tcPr>
          <w:p>
            <w:pPr>
              <w:pStyle w:val="TableContents"/>
              <w:spacing w:lineRule="auto" w:line="285" w:before="0" w:after="0"/>
              <w:ind w:left="0" w:right="0" w:hanging="0"/>
              <w:rPr/>
            </w:pPr>
            <w:r>
              <w:rPr/>
              <w:t>​</w:t>
            </w:r>
          </w:p>
        </w:tc>
        <w:tc>
          <w:tcPr>
            <w:tcW w:w="95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30,744</w:t>
            </w:r>
          </w:p>
        </w:tc>
      </w:tr>
      <w:tr>
        <w:trPr/>
        <w:tc>
          <w:tcPr>
            <w:tcW w:w="450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pPr>
            <w:r>
              <w:rPr/>
              <w:t> </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14,607</w:t>
            </w:r>
          </w:p>
        </w:tc>
        <w:tc>
          <w:tcPr>
            <w:tcW w:w="326" w:type="dxa"/>
            <w:tcBorders/>
            <w:shd w:fill="CCEEFF" w:val="clear"/>
            <w:vAlign w:val="center"/>
          </w:tcPr>
          <w:p>
            <w:pPr>
              <w:pStyle w:val="TableContents"/>
              <w:spacing w:lineRule="auto" w:line="285" w:before="0" w:after="0"/>
              <w:ind w:left="0" w:right="0" w:hanging="0"/>
              <w:rPr/>
            </w:pPr>
            <w:r>
              <w:rPr/>
              <w:t>​</w:t>
            </w:r>
          </w:p>
        </w:tc>
        <w:tc>
          <w:tcPr>
            <w:tcW w:w="228" w:type="dxa"/>
            <w:tcBorders/>
            <w:shd w:fill="CCEEFF" w:val="clear"/>
            <w:vAlign w:val="center"/>
          </w:tcPr>
          <w:p>
            <w:pPr>
              <w:pStyle w:val="TableContents"/>
              <w:spacing w:lineRule="auto" w:line="285" w:before="0" w:after="0"/>
              <w:ind w:left="0" w:right="0" w:hanging="0"/>
              <w:rPr/>
            </w:pPr>
            <w:r>
              <w:rPr/>
              <w:t> </w:t>
            </w:r>
          </w:p>
        </w:tc>
        <w:tc>
          <w:tcPr>
            <w:tcW w:w="95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17,588</w:t>
            </w:r>
          </w:p>
        </w:tc>
      </w:tr>
      <w:tr>
        <w:trPr/>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12,033</w:t>
            </w:r>
          </w:p>
        </w:tc>
        <w:tc>
          <w:tcPr>
            <w:tcW w:w="326" w:type="dxa"/>
            <w:tcBorders/>
            <w:shd w:fill="auto" w:val="clear"/>
            <w:vAlign w:val="center"/>
          </w:tcPr>
          <w:p>
            <w:pPr>
              <w:pStyle w:val="TableContents"/>
              <w:spacing w:lineRule="auto" w:line="285" w:before="0" w:after="0"/>
              <w:ind w:left="0" w:right="0" w:hanging="0"/>
              <w:rPr/>
            </w:pPr>
            <w:r>
              <w:rPr/>
              <w:t>​</w:t>
            </w:r>
          </w:p>
        </w:tc>
        <w:tc>
          <w:tcPr>
            <w:tcW w:w="228" w:type="dxa"/>
            <w:tcBorders/>
            <w:shd w:fill="auto" w:val="clear"/>
            <w:vAlign w:val="center"/>
          </w:tcPr>
          <w:p>
            <w:pPr>
              <w:pStyle w:val="TableContents"/>
              <w:spacing w:lineRule="auto" w:line="285" w:before="0" w:after="0"/>
              <w:ind w:left="0" w:right="0" w:hanging="0"/>
              <w:rPr/>
            </w:pPr>
            <w:r>
              <w:rPr/>
              <w:t>​</w:t>
            </w:r>
          </w:p>
        </w:tc>
        <w:tc>
          <w:tcPr>
            <w:tcW w:w="95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9,046</w:t>
            </w:r>
          </w:p>
        </w:tc>
      </w:tr>
      <w:tr>
        <w:trPr/>
        <w:tc>
          <w:tcPr>
            <w:tcW w:w="450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4,487</w:t>
            </w:r>
          </w:p>
        </w:tc>
        <w:tc>
          <w:tcPr>
            <w:tcW w:w="326" w:type="dxa"/>
            <w:tcBorders/>
            <w:shd w:fill="CCEEFF" w:val="clear"/>
            <w:vAlign w:val="center"/>
          </w:tcPr>
          <w:p>
            <w:pPr>
              <w:pStyle w:val="TableContents"/>
              <w:spacing w:lineRule="auto" w:line="285"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57"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7,704</w:t>
            </w:r>
          </w:p>
        </w:tc>
      </w:tr>
      <w:tr>
        <w:trPr/>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108,735</w:t>
            </w:r>
          </w:p>
        </w:tc>
        <w:tc>
          <w:tcPr>
            <w:tcW w:w="326" w:type="dxa"/>
            <w:tcBorders/>
            <w:shd w:fill="auto" w:val="clear"/>
            <w:vAlign w:val="center"/>
          </w:tcPr>
          <w:p>
            <w:pPr>
              <w:pStyle w:val="TableContents"/>
              <w:spacing w:lineRule="auto" w:line="285"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131,123</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 xml:space="preserve">10. Collaboration and License Agreements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IDRx</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highlight w:val="white"/>
        </w:rPr>
        <w:t>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each of whom are then-current members of the Company’s board of directors. Due to these relationships, the transaction with IDRx is a related party transaction. </w:t>
      </w:r>
    </w:p>
    <w:p>
      <w:pPr>
        <w:pStyle w:val="TextBody"/>
        <w:spacing w:lineRule="auto" w:line="285" w:before="28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 xml:space="preserve">In connection with the IDRx License Agreement, the Company also entered into a stock purchase agreement with IDRx (IDRx Stock Purchase Agreement), pursuant to which the Company received 4,509,105 shares of IDRx’s Series A preferred stock and the Company has the right to receive additional shares of IDRx’s Series A preferred stock through an anti-dilution provision subject to a defined financing cap. </w:t>
      </w:r>
    </w:p>
    <w:p>
      <w:pPr>
        <w:pStyle w:val="TextBody"/>
        <w:spacing w:lineRule="auto" w:line="285"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 </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pStyle w:val="TextBody"/>
        <w:spacing w:lineRule="auto" w:line="285"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shares of IDRx’s Series A preferred stock and the anti-dilution right to receive additional shares should be attributed to the transaction price of the IDRx License Agreement.</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For the purposes of ASC 606, the transaction price of the IDRx License Agreement at the contract inception was determined to be $27.5 million and recorded as license revenue-related party on the consolidated statements of operations and comprehensive loss during the year ended December 31,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Company accounts for the preferred stock investment under the measurement alternative for equity investments that do not have a readily determinable fair value, which is at cost of $27.8 million including transaction costs of $0.3 million. As of March 31, 2023, the cost of the investment in IDRx’s preferred stock was $27.8 million and was recorded as equity investment on the condensed consolidated balance sheets. As of March 31, 2023, no adjustments have been recognized related to the preferred stock investment as a result of the application of the measurement.</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Proteovant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In February 2022, the Company entered into </w:t>
      </w:r>
      <w:r>
        <w:rPr>
          <w:rFonts w:ascii="Times New Roman;Times;serif" w:hAnsi="Times New Roman;Times;serif"/>
          <w:sz w:val="20"/>
          <w:highlight w:val="white"/>
        </w:rPr>
        <w:t>an exclusive</w:t>
      </w:r>
      <w:r>
        <w:rPr>
          <w:rFonts w:ascii="Times New Roman;Times;serif" w:hAnsi="Times New Roman;Times;serif"/>
          <w:sz w:val="20"/>
        </w:rPr>
        <w:t xml:space="preserve"> collaboration agreement (the Proteovant collaboration agreement) with Oncopia Therapeutics, Inc., d/b/a Proteovant Therapeutics, Inc. (Proteovant), pursuant to which the parties will jointly research and advance up to two novel protein degrader therapies into development candidates, </w:t>
      </w:r>
      <w:r>
        <w:rPr>
          <w:rFonts w:ascii="Times New Roman;Times;serif" w:hAnsi="Times New Roman;Times;serif"/>
          <w:sz w:val="20"/>
          <w:highlight w:val="white"/>
        </w:rPr>
        <w:t>as well as up to two additional novel protein degrader target programs as may be mutually agreed to by the Company and Proteovant (each program is referred to as a target program)</w:t>
      </w:r>
      <w:r>
        <w:rPr>
          <w:rFonts w:ascii="Times New Roman;Times;serif" w:hAnsi="Times New Roman;Times;serif"/>
          <w:sz w:val="20"/>
        </w:rPr>
        <w:t xml:space="preserve">. </w:t>
      </w:r>
      <w:r>
        <w:rPr>
          <w:rFonts w:ascii="Times New Roman;Times;serif" w:hAnsi="Times New Roman;Times;serif"/>
          <w:sz w:val="20"/>
          <w:highlight w:val="white"/>
        </w:rPr>
        <w:t xml:space="preserve">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royalties on ex-U.S. sales. In addition, the parties may jointly extend the collaboration, with the same structure and financial terms, to two additional program targets through additional funding by the Company.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concluded that Proteovant is providing the Company with research services throughout the period until the Company can exercise its option to </w:t>
      </w:r>
      <w:r>
        <w:rPr>
          <w:rFonts w:ascii="Times New Roman;Times;serif" w:hAnsi="Times New Roman;Times;serif"/>
          <w:sz w:val="20"/>
          <w:highlight w:val="white"/>
        </w:rPr>
        <w:t>obtain a worldwide, exclusive license to develop and commercialize any licensed compound</w:t>
      </w:r>
      <w:r>
        <w:rPr>
          <w:rFonts w:ascii="Times New Roman;Times;serif" w:hAnsi="Times New Roman;Times;serif"/>
          <w:sz w:val="20"/>
        </w:rPr>
        <w:t>. Therefore, the Company recorded the $20.0 million upfront payment as an asset on the unaudited condensed consolidated financial statements and records it as research and development expense over the expected research period. During the three months ended March 31, 2023 and 2022, the Company recorded research and development expense of $1.3 million and $0.5 million, respectively, under the Proteovant collaboration agreement. The Company reevaluates the research period at the end of each reporting period and as any changes in circumstances occur, and if necessary, the Company adjusts its estimate of expected research period accordingly. Each research and development milestone payment will be accrued and expensed when probable.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Zai Lab</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The collaboration aims to accelerate and expand global development of the licensed products, which currently include BLU-945 and BLU-525 (which served as a back-up candidate for BLU-701). The Company retains exclusive rights to the licensed products outside the Zai Lab territory.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will be shared by the Company and Zai Lab.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 months ended March 31, 2023 and 2022, the Company did not record significant net reduction of expenses under the Zai Lab agreement.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three months ended March 31, 2023 and 2022, the Company did not record significant revenue under the Zai Lab agreement.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Roche – Pralsetinib Collaboration</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Under the Roche pralsetinib collaboration agreement, the Company received an upfront cash payment of $675.0 million, and through March 31, 2023, the Company received an aggregate of $105.0 million in specified regulatory and commercialization milestones. In February 2023, the Company received written notice from Roche of their election to terminate for convenience the Roche pralsetinib collaboration agreement. The termination will become effective in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February 2024, at which time the Company will regain commercialization and development rights to GAVRETO from Roche in the U.S. and Roche Territory (as defined below). Until the termination of the collaboration agreement is effective, the parties will continue to perform their respective obligations under the collaboration agreement, including with respect to the development and commercialization of GAVRETO. The Company will not be entitled to receive payment for milestones, if any, achieved during the period between the receipt of the notice of termination and the effective date of termination. The termination of the collaboration agreement does not have an impact on the Company’s current accounting treatment related to the Roche pralsetinib collaboration.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connection with the Roche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bookmarkStart w:id="749" w:name="Tc_NVDkooQ3uUCMMHzri3TtzA_4_5"/>
      <w:bookmarkStart w:id="750" w:name="Tc_t7pfcwB9_EuIzx7feslNGg_4_2"/>
      <w:bookmarkStart w:id="751" w:name="Tc_Ig3wpHUg8EqKGb9LEIhxRg_4_0"/>
      <w:bookmarkStart w:id="752" w:name="Tc_tOq-0kM5O0a0K2PvZbs_eA_3_5"/>
      <w:bookmarkStart w:id="753" w:name="Tc_fArymP_l40aF0uQ94C2ShQ_3_2"/>
      <w:bookmarkStart w:id="754" w:name="Tc_9TC1fEFQHkC6uy5FYXrrYQ_2_2"/>
      <w:bookmarkStart w:id="755" w:name="Tc_zjXTjPLTaUOEFh1bxdaArA_1_2"/>
      <w:bookmarkStart w:id="756" w:name="_450579cf_a67a_4660_8d54_63a0c8d8e414"/>
      <w:bookmarkStart w:id="757" w:name="_cp_change_4211"/>
      <w:bookmarkStart w:id="758" w:name="Tc_MReMPOyLO0S32YvF7O8_8Q_6_5"/>
      <w:bookmarkStart w:id="759" w:name="Tc_wC59TKSquU-o8BCSwaJ-Og_6_2"/>
      <w:bookmarkStart w:id="760" w:name="Tc_7LWDjA2FiU6RTIP2o3C4QA_6_0"/>
      <w:bookmarkStart w:id="761" w:name="Tc_lisE5TsWGUCX0Ehb6a3FZg_5_0"/>
      <w:bookmarkStart w:id="762" w:name="Tc_3GV7v3Pf0UGxGIqmA2iGsA_4_5"/>
      <w:bookmarkStart w:id="763" w:name="Tc_T1rIvK9igE28caTL2K5dbQ_4_2"/>
      <w:bookmarkStart w:id="764" w:name="Tc_bAWgn68aSUW2J4qVJSDIKQ_4_0"/>
      <w:bookmarkStart w:id="765" w:name="Tc_uCF-PfFVHEWU4NNYRPnhLA_3_5"/>
      <w:bookmarkStart w:id="766" w:name="Tc_gV5t1X7Np0GN_nk74xIVEg_3_2"/>
      <w:bookmarkStart w:id="767" w:name="Tc_xaU8SOdXWkqUZrcE3FpLAw_2_2"/>
      <w:bookmarkStart w:id="768" w:name="Tc_dFtkZGIio0u628GGjX-fvg_1_2"/>
      <w:bookmarkStart w:id="769" w:name="_23bcc73e_3cd5_428c_b3db_7b219b91b00c"/>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sz w:val="20"/>
        </w:rPr>
        <w:t xml:space="preserve">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the revenue is recognized when the related sales occur. Costs that are incurred associated with the Roche Territory activities are reimbursable from Roche and are recognized as revenue.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March 31, 2023, the Company has achieved an aggregate of $105.0 million in specified regulatory and commercialization milestones and added the $105.0 million to the estimated transaction price of the Roche pralsetinib agreement.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revenue recognized under the Roche pralsetinib collaboration during the three months ended March 31, 2023 and 2022 (in thousands): </w:t>
      </w:r>
    </w:p>
    <w:p>
      <w:pPr>
        <w:pStyle w:val="TextBody"/>
        <w:spacing w:lineRule="auto" w:line="285" w:before="0" w:after="0"/>
        <w:ind w:left="0" w:right="0" w:hanging="0"/>
        <w:rPr/>
      </w:pPr>
      <w:r>
        <w:rPr/>
        <w:t>​</w:t>
      </w:r>
    </w:p>
    <w:tbl>
      <w:tblPr>
        <w:tblW w:w="7226" w:type="dxa"/>
        <w:jc w:val="left"/>
        <w:tblInd w:w="0" w:type="dxa"/>
        <w:tblCellMar>
          <w:top w:w="0" w:type="dxa"/>
          <w:left w:w="0" w:type="dxa"/>
          <w:bottom w:w="0" w:type="dxa"/>
          <w:right w:w="0" w:type="dxa"/>
        </w:tblCellMar>
      </w:tblPr>
      <w:tblGrid>
        <w:gridCol w:w="5386"/>
        <w:gridCol w:w="146"/>
        <w:gridCol w:w="236"/>
        <w:gridCol w:w="471"/>
        <w:gridCol w:w="163"/>
        <w:gridCol w:w="236"/>
        <w:gridCol w:w="588"/>
      </w:tblGrid>
      <w:tr>
        <w:trPr/>
        <w:tc>
          <w:tcPr>
            <w:tcW w:w="538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2710" cy="175260"/>
                      <wp:effectExtent l="0" t="0" r="0" b="0"/>
                      <wp:wrapNone/>
                      <wp:docPr id="175" name="Frame17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9860" cy="175260"/>
                      <wp:effectExtent l="0" t="0" r="0" b="0"/>
                      <wp:wrapNone/>
                      <wp:docPr id="176" name="Frame176"/>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99085" cy="175260"/>
                      <wp:effectExtent l="0" t="0" r="0" b="0"/>
                      <wp:wrapNone/>
                      <wp:docPr id="177" name="Frame177"/>
                      <a:graphic xmlns:a="http://schemas.openxmlformats.org/drawingml/2006/main">
                        <a:graphicData uri="http://schemas.microsoft.com/office/word/2010/wordprocessingShape">
                          <wps:wsp>
                            <wps:cNvSpPr txBox="1"/>
                            <wps:spPr>
                              <a:xfrm>
                                <a:off x="0" y="0"/>
                                <a:ext cx="2990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03505" cy="175260"/>
                      <wp:effectExtent l="0" t="0" r="0" b="0"/>
                      <wp:wrapNone/>
                      <wp:docPr id="178" name="Frame178"/>
                      <a:graphic xmlns:a="http://schemas.openxmlformats.org/drawingml/2006/main">
                        <a:graphicData uri="http://schemas.microsoft.com/office/word/2010/wordprocessingShape">
                          <wps:wsp>
                            <wps:cNvSpPr txBox="1"/>
                            <wps:spPr>
                              <a:xfrm>
                                <a:off x="0" y="0"/>
                                <a:ext cx="1035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9860" cy="175260"/>
                      <wp:effectExtent l="0" t="0" r="0" b="0"/>
                      <wp:wrapNone/>
                      <wp:docPr id="179" name="Frame179"/>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3380" cy="175260"/>
                      <wp:effectExtent l="0" t="0" r="0" b="0"/>
                      <wp:wrapNone/>
                      <wp:docPr id="180" name="Frame180"/>
                      <a:graphic xmlns:a="http://schemas.openxmlformats.org/drawingml/2006/main">
                        <a:graphicData uri="http://schemas.microsoft.com/office/word/2010/wordprocessingShape">
                          <wps:wsp>
                            <wps:cNvSpPr txBox="1"/>
                            <wps:spPr>
                              <a:xfrm>
                                <a:off x="0" y="0"/>
                                <a:ext cx="3733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38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1694"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8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1694"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8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 </w:t>
            </w:r>
          </w:p>
        </w:tc>
        <w:tc>
          <w:tcPr>
            <w:tcW w:w="70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3" w:type="dxa"/>
            <w:tcBorders/>
            <w:shd w:fill="auto" w:val="clear"/>
            <w:vAlign w:val="center"/>
          </w:tcPr>
          <w:p>
            <w:pPr>
              <w:pStyle w:val="TableContents"/>
              <w:spacing w:lineRule="auto" w:line="285" w:before="0" w:after="0"/>
              <w:ind w:left="0" w:right="0" w:hanging="0"/>
              <w:rPr/>
            </w:pPr>
            <w:r>
              <w:rPr/>
              <w:t> </w:t>
            </w:r>
          </w:p>
        </w:tc>
        <w:tc>
          <w:tcPr>
            <w:tcW w:w="824"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Manufacturing and research and development services related to </w:t>
              <w:br/>
              <w:t>ex-US territory-specific activities</w:t>
            </w:r>
          </w:p>
        </w:tc>
        <w:tc>
          <w:tcPr>
            <w:tcW w:w="146" w:type="dxa"/>
            <w:tcBorders/>
            <w:shd w:fill="CCEEFF" w:val="clear"/>
            <w:vAlign w:val="center"/>
          </w:tcPr>
          <w:p>
            <w:pPr>
              <w:pStyle w:val="TableContents"/>
              <w:spacing w:lineRule="auto" w:line="285" w:before="0" w:after="0"/>
              <w:ind w:left="0" w:right="0" w:hanging="0"/>
              <w:rPr/>
            </w:pPr>
            <w:r>
              <w:rPr/>
              <w:t> </w:t>
            </w:r>
          </w:p>
        </w:tc>
        <w:tc>
          <w:tcPr>
            <w:tcW w:w="2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63" w:type="dxa"/>
            <w:tcBorders/>
            <w:shd w:fill="CCEEFF" w:val="clear"/>
            <w:vAlign w:val="center"/>
          </w:tcPr>
          <w:p>
            <w:pPr>
              <w:pStyle w:val="TableContents"/>
              <w:spacing w:lineRule="auto" w:line="285" w:before="0" w:after="0"/>
              <w:ind w:left="0" w:right="0" w:hanging="0"/>
              <w:rPr/>
            </w:pPr>
            <w:r>
              <w:rPr/>
              <w:t> </w:t>
            </w:r>
          </w:p>
        </w:tc>
        <w:tc>
          <w:tcPr>
            <w:tcW w:w="2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53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Royalty revenue</w:t>
            </w:r>
          </w:p>
        </w:tc>
        <w:tc>
          <w:tcPr>
            <w:tcW w:w="146" w:type="dxa"/>
            <w:tcBorders/>
            <w:shd w:fill="auto" w:val="clear"/>
            <w:vAlign w:val="center"/>
          </w:tcPr>
          <w:p>
            <w:pPr>
              <w:pStyle w:val="TableContents"/>
              <w:spacing w:lineRule="auto" w:line="285" w:before="0" w:after="0"/>
              <w:ind w:left="0" w:right="0" w:hanging="0"/>
              <w:rPr/>
            </w:pPr>
            <w:r>
              <w:rPr/>
              <w:t> </w:t>
            </w:r>
          </w:p>
        </w:tc>
        <w:tc>
          <w:tcPr>
            <w:tcW w:w="23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47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163" w:type="dxa"/>
            <w:tcBorders/>
            <w:shd w:fill="auto" w:val="clear"/>
            <w:vAlign w:val="center"/>
          </w:tcPr>
          <w:p>
            <w:pPr>
              <w:pStyle w:val="TableContents"/>
              <w:spacing w:lineRule="auto" w:line="285" w:before="0" w:after="0"/>
              <w:ind w:left="0" w:right="0" w:hanging="0"/>
              <w:rPr/>
            </w:pPr>
            <w:r>
              <w:rPr/>
              <w:t> </w:t>
            </w:r>
          </w:p>
        </w:tc>
        <w:tc>
          <w:tcPr>
            <w:tcW w:w="23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58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53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Roche pralsetinib collaboration revenue</w:t>
            </w:r>
          </w:p>
        </w:tc>
        <w:tc>
          <w:tcPr>
            <w:tcW w:w="146" w:type="dxa"/>
            <w:tcBorders/>
            <w:shd w:fill="CCEEFF" w:val="clear"/>
            <w:vAlign w:val="center"/>
          </w:tcPr>
          <w:p>
            <w:pPr>
              <w:pStyle w:val="TableContents"/>
              <w:spacing w:lineRule="auto" w:line="285" w:before="0" w:after="0"/>
              <w:ind w:left="0" w:right="0" w:hanging="0"/>
              <w:rPr/>
            </w:pPr>
            <w:r>
              <w:rPr/>
              <w:t> </w:t>
            </w:r>
          </w:p>
        </w:tc>
        <w:tc>
          <w:tcPr>
            <w:tcW w:w="23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47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63" w:type="dxa"/>
            <w:tcBorders/>
            <w:shd w:fill="CCEEFF" w:val="clear"/>
            <w:vAlign w:val="center"/>
          </w:tcPr>
          <w:p>
            <w:pPr>
              <w:pStyle w:val="TableContents"/>
              <w:spacing w:lineRule="auto" w:line="285" w:before="0" w:after="0"/>
              <w:ind w:left="0" w:right="0" w:hanging="0"/>
              <w:rPr/>
            </w:pPr>
            <w:r>
              <w:rPr/>
              <w:t> </w:t>
            </w:r>
          </w:p>
        </w:tc>
        <w:tc>
          <w:tcPr>
            <w:tcW w:w="23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942</w:t>
            </w:r>
          </w:p>
        </w:tc>
      </w:tr>
    </w:tbl>
    <w:p>
      <w:pPr>
        <w:pStyle w:val="TextBody"/>
        <w:spacing w:lineRule="auto" w:line="285" w:before="0" w:after="0"/>
        <w:ind w:left="0" w:right="0" w:firstLine="720"/>
        <w:rPr/>
      </w:pPr>
      <w:r>
        <w:rPr/>
        <w:t>​</w:t>
      </w:r>
    </w:p>
    <w:p>
      <w:pPr>
        <w:pStyle w:val="TextBody"/>
        <w:spacing w:lineRule="auto" w:line="285" w:before="0" w:after="0"/>
        <w:ind w:left="0" w:right="0" w:firstLine="72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 Prior to July 1, 2021, the Company was the principal for product sales to customers in the U.S. and recognized revenues on sales to third parties in product revenue, net in its consolidated statements of operations and comprehensive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loss.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the amount recognized from loss sharing from product sales of GAVRETO to customers in the U.S. during the three months ended March 31, 2023 and 2022 (in thousands): </w:t>
      </w:r>
    </w:p>
    <w:p>
      <w:pPr>
        <w:pStyle w:val="TextBody"/>
        <w:spacing w:lineRule="auto" w:line="285" w:before="0" w:after="0"/>
        <w:ind w:left="0" w:right="0" w:hanging="0"/>
        <w:rPr/>
      </w:pPr>
      <w:r>
        <w:rPr/>
        <w:t>​</w:t>
      </w:r>
    </w:p>
    <w:tbl>
      <w:tblPr>
        <w:tblW w:w="6687" w:type="dxa"/>
        <w:jc w:val="left"/>
        <w:tblInd w:w="0" w:type="dxa"/>
        <w:tblCellMar>
          <w:top w:w="0" w:type="dxa"/>
          <w:left w:w="0" w:type="dxa"/>
          <w:bottom w:w="0" w:type="dxa"/>
          <w:right w:w="0" w:type="dxa"/>
        </w:tblCellMar>
      </w:tblPr>
      <w:tblGrid>
        <w:gridCol w:w="4486"/>
        <w:gridCol w:w="266"/>
        <w:gridCol w:w="211"/>
        <w:gridCol w:w="571"/>
        <w:gridCol w:w="266"/>
        <w:gridCol w:w="211"/>
        <w:gridCol w:w="676"/>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848610" cy="175260"/>
                      <wp:effectExtent l="0" t="0" r="0" b="0"/>
                      <wp:wrapNone/>
                      <wp:docPr id="181" name="Frame181"/>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8910" cy="175260"/>
                      <wp:effectExtent l="0" t="0" r="0" b="0"/>
                      <wp:wrapNone/>
                      <wp:docPr id="182" name="Frame18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84" name="Frame18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8910" cy="175260"/>
                      <wp:effectExtent l="0" t="0" r="0" b="0"/>
                      <wp:wrapNone/>
                      <wp:docPr id="185" name="Frame18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7" name="Frame18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193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48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   </w:t>
            </w:r>
          </w:p>
        </w:tc>
        <w:tc>
          <w:tcPr>
            <w:tcW w:w="193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48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Company's share of loss in the U.S. for pralsetinib</w:t>
            </w:r>
          </w:p>
        </w:tc>
        <w:tc>
          <w:tcPr>
            <w:tcW w:w="26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26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3,265</w:t>
            </w:r>
          </w:p>
        </w:tc>
      </w:tr>
    </w:tbl>
    <w:p>
      <w:pPr>
        <w:pStyle w:val="TextBody"/>
        <w:spacing w:lineRule="auto" w:line="285" w:before="0" w:after="0"/>
        <w:ind w:left="0" w:right="0" w:firstLine="720"/>
        <w:rPr/>
      </w:pPr>
      <w:r>
        <w:rPr/>
        <w:t>​</w:t>
      </w:r>
    </w:p>
    <w:p>
      <w:pPr>
        <w:pStyle w:val="TextBody"/>
        <w:spacing w:lineRule="auto" w:line="285" w:before="0" w:after="0"/>
        <w:ind w:left="0" w:right="0" w:firstLine="72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bookmarkStart w:id="770" w:name="Tc_oawcL95UEEqHxfG9vLYkqA_4_5"/>
      <w:bookmarkStart w:id="771" w:name="Tc_gCbc51sRwE-_GA0OI1UIQQ_4_2"/>
      <w:bookmarkStart w:id="772" w:name="Tc_zx4FU6J4c0WQ22F9RhDL5w_4_0"/>
      <w:bookmarkStart w:id="773" w:name="Tc_T10vWmh6zEiWKxwp9UqpYg_3_6"/>
      <w:bookmarkStart w:id="774" w:name="Tc_BMBm5av1QEKKaJ5RHAozHw_3_5"/>
      <w:bookmarkStart w:id="775" w:name="Tc_tHaDintbe0qZ-uP4LHScgA_3_2"/>
      <w:bookmarkStart w:id="776" w:name="Tc_by83AcA9HkWNYWW47_U_Vw_3_0"/>
      <w:bookmarkStart w:id="777" w:name="Tc_E1jj9Dwv7kCZq9oAZ2Zcbg_2_5"/>
      <w:bookmarkStart w:id="778" w:name="Tc_by_ajUbU8EGV2RXIxuaCfw_2_2"/>
      <w:bookmarkStart w:id="779" w:name="Tc_BbpEhPlbk0OmZaV7fXJg0g_1_5"/>
      <w:bookmarkStart w:id="780" w:name="Tc_MWy7-zVoRUCICh52ZVlPmg_1_2"/>
      <w:bookmarkStart w:id="781" w:name="_ae5bef59_caac_4227_9802_22a61cb455c4"/>
      <w:bookmarkStart w:id="782" w:name="Tc_pSLccF7RO06xKXMEn2Dweg_5_5"/>
      <w:bookmarkStart w:id="783" w:name="Tc_v9ri9UJYd0-8zjCJYnKUbg_5_2"/>
      <w:bookmarkStart w:id="784" w:name="Tc_OSw1vU8uokKSleRZnlbqeQ_5_0"/>
      <w:bookmarkStart w:id="785" w:name="Tc_l5TQOqTCuEyVHwrL_bAfXA_4_5"/>
      <w:bookmarkStart w:id="786" w:name="Tc_yER_HHgnlUmSqRIi9BhG4Q_4_2"/>
      <w:bookmarkStart w:id="787" w:name="Tc_THtcQngcvUCNHf6I_YOzDw_4_0"/>
      <w:bookmarkStart w:id="788" w:name="Tc_QR0CflonkEeZxAjBPRpnOA_3_5"/>
      <w:bookmarkStart w:id="789" w:name="Tc_M4LpqpFXiUOCakw9K9EY0Q_3_2"/>
      <w:bookmarkStart w:id="790" w:name="Tc_YKY2R9z8dEanDWbzcAunnA_2_2"/>
      <w:bookmarkStart w:id="791" w:name="Tc_ou7NfzSMpkC13XQxAo7WIg_1_2"/>
      <w:bookmarkStart w:id="792" w:name="_00025dc3_85e2_44ee_8e6d_8ae36a4434b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sz w:val="20"/>
        </w:rPr>
        <w:t xml:space="preserve">The following table summarizes the amounts recognized as reductions to selling, general and administrative expenses related to the commercialization of GAVRETO in the U.S. and reductions to or increases in research and development expenses related to global development activities for pralsetinib under the Roche pralsetinib collaboration during the three months ended March 31, 2023 and 2022 (in thousands): </w:t>
      </w:r>
    </w:p>
    <w:p>
      <w:pPr>
        <w:pStyle w:val="TextBody"/>
        <w:spacing w:lineRule="auto" w:line="285" w:before="0" w:after="0"/>
        <w:ind w:left="0" w:right="0" w:hanging="0"/>
        <w:rPr/>
      </w:pPr>
      <w:r>
        <w:rPr/>
        <w:t>​</w:t>
      </w:r>
    </w:p>
    <w:tbl>
      <w:tblPr>
        <w:tblW w:w="7617" w:type="dxa"/>
        <w:jc w:val="left"/>
        <w:tblInd w:w="0" w:type="dxa"/>
        <w:tblCellMar>
          <w:top w:w="0" w:type="dxa"/>
          <w:left w:w="0" w:type="dxa"/>
          <w:bottom w:w="0" w:type="dxa"/>
          <w:right w:w="0" w:type="dxa"/>
        </w:tblCellMar>
      </w:tblPr>
      <w:tblGrid>
        <w:gridCol w:w="5356"/>
        <w:gridCol w:w="266"/>
        <w:gridCol w:w="211"/>
        <w:gridCol w:w="691"/>
        <w:gridCol w:w="266"/>
        <w:gridCol w:w="211"/>
        <w:gridCol w:w="616"/>
      </w:tblGrid>
      <w:tr>
        <w:trPr/>
        <w:tc>
          <w:tcPr>
            <w:tcW w:w="5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01060" cy="175260"/>
                      <wp:effectExtent l="0" t="0" r="0" b="0"/>
                      <wp:wrapNone/>
                      <wp:docPr id="188" name="Frame188"/>
                      <a:graphic xmlns:a="http://schemas.openxmlformats.org/drawingml/2006/main">
                        <a:graphicData uri="http://schemas.microsoft.com/office/word/2010/wordprocessingShape">
                          <wps:wsp>
                            <wps:cNvSpPr txBox="1"/>
                            <wps:spPr>
                              <a:xfrm>
                                <a:off x="0" y="0"/>
                                <a:ext cx="34010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8910" cy="175260"/>
                      <wp:effectExtent l="0" t="0" r="0" b="0"/>
                      <wp:wrapNone/>
                      <wp:docPr id="189" name="Frame18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91" name="Frame19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8910" cy="175260"/>
                      <wp:effectExtent l="0" t="0" r="0" b="0"/>
                      <wp:wrapNone/>
                      <wp:docPr id="192" name="Frame19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91160" cy="175260"/>
                      <wp:effectExtent l="0" t="0" r="0" b="0"/>
                      <wp:wrapNone/>
                      <wp:docPr id="194" name="Frame194"/>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35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199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5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199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5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0" w:after="0"/>
              <w:ind w:left="0" w:right="0" w:hanging="0"/>
              <w:rPr/>
            </w:pPr>
            <w:r>
              <w:rPr/>
              <w:t>   </w:t>
            </w:r>
          </w:p>
        </w:tc>
        <w:tc>
          <w:tcPr>
            <w:tcW w:w="82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5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Reductions to selling, general and administrative expenses </w:t>
            </w:r>
          </w:p>
        </w:tc>
        <w:tc>
          <w:tcPr>
            <w:tcW w:w="26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26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4,832</w:t>
            </w:r>
          </w:p>
        </w:tc>
      </w:tr>
      <w:tr>
        <w:trPr/>
        <w:tc>
          <w:tcPr>
            <w:tcW w:w="535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Reductions to (increases in) research and development expenses </w:t>
            </w:r>
          </w:p>
        </w:tc>
        <w:tc>
          <w:tcPr>
            <w:tcW w:w="26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(8,276)</w:t>
            </w:r>
          </w:p>
        </w:tc>
        <w:tc>
          <w:tcPr>
            <w:tcW w:w="26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auto" w:val="cle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contract assets and liability associated with the Roche pralsetinib collaboration as of March 31, 2023 and December 31, 2022 (in thousands):</w:t>
      </w:r>
    </w:p>
    <w:p>
      <w:pPr>
        <w:pStyle w:val="TextBody"/>
        <w:spacing w:lineRule="auto" w:line="285" w:before="0" w:after="0"/>
        <w:ind w:left="0" w:right="0" w:hanging="0"/>
        <w:rPr/>
      </w:pPr>
      <w:r>
        <w:rPr/>
        <w:t>​</w:t>
      </w:r>
    </w:p>
    <w:tbl>
      <w:tblPr>
        <w:tblW w:w="5063" w:type="dxa"/>
        <w:jc w:val="left"/>
        <w:tblInd w:w="0" w:type="dxa"/>
        <w:tblCellMar>
          <w:top w:w="0" w:type="dxa"/>
          <w:left w:w="0" w:type="dxa"/>
          <w:bottom w:w="0" w:type="dxa"/>
          <w:right w:w="0" w:type="dxa"/>
        </w:tblCellMar>
      </w:tblPr>
      <w:tblGrid>
        <w:gridCol w:w="2491"/>
        <w:gridCol w:w="266"/>
        <w:gridCol w:w="242"/>
        <w:gridCol w:w="658"/>
        <w:gridCol w:w="266"/>
        <w:gridCol w:w="271"/>
        <w:gridCol w:w="869"/>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81785" cy="175260"/>
                      <wp:effectExtent l="0" t="0" r="0" b="0"/>
                      <wp:wrapNone/>
                      <wp:docPr id="195" name="Frame195"/>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8910" cy="175260"/>
                      <wp:effectExtent l="0" t="0" r="0" b="0"/>
                      <wp:wrapNone/>
                      <wp:docPr id="196" name="Frame19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3670" cy="175260"/>
                      <wp:effectExtent l="0" t="0" r="0" b="0"/>
                      <wp:wrapNone/>
                      <wp:docPr id="197" name="Frame197"/>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17830" cy="175260"/>
                      <wp:effectExtent l="0" t="0" r="0" b="0"/>
                      <wp:wrapNone/>
                      <wp:docPr id="198" name="Frame198"/>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8910" cy="175260"/>
                      <wp:effectExtent l="0" t="0" r="0" b="0"/>
                      <wp:wrapNone/>
                      <wp:docPr id="199" name="Frame19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2085" cy="175260"/>
                      <wp:effectExtent l="0" t="0" r="0" b="0"/>
                      <wp:wrapNone/>
                      <wp:docPr id="200" name="Frame20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1815" cy="175260"/>
                      <wp:effectExtent l="0" t="0" r="0" b="0"/>
                      <wp:wrapNone/>
                      <wp:docPr id="201" name="Frame201"/>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shd w:fill="auto" w:val="clear"/>
            <w:vAlign w:val="center"/>
          </w:tcPr>
          <w:p>
            <w:pPr>
              <w:pStyle w:val="TableContents"/>
              <w:spacing w:lineRule="auto" w:line="285" w:before="0" w:after="0"/>
              <w:ind w:left="0" w:right="0" w:hanging="0"/>
              <w:jc w:val="center"/>
              <w:rPr/>
            </w:pPr>
            <w:r>
              <w:rPr/>
              <w:t>​</w:t>
            </w:r>
          </w:p>
        </w:tc>
        <w:tc>
          <w:tcPr>
            <w:tcW w:w="114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0" w:after="0"/>
              <w:ind w:left="0" w:right="0" w:hanging="0"/>
              <w:jc w:val="center"/>
              <w:rPr/>
            </w:pPr>
            <w:r>
              <w:rPr/>
              <w:t>​</w:t>
            </w:r>
          </w:p>
        </w:tc>
        <w:tc>
          <w:tcPr>
            <w:tcW w:w="114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shd w:fill="CCEEFF" w:val="clear"/>
            <w:vAlign w:val="center"/>
          </w:tcPr>
          <w:p>
            <w:pPr>
              <w:pStyle w:val="TableContents"/>
              <w:spacing w:lineRule="auto" w:line="285" w:before="0" w:after="0"/>
              <w:ind w:left="0" w:right="0" w:hanging="0"/>
              <w:rPr/>
            </w:pPr>
            <w:r>
              <w:rPr/>
              <w:t>   </w:t>
            </w:r>
          </w:p>
        </w:tc>
        <w:tc>
          <w:tcPr>
            <w:tcW w:w="24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266" w:type="dxa"/>
            <w:tcBorders/>
            <w:shd w:fill="CCEEFF" w:val="clear"/>
            <w:vAlign w:val="center"/>
          </w:tcPr>
          <w:p>
            <w:pPr>
              <w:pStyle w:val="TableContents"/>
              <w:spacing w:lineRule="auto" w:line="285" w:before="0" w:after="0"/>
              <w:ind w:left="0" w:right="0" w:hanging="0"/>
              <w:rPr/>
            </w:pPr>
            <w:r>
              <w:rPr/>
              <w:t>   </w:t>
            </w:r>
          </w:p>
        </w:tc>
        <w:tc>
          <w:tcPr>
            <w:tcW w:w="27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lineRule="auto" w:line="285" w:before="0" w:after="0"/>
              <w:ind w:left="0" w:right="0" w:hanging="0"/>
              <w:jc w:val="right"/>
              <w:rPr/>
            </w:pPr>
            <w:r>
              <w:rPr/>
              <w:t>—</w:t>
            </w:r>
          </w:p>
        </w:tc>
      </w:tr>
      <w:tr>
        <w:trPr/>
        <w:tc>
          <w:tcPr>
            <w:tcW w:w="24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266" w:type="dxa"/>
            <w:tcBorders/>
            <w:shd w:fill="auto" w:val="clear"/>
            <w:vAlign w:val="center"/>
          </w:tcPr>
          <w:p>
            <w:pPr>
              <w:pStyle w:val="TableContents"/>
              <w:spacing w:lineRule="auto" w:line="285" w:before="0" w:after="0"/>
              <w:ind w:left="0" w:right="0" w:hanging="0"/>
              <w:rPr/>
            </w:pPr>
            <w:r>
              <w:rPr/>
              <w:t>   </w:t>
            </w:r>
          </w:p>
        </w:tc>
        <w:tc>
          <w:tcPr>
            <w:tcW w:w="24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9,747</w:t>
            </w:r>
          </w:p>
        </w:tc>
        <w:tc>
          <w:tcPr>
            <w:tcW w:w="266" w:type="dxa"/>
            <w:tcBorders/>
            <w:shd w:fill="auto" w:val="clear"/>
            <w:vAlign w:val="center"/>
          </w:tcPr>
          <w:p>
            <w:pPr>
              <w:pStyle w:val="TableContents"/>
              <w:spacing w:lineRule="auto" w:line="285" w:before="0" w:after="0"/>
              <w:ind w:left="0" w:right="0" w:hanging="0"/>
              <w:rPr/>
            </w:pPr>
            <w:r>
              <w:rPr/>
              <w:t>   </w:t>
            </w:r>
          </w:p>
        </w:tc>
        <w:tc>
          <w:tcPr>
            <w:tcW w:w="27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6,519</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earned related to the Roche Territory activities under the Roche pralsetinib collaboration agreement as collaboration revenue on its consolidated statements of operations and comprehensive loss. For additional information, see Note 3 –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Clementia</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March 31, 2023, the Company has received an aggregate of $50.0 million in cash milestone payments. Subject to the terms of the Clementia agreement, in addition to the upfront and milestone payments received through March 31, 2023,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The Company recognized revenue in a total of $46.2 million related to the license and the technology transfer and inventory transfer in 2019 and $0.3 million related to remaining inventory transfer in 2020.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no revenue was recognized from the Clementia collaboration. During the three months ended March 31,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There was no revenue deferred as a contract liability associated with the Clementia agreement as of March 31, 2023 and December 31, 2022.</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CStone Pharmaceuticals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March 31, 2023, the Company has achieved an aggregate of $29.5 million in milestones under this collaboration. Subject to the terms of the CStone agreement, in addition to the upfront payments received and milestones achieved through March 31, 2023, the Company will be eligible to receive up to $316.5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months ended March 31, 2023. During the three months ended March 31, 2022, the Company recognized a reduction of $0.5 million in expenses related to manufacturing and research and development activities, net of expenses payable to CStone.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bookmarkStart w:id="793" w:name="Tc_frMlPyUe7UK8Pl0n55fx-A_5_5"/>
      <w:bookmarkStart w:id="794" w:name="Tc_KmzyooSxqE6-cERYgSJVdA_5_2"/>
      <w:bookmarkStart w:id="795" w:name="Tc_KvcaPJOiKUiH_9U8aUVDNw_5_0"/>
      <w:bookmarkStart w:id="796" w:name="Tc_y4SaWBIeSkKfzEhjveuGpw_4_0"/>
      <w:bookmarkStart w:id="797" w:name="Tc_vfunAl_R6EyVYEkjz1aXGA_3_5"/>
      <w:bookmarkStart w:id="798" w:name="Tc_cJ8J3q1DlEST0aaB0gSARw_3_2"/>
      <w:bookmarkStart w:id="799" w:name="Tc_NvbZ7J3kFUeGp7ELn8RlyA_3_0"/>
      <w:bookmarkStart w:id="800" w:name="Tc_G-bIWH4X_EKyJvzw0lnLrQ_2_5"/>
      <w:bookmarkStart w:id="801" w:name="Tc_hpJ-hQfD_Ey6Humi7IQmdQ_2_2"/>
      <w:bookmarkStart w:id="802" w:name="Tc_1EOjzADZGkGzlwF_ztnwnA_1_5"/>
      <w:bookmarkStart w:id="803" w:name="Tc_o7eQuFd-0EGgSBjCb6kjGA_1_2"/>
      <w:bookmarkStart w:id="804" w:name="Tc_LH7ZBeLn3k-HUmEN2f-f8w_6_5"/>
      <w:bookmarkStart w:id="805" w:name="Tc_eAvC3WR4W0upioF6ce1WAQ_6_2"/>
      <w:bookmarkStart w:id="806" w:name="Tc_CuF42VS73UWm0I8qV0Xn7g_6_0"/>
      <w:bookmarkStart w:id="807" w:name="Tc_wXLsMmuudUuJNCGaXnoi4A_5_0"/>
      <w:bookmarkStart w:id="808" w:name="Tc_tinMde38pUuksWqlhRsMUg_4_5"/>
      <w:bookmarkStart w:id="809" w:name="Tc_b4xZzshqIUWWtZAYXLi5dg_4_3"/>
      <w:bookmarkStart w:id="810" w:name="Tc_oGZNGyA9YEauKVaQefXN_g_4_2"/>
      <w:bookmarkStart w:id="811" w:name="Tc__z7Vd7XfZ02BxPVm8eER-w_4_0"/>
      <w:bookmarkStart w:id="812" w:name="Tc_PI9WewQgqkKldxKwOsrYHQ_3_5"/>
      <w:bookmarkStart w:id="813" w:name="Tc_m2jKiwEKzUe4SB-FceSi5w_3_2"/>
      <w:bookmarkStart w:id="814" w:name="Tc_3cWfHKCeQ06fyQw3DcGtGQ_2_2"/>
      <w:bookmarkStart w:id="815" w:name="Tc_da1ceh1lKE6jFBsYXLsmxg_1_2"/>
      <w:bookmarkStart w:id="816" w:name="_d88ec593_5a02_4dba_bad7_805e5d135439"/>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did not achieve any milestones under the CStone agreement during the three months ended March 31, 2023. During the three months ended March 31, 2022, cash consideration associated with achieved regulatory and development milestone of $4.0 million was added to the estimated transaction price for the CStone agreement and recognized as revenue.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Subsequently, the Company entered into manufacturing technology transfer agreements for avapritinib and pralsetinib, respectively, related to supply of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months ended March 31, 2023 and 2022 is as follows (in thousands): </w:t>
      </w:r>
    </w:p>
    <w:p>
      <w:pPr>
        <w:pStyle w:val="TextBody"/>
        <w:spacing w:lineRule="auto" w:line="285" w:before="0" w:after="0"/>
        <w:ind w:left="0" w:right="0" w:hanging="0"/>
        <w:rPr/>
      </w:pPr>
      <w:r>
        <w:rPr/>
        <w:t>​</w:t>
      </w:r>
    </w:p>
    <w:tbl>
      <w:tblPr>
        <w:tblW w:w="9440" w:type="dxa"/>
        <w:jc w:val="left"/>
        <w:tblInd w:w="0" w:type="dxa"/>
        <w:tblCellMar>
          <w:top w:w="0" w:type="dxa"/>
          <w:left w:w="0" w:type="dxa"/>
          <w:bottom w:w="0" w:type="dxa"/>
          <w:right w:w="0" w:type="dxa"/>
        </w:tblCellMar>
      </w:tblPr>
      <w:tblGrid>
        <w:gridCol w:w="7336"/>
        <w:gridCol w:w="109"/>
        <w:gridCol w:w="211"/>
        <w:gridCol w:w="571"/>
        <w:gridCol w:w="326"/>
        <w:gridCol w:w="211"/>
        <w:gridCol w:w="676"/>
      </w:tblGrid>
      <w:tr>
        <w:trPr/>
        <w:tc>
          <w:tcPr>
            <w:tcW w:w="7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658360" cy="175260"/>
                      <wp:effectExtent l="0" t="0" r="0" b="0"/>
                      <wp:wrapNone/>
                      <wp:docPr id="202" name="Frame202"/>
                      <a:graphic xmlns:a="http://schemas.openxmlformats.org/drawingml/2006/main">
                        <a:graphicData uri="http://schemas.microsoft.com/office/word/2010/wordprocessingShape">
                          <wps:wsp>
                            <wps:cNvSpPr txBox="1"/>
                            <wps:spPr>
                              <a:xfrm>
                                <a:off x="0" y="0"/>
                                <a:ext cx="46583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62585" cy="175260"/>
                      <wp:effectExtent l="0" t="0" r="0" b="0"/>
                      <wp:wrapNone/>
                      <wp:docPr id="205" name="Frame20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733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99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3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99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3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License milestone revenue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73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5,212</w:t>
            </w:r>
          </w:p>
        </w:tc>
      </w:tr>
      <w:tr>
        <w:trPr/>
        <w:tc>
          <w:tcPr>
            <w:tcW w:w="73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CStone collaboration revenue</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9,212</w:t>
            </w:r>
          </w:p>
        </w:tc>
      </w:tr>
    </w:tbl>
    <w:p>
      <w:pPr>
        <w:pStyle w:val="TextBody"/>
        <w:spacing w:lineRule="auto" w:line="285" w:before="0" w:after="0"/>
        <w:ind w:left="0" w:right="0" w:hanging="0"/>
        <w:rPr/>
      </w:pPr>
      <w:r>
        <w:rPr/>
        <w:t>​</w:t>
      </w:r>
    </w:p>
    <w:p>
      <w:pPr>
        <w:pStyle w:val="TextBody"/>
        <w:spacing w:lineRule="auto" w:line="285" w:before="0" w:after="0"/>
        <w:ind w:left="0" w:right="0" w:firstLine="72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contract assets associated with the CStone collaboration as of March 31, 2023 and December 31, 2022 (in thousands):</w:t>
      </w:r>
    </w:p>
    <w:p>
      <w:pPr>
        <w:pStyle w:val="TextBody"/>
        <w:spacing w:lineRule="auto" w:line="285" w:before="0" w:after="0"/>
        <w:ind w:left="0" w:right="0" w:hanging="0"/>
        <w:rPr/>
      </w:pPr>
      <w:r>
        <w:rPr/>
        <w:t>​</w:t>
      </w:r>
    </w:p>
    <w:tbl>
      <w:tblPr>
        <w:tblW w:w="5063" w:type="dxa"/>
        <w:jc w:val="left"/>
        <w:tblInd w:w="0" w:type="dxa"/>
        <w:tblCellMar>
          <w:top w:w="0" w:type="dxa"/>
          <w:left w:w="0" w:type="dxa"/>
          <w:bottom w:w="0" w:type="dxa"/>
          <w:right w:w="0" w:type="dxa"/>
        </w:tblCellMar>
      </w:tblPr>
      <w:tblGrid>
        <w:gridCol w:w="2491"/>
        <w:gridCol w:w="266"/>
        <w:gridCol w:w="242"/>
        <w:gridCol w:w="658"/>
        <w:gridCol w:w="266"/>
        <w:gridCol w:w="271"/>
        <w:gridCol w:w="869"/>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81785" cy="175260"/>
                      <wp:effectExtent l="0" t="0" r="0" b="0"/>
                      <wp:wrapNone/>
                      <wp:docPr id="209" name="Frame209"/>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8910" cy="175260"/>
                      <wp:effectExtent l="0" t="0" r="0" b="0"/>
                      <wp:wrapNone/>
                      <wp:docPr id="210" name="Frame21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3670" cy="175260"/>
                      <wp:effectExtent l="0" t="0" r="0" b="0"/>
                      <wp:wrapNone/>
                      <wp:docPr id="211" name="Frame211"/>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7830" cy="175260"/>
                      <wp:effectExtent l="0" t="0" r="0" b="0"/>
                      <wp:wrapNone/>
                      <wp:docPr id="212" name="Frame212"/>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8910" cy="175260"/>
                      <wp:effectExtent l="0" t="0" r="0" b="0"/>
                      <wp:wrapNone/>
                      <wp:docPr id="213" name="Frame21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2085" cy="175260"/>
                      <wp:effectExtent l="0" t="0" r="0" b="0"/>
                      <wp:wrapNone/>
                      <wp:docPr id="214" name="Frame21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51815" cy="175260"/>
                      <wp:effectExtent l="0" t="0" r="0" b="0"/>
                      <wp:wrapNone/>
                      <wp:docPr id="215" name="Frame215"/>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90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shd w:fill="auto" w:val="clear"/>
            <w:vAlign w:val="center"/>
          </w:tcPr>
          <w:p>
            <w:pPr>
              <w:pStyle w:val="TableContents"/>
              <w:spacing w:lineRule="auto" w:line="285" w:before="0" w:after="0"/>
              <w:ind w:left="0" w:right="0" w:hanging="0"/>
              <w:rPr/>
            </w:pPr>
            <w:r>
              <w:rPr/>
              <w:t>​</w:t>
            </w:r>
          </w:p>
        </w:tc>
        <w:tc>
          <w:tcPr>
            <w:tcW w:w="1140"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9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spacing w:lineRule="auto" w:line="285" w:before="0" w:after="0"/>
              <w:ind w:left="0" w:right="0" w:hanging="0"/>
              <w:rPr/>
            </w:pPr>
            <w:r>
              <w:rPr/>
              <w:t>   </w:t>
            </w:r>
          </w:p>
        </w:tc>
        <w:tc>
          <w:tcPr>
            <w:tcW w:w="24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1,983</w:t>
            </w:r>
          </w:p>
        </w:tc>
        <w:tc>
          <w:tcPr>
            <w:tcW w:w="266" w:type="dxa"/>
            <w:tcBorders/>
            <w:shd w:fill="CCEEFF" w:val="clear"/>
            <w:vAlign w:val="center"/>
          </w:tcPr>
          <w:p>
            <w:pPr>
              <w:pStyle w:val="TableContents"/>
              <w:spacing w:lineRule="auto" w:line="285" w:before="0" w:after="0"/>
              <w:ind w:left="0" w:right="0" w:hanging="0"/>
              <w:rPr/>
            </w:pPr>
            <w:r>
              <w:rPr/>
              <w:t>   </w:t>
            </w:r>
          </w:p>
        </w:tc>
        <w:tc>
          <w:tcPr>
            <w:tcW w:w="27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4,991</w:t>
            </w:r>
          </w:p>
        </w:tc>
      </w:tr>
      <w:tr>
        <w:trPr/>
        <w:tc>
          <w:tcPr>
            <w:tcW w:w="24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Unbilled accounts receivable</w:t>
            </w:r>
          </w:p>
        </w:tc>
        <w:tc>
          <w:tcPr>
            <w:tcW w:w="266" w:type="dxa"/>
            <w:tcBorders/>
            <w:shd w:fill="auto" w:val="clear"/>
            <w:vAlign w:val="center"/>
          </w:tcPr>
          <w:p>
            <w:pPr>
              <w:pStyle w:val="TableContents"/>
              <w:spacing w:lineRule="auto" w:line="285" w:before="0" w:after="0"/>
              <w:ind w:left="0" w:right="0" w:hanging="0"/>
              <w:rPr/>
            </w:pPr>
            <w:r>
              <w:rPr/>
              <w:t>   </w:t>
            </w:r>
          </w:p>
        </w:tc>
        <w:tc>
          <w:tcPr>
            <w:tcW w:w="242" w:type="dxa"/>
            <w:tcBorders/>
            <w:shd w:fill="auto" w:val="clear"/>
            <w:vAlign w:val="center"/>
          </w:tcPr>
          <w:p>
            <w:pPr>
              <w:pStyle w:val="TableContents"/>
              <w:spacing w:lineRule="auto" w:line="285" w:before="0" w:after="0"/>
              <w:ind w:left="0" w:right="0" w:hanging="0"/>
              <w:rPr/>
            </w:pPr>
            <w:r>
              <w:rPr/>
              <w:t>​</w:t>
            </w:r>
          </w:p>
        </w:tc>
        <w:tc>
          <w:tcPr>
            <w:tcW w:w="6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266" w:type="dxa"/>
            <w:tcBorders/>
            <w:shd w:fill="auto" w:val="clear"/>
            <w:vAlign w:val="center"/>
          </w:tcPr>
          <w:p>
            <w:pPr>
              <w:pStyle w:val="TableContents"/>
              <w:spacing w:lineRule="auto" w:line="285" w:before="0" w:after="0"/>
              <w:ind w:left="0" w:right="0" w:hanging="0"/>
              <w:rPr/>
            </w:pPr>
            <w:r>
              <w:rPr/>
              <w:t>   </w:t>
            </w:r>
          </w:p>
        </w:tc>
        <w:tc>
          <w:tcPr>
            <w:tcW w:w="271" w:type="dxa"/>
            <w:tcBorders/>
            <w:shd w:fill="auto" w:val="clear"/>
            <w:vAlign w:val="center"/>
          </w:tcPr>
          <w:p>
            <w:pPr>
              <w:pStyle w:val="TableContents"/>
              <w:spacing w:lineRule="auto" w:line="285" w:before="0" w:after="0"/>
              <w:ind w:left="0" w:right="0" w:hanging="0"/>
              <w:rPr/>
            </w:pPr>
            <w:r>
              <w:rPr/>
              <w:t>​</w:t>
            </w:r>
          </w:p>
        </w:tc>
        <w:tc>
          <w:tcPr>
            <w:tcW w:w="869"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24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Contract liability</w:t>
            </w:r>
          </w:p>
        </w:tc>
        <w:tc>
          <w:tcPr>
            <w:tcW w:w="266" w:type="dxa"/>
            <w:tcBorders/>
            <w:shd w:fill="CCEEFF" w:val="clear"/>
            <w:vAlign w:val="center"/>
          </w:tcPr>
          <w:p>
            <w:pPr>
              <w:pStyle w:val="TableContents"/>
              <w:spacing w:lineRule="auto" w:line="285" w:before="0" w:after="0"/>
              <w:ind w:left="0" w:right="0" w:hanging="0"/>
              <w:rPr/>
            </w:pPr>
            <w:r>
              <w:rPr/>
              <w:t>   </w:t>
            </w:r>
          </w:p>
        </w:tc>
        <w:tc>
          <w:tcPr>
            <w:tcW w:w="24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3,518</w:t>
            </w:r>
          </w:p>
        </w:tc>
        <w:tc>
          <w:tcPr>
            <w:tcW w:w="266" w:type="dxa"/>
            <w:tcBorders/>
            <w:shd w:fill="CCEEFF" w:val="clear"/>
            <w:vAlign w:val="center"/>
          </w:tcPr>
          <w:p>
            <w:pPr>
              <w:pStyle w:val="TableContents"/>
              <w:spacing w:lineRule="auto" w:line="285" w:before="0" w:after="0"/>
              <w:ind w:left="0" w:right="0" w:hanging="0"/>
              <w:rPr/>
            </w:pPr>
            <w:r>
              <w:rPr/>
              <w:t>   </w:t>
            </w:r>
          </w:p>
        </w:tc>
        <w:tc>
          <w:tcPr>
            <w:tcW w:w="27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2,265</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Contract liability associated with the CStone collaboration as of March 31, 2023 and December 31, 2022 resulted primarily from advance payments made by CStone in connection with commercial supply of pralsetinib for the CStone Territory.</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Roche – Immunotherapy Collaboration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Under the Roche immunotherapy agreement, Roche was originally granted up to five option rights to obtain an exclusive license to exploit products derived from the collaboration programs in the field of cancer immunotherapy. As a result of amendments to the Roche immunotherapy agreement in prior reporting periods and following the ending of the option period for one of the collaboration programs in February 2023, the Company and Roche are currently conducting activities only for the development program for the kinase target MAP4K1 (BLU-852) under the collaboration. Effective April 30, 2023, the Company and Roche entered into a mutual termination agreement, pursuant to which the rights and licenses granted by the Company to Roche under the Roche immunotherapy agreement related to MAP4K1 have terminated in their entirety. Certain licenses granted by Roche to the Company survived and became exclusive, worldwide, perpetual, royalty-free and irrevocable. Further, the Company retained ownership of the collaboration compounds directed to MAP4K1 and all other previously terminated kinase targets developed under the collaboration.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received an upfront cash payment of $45.0 million, and through March 31, 2023, the Company has achieved an aggregate of $25.0 million in milestone payments under this collaboration. The upfront cash payment and any payments for milestones, option fees and royalties are non-refundable, non-creditable and not subject to set-off.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Under the Roche immunotherapy agreement, in order to evaluate the appropriate transaction price, the Company determined that as of January 1, 2018, the upfront amount of $45.0 million constituted the entirety of the consideration to be included in the transaction price at the outset of the arrangement, which was allocated to the single performance obligation. All potential milestone payments were initially excluded from the transaction price, as all milestone amounts were fully constrained based on the probability of achievement. Through March 31, 2023, the Company has achieved an aggregate of $25.0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bookmarkStart w:id="817" w:name="Tc_akNNtLtjkEeZAuJ9ANGYpQ_4_17"/>
      <w:bookmarkStart w:id="818" w:name="Tc_eHVzaby2gUiDXt2G3qguNA_4_14"/>
      <w:bookmarkStart w:id="819" w:name="Tc_zj8mEUX2i0m0GPT_hsqcOQ_4_11"/>
      <w:bookmarkStart w:id="820" w:name="Tc_am18VWxic0KJ_D-o2dH7Xg_4_8"/>
      <w:bookmarkStart w:id="821" w:name="Tc_OafHS4gKU0WMOZBzrxoe8Q_4_5"/>
      <w:bookmarkStart w:id="822" w:name="Tc_g3e_X3NzIU6MnzIjQe4O0A_4_2"/>
      <w:bookmarkStart w:id="823" w:name="Tc_Uv3nH9n7s0qX-BVsDiLPSg_4_0"/>
      <w:bookmarkStart w:id="824" w:name="Tc_G3tRYPQT8UChYz0Hn7cM3w_3_17"/>
      <w:bookmarkStart w:id="825" w:name="Tc_JtIpVhNH206J4jD32UKvig_3_14"/>
      <w:bookmarkStart w:id="826" w:name="Tc_763fqlpf1kaOiaBmEj5tOA_3_11"/>
      <w:bookmarkStart w:id="827" w:name="Tc_Eon9kbQOl06c0sa7fUWx7Q_3_8"/>
      <w:bookmarkStart w:id="828" w:name="Tc_n2bmEpZork6MUrC0dag8AA_3_5"/>
      <w:bookmarkStart w:id="829" w:name="Tc_XWBmi2aLFkGa8-kj2IJIng_3_2"/>
      <w:bookmarkStart w:id="830" w:name="Tc_fqsLjeraqUyzqEZWaAMSyQ_3_0"/>
      <w:bookmarkStart w:id="831" w:name="Tc_T-Uw4SWbB0e1kjEdCaYD9A_2_17"/>
      <w:bookmarkStart w:id="832" w:name="Tc_sVVRNNCBy0aEgYagIH1JqQ_2_14"/>
      <w:bookmarkStart w:id="833" w:name="Tc_G77oVkshak6KDbis_TLSxA_2_11"/>
      <w:bookmarkStart w:id="834" w:name="Tc_2XPJSrX1D02BfBPVu7Bnbg_2_8"/>
      <w:bookmarkStart w:id="835" w:name="Tc_v-4t00XSxkWCjPu88wgaNw_2_5"/>
      <w:bookmarkStart w:id="836" w:name="Tc_tgGN8oO2vUybC6zz61Q7tA_2_2"/>
      <w:bookmarkStart w:id="837" w:name="Tc_hlhD04_nRkyfDjcGRvwgEw_1_11"/>
      <w:bookmarkStart w:id="838" w:name="Tc_hAM_jAsTLEGoRoO4Vonaeg_1_2"/>
      <w:bookmarkStart w:id="839" w:name="_e0f20841_f620_4f87_b3a1_f799ef7568dc"/>
      <w:bookmarkStart w:id="840" w:name="Tc_6hCNWbgZoU-fdsbuu5M4RQ_4_5"/>
      <w:bookmarkStart w:id="841" w:name="Tc_kWzgQrF0UUe6ymWrfQUGhA_4_2"/>
      <w:bookmarkStart w:id="842" w:name="Tc_GVl2z3DOsUeKGMutJqi_zA_4_0"/>
      <w:bookmarkStart w:id="843" w:name="Tc_z5oL1QffekaatlXxjLuN9w_3_5"/>
      <w:bookmarkStart w:id="844" w:name="Tc_w0MFV2UCUU-DnBX2YBg1yA_3_2"/>
      <w:bookmarkStart w:id="845" w:name="Tc_4Gjx4klC-kK5visIUwIyGg_2_2"/>
      <w:bookmarkStart w:id="846" w:name="Tc_vq_-z6OXbUuJIZ2iWaJQCw_1_2"/>
      <w:bookmarkStart w:id="847" w:name="_29a2e479_78aa_4cc0_8138_ff1c5a6800eb"/>
      <w:bookmarkStart w:id="848" w:name="Tc_TMV1wh-fsE2BHlHIGgHOYg_4_5"/>
      <w:bookmarkStart w:id="849" w:name="Tc_ho9D9gWOcEumsMg13dzd0w_4_2"/>
      <w:bookmarkStart w:id="850" w:name="Tc_w9cen3eObUuTYq7ABdxpRA_4_0"/>
      <w:bookmarkStart w:id="851" w:name="Tc_QcBKHHXCsUakLz3zV1ZxQA_3_5"/>
      <w:bookmarkStart w:id="852" w:name="Tc_E_aVZtOl7U6BpfPzGa5o-Q_3_2"/>
      <w:bookmarkStart w:id="853" w:name="Tc_DeBjMFYd-0672wlD9ybkAg_2_2"/>
      <w:bookmarkStart w:id="854" w:name="Tc_n5hI4OWB0kO0yytg9dalaw_1_2"/>
      <w:bookmarkStart w:id="855" w:name="_2228cdd5_ad56_4a04_99d0_d1ce0a2986a8"/>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sz w:val="20"/>
        </w:rPr>
        <w:t xml:space="preserve">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recognized over the remaining research and development period until the performance obligation is satisfied.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2022, due to the Company and Roche’s agreement to share certain clinical development costs, the Company reduced $15.0 million from the aggregated transaction price associated with the payment commitment to Roche, which resulted in a revenue reversal during the period. During the three months ended March 31, 2023, the Company’s payment commitment associated with the clinical development costs to Roche reduced, which consequently increased the aggregated transaction price under the collaboration agreement. In addition, as one of the collaboration programs ended during the period, accordingly, the costs expected to be incurred in the future to satisfy the performance obligation was reduced.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Because of the reduction of the cost </w:t>
      </w:r>
      <w:r>
        <w:rPr>
          <w:rFonts w:ascii="Times New Roman;Times;serif" w:hAnsi="Times New Roman;Times;serif"/>
          <w:sz w:val="20"/>
          <w:highlight w:val="white"/>
        </w:rPr>
        <w:t>expected to be incurred to satisfy the performance obligation and the increase in the aggregated transaction price of the collaboration agreement, </w:t>
      </w:r>
      <w:r>
        <w:rPr>
          <w:rFonts w:ascii="Times New Roman;Times;serif" w:hAnsi="Times New Roman;Times;serif"/>
          <w:sz w:val="20"/>
        </w:rPr>
        <w:t>the Company recognized a cumulative revenue catch-up of $21.6 million during the three months ended March 31, 2023.</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A summary of revenue recognized (or revenue reduced) under the Roche immunotherapy agreement during the three months ended March 31, 2023 and 2022 is as follows (in thousands):</w:t>
      </w:r>
    </w:p>
    <w:p>
      <w:pPr>
        <w:pStyle w:val="TextBody"/>
        <w:spacing w:lineRule="auto" w:line="285" w:before="0" w:after="0"/>
        <w:ind w:left="0" w:right="0" w:hanging="0"/>
        <w:rPr/>
      </w:pPr>
      <w:r>
        <w:rPr/>
        <w:t>​</w:t>
      </w:r>
    </w:p>
    <w:tbl>
      <w:tblPr>
        <w:tblW w:w="7692" w:type="dxa"/>
        <w:jc w:val="left"/>
        <w:tblInd w:w="0" w:type="dxa"/>
        <w:tblCellMar>
          <w:top w:w="0" w:type="dxa"/>
          <w:left w:w="0" w:type="dxa"/>
          <w:bottom w:w="0" w:type="dxa"/>
          <w:right w:w="0" w:type="dxa"/>
        </w:tblCellMar>
      </w:tblPr>
      <w:tblGrid>
        <w:gridCol w:w="5326"/>
        <w:gridCol w:w="266"/>
        <w:gridCol w:w="211"/>
        <w:gridCol w:w="676"/>
        <w:gridCol w:w="266"/>
        <w:gridCol w:w="211"/>
        <w:gridCol w:w="736"/>
      </w:tblGrid>
      <w:tr>
        <w:trPr/>
        <w:tc>
          <w:tcPr>
            <w:tcW w:w="5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382010" cy="175260"/>
                      <wp:effectExtent l="0" t="0" r="0" b="0"/>
                      <wp:wrapNone/>
                      <wp:docPr id="216" name="Frame216"/>
                      <a:graphic xmlns:a="http://schemas.openxmlformats.org/drawingml/2006/main">
                        <a:graphicData uri="http://schemas.microsoft.com/office/word/2010/wordprocessingShape">
                          <wps:wsp>
                            <wps:cNvSpPr txBox="1"/>
                            <wps:spPr>
                              <a:xfrm>
                                <a:off x="0" y="0"/>
                                <a:ext cx="3382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8910" cy="175260"/>
                      <wp:effectExtent l="0" t="0" r="0" b="0"/>
                      <wp:wrapNone/>
                      <wp:docPr id="217" name="Frame21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8910" cy="175260"/>
                      <wp:effectExtent l="0" t="0" r="0" b="0"/>
                      <wp:wrapNone/>
                      <wp:docPr id="220" name="Frame22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7360" cy="175260"/>
                      <wp:effectExtent l="0" t="0" r="0" b="0"/>
                      <wp:wrapNone/>
                      <wp:docPr id="222" name="Frame222"/>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32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2100" w:type="dxa"/>
            <w:gridSpan w:val="5"/>
            <w:tcBorders/>
            <w:shd w:fill="auto" w:val="cle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2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2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1"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1"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26"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Roche collaboration research and development services revenue</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21,996</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(1,947)</w:t>
            </w:r>
          </w:p>
        </w:tc>
      </w:tr>
    </w:tbl>
    <w:p>
      <w:pPr>
        <w:pStyle w:val="TextBody"/>
        <w:spacing w:lineRule="auto" w:line="285" w:before="100" w:after="100"/>
        <w:ind w:left="0" w:right="0" w:hanging="0"/>
        <w:rPr/>
      </w:pPr>
      <w:r>
        <w:rPr/>
        <w:t>​</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and 2022, the Company recognized the following revenue due to the changes in the contract liability balances (in thousands): </w:t>
      </w:r>
    </w:p>
    <w:p>
      <w:pPr>
        <w:pStyle w:val="TextBody"/>
        <w:spacing w:lineRule="auto" w:line="285" w:before="280" w:after="0"/>
        <w:ind w:left="0" w:right="0" w:hanging="0"/>
        <w:rPr/>
      </w:pPr>
      <w:r>
        <w:rPr/>
        <w:t>​</w:t>
      </w:r>
    </w:p>
    <w:tbl>
      <w:tblPr>
        <w:tblW w:w="8307" w:type="dxa"/>
        <w:jc w:val="left"/>
        <w:tblInd w:w="0" w:type="dxa"/>
        <w:tblCellMar>
          <w:top w:w="0" w:type="dxa"/>
          <w:left w:w="0" w:type="dxa"/>
          <w:bottom w:w="0" w:type="dxa"/>
          <w:right w:w="0" w:type="dxa"/>
        </w:tblCellMar>
      </w:tblPr>
      <w:tblGrid>
        <w:gridCol w:w="6001"/>
        <w:gridCol w:w="266"/>
        <w:gridCol w:w="211"/>
        <w:gridCol w:w="676"/>
        <w:gridCol w:w="266"/>
        <w:gridCol w:w="211"/>
        <w:gridCol w:w="676"/>
      </w:tblGrid>
      <w:tr>
        <w:trPr/>
        <w:tc>
          <w:tcPr>
            <w:tcW w:w="6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810635" cy="175260"/>
                      <wp:effectExtent l="0" t="0" r="0" b="0"/>
                      <wp:wrapNone/>
                      <wp:docPr id="223" name="Frame223"/>
                      <a:graphic xmlns:a="http://schemas.openxmlformats.org/drawingml/2006/main">
                        <a:graphicData uri="http://schemas.microsoft.com/office/word/2010/wordprocessingShape">
                          <wps:wsp>
                            <wps:cNvSpPr txBox="1"/>
                            <wps:spPr>
                              <a:xfrm>
                                <a:off x="0" y="0"/>
                                <a:ext cx="38106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8910" cy="175260"/>
                      <wp:effectExtent l="0" t="0" r="0" b="0"/>
                      <wp:wrapNone/>
                      <wp:docPr id="224" name="Frame22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29260" cy="175260"/>
                      <wp:effectExtent l="0" t="0" r="0" b="0"/>
                      <wp:wrapNone/>
                      <wp:docPr id="226" name="Frame22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8910" cy="175260"/>
                      <wp:effectExtent l="0" t="0" r="0" b="0"/>
                      <wp:wrapNone/>
                      <wp:docPr id="227" name="Frame22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600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2040" w:type="dxa"/>
            <w:gridSpan w:val="5"/>
            <w:tcBorders/>
            <w:shd w:fill="auto" w:val="cle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0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0" w:after="0"/>
              <w:ind w:left="0" w:right="0" w:hanging="0"/>
              <w:rPr/>
            </w:pPr>
            <w:r>
              <w:rPr/>
              <w:t>​</w:t>
            </w:r>
          </w:p>
        </w:tc>
        <w:tc>
          <w:tcPr>
            <w:tcW w:w="2040" w:type="dxa"/>
            <w:gridSpan w:val="5"/>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01"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1"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shd w:fill="auto" w:val="clear"/>
            <w:vAlign w:val="center"/>
          </w:tcPr>
          <w:p>
            <w:pPr>
              <w:pStyle w:val="TableContents"/>
              <w:spacing w:lineRule="auto" w:line="285" w:before="1"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0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Amounts included in the contract liability at the beginning of the period</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15,826</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1" w:after="1"/>
              <w:ind w:left="0" w:right="60" w:hanging="0"/>
              <w:jc w:val="right"/>
              <w:rPr>
                <w:rFonts w:ascii="Times New Roman;Times;serif" w:hAnsi="Times New Roman;Times;serif"/>
                <w:sz w:val="20"/>
              </w:rPr>
            </w:pPr>
            <w:r>
              <w:rPr>
                <w:rFonts w:ascii="Times New Roman;Times;serif" w:hAnsi="Times New Roman;Times;serif"/>
                <w:sz w:val="20"/>
              </w:rPr>
              <w:t>1,010</w:t>
            </w:r>
          </w:p>
        </w:tc>
      </w:tr>
    </w:tbl>
    <w:p>
      <w:pPr>
        <w:pStyle w:val="TextBody"/>
        <w:spacing w:lineRule="auto" w:line="285" w:before="100" w:after="100"/>
        <w:ind w:left="0" w:right="0" w:hanging="0"/>
        <w:rPr/>
      </w:pPr>
      <w:r>
        <w:rPr/>
        <w:t>​</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The following table summarizes the liabilities related to the Roche immunotherapy agreement as of March 31, 2023, and December 31, 2022 (in thousands):</w:t>
      </w:r>
    </w:p>
    <w:p>
      <w:pPr>
        <w:pStyle w:val="TextBody"/>
        <w:spacing w:lineRule="auto" w:line="285" w:before="100" w:after="100"/>
        <w:ind w:left="0" w:right="0" w:firstLine="720"/>
        <w:rPr/>
      </w:pPr>
      <w:r>
        <w:rPr/>
        <w:t>​</w:t>
      </w:r>
    </w:p>
    <w:tbl>
      <w:tblPr>
        <w:tblW w:w="8402" w:type="dxa"/>
        <w:jc w:val="left"/>
        <w:tblInd w:w="0" w:type="dxa"/>
        <w:tblCellMar>
          <w:top w:w="0" w:type="dxa"/>
          <w:left w:w="0" w:type="dxa"/>
          <w:bottom w:w="0" w:type="dxa"/>
          <w:right w:w="0" w:type="dxa"/>
        </w:tblCellMar>
      </w:tblPr>
      <w:tblGrid>
        <w:gridCol w:w="1576"/>
        <w:gridCol w:w="266"/>
        <w:gridCol w:w="211"/>
        <w:gridCol w:w="571"/>
        <w:gridCol w:w="266"/>
        <w:gridCol w:w="358"/>
        <w:gridCol w:w="588"/>
        <w:gridCol w:w="266"/>
        <w:gridCol w:w="211"/>
        <w:gridCol w:w="571"/>
        <w:gridCol w:w="266"/>
        <w:gridCol w:w="211"/>
        <w:gridCol w:w="571"/>
        <w:gridCol w:w="266"/>
        <w:gridCol w:w="225"/>
        <w:gridCol w:w="721"/>
        <w:gridCol w:w="266"/>
        <w:gridCol w:w="211"/>
        <w:gridCol w:w="781"/>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000760" cy="175260"/>
                      <wp:effectExtent l="0" t="0" r="0" b="0"/>
                      <wp:wrapNone/>
                      <wp:docPr id="230" name="Frame230"/>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8910" cy="175260"/>
                      <wp:effectExtent l="0" t="0" r="0" b="0"/>
                      <wp:wrapNone/>
                      <wp:docPr id="231" name="Frame23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33" name="Frame23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8910" cy="175260"/>
                      <wp:effectExtent l="0" t="0" r="0" b="0"/>
                      <wp:wrapNone/>
                      <wp:docPr id="234" name="Frame23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27330" cy="175260"/>
                      <wp:effectExtent l="0" t="0" r="0" b="0"/>
                      <wp:wrapNone/>
                      <wp:docPr id="235" name="Frame235"/>
                      <a:graphic xmlns:a="http://schemas.openxmlformats.org/drawingml/2006/main">
                        <a:graphicData uri="http://schemas.microsoft.com/office/word/2010/wordprocessingShape">
                          <wps:wsp>
                            <wps:cNvSpPr txBox="1"/>
                            <wps:spPr>
                              <a:xfrm>
                                <a:off x="0" y="0"/>
                                <a:ext cx="2273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73380" cy="175260"/>
                      <wp:effectExtent l="0" t="0" r="0" b="0"/>
                      <wp:wrapNone/>
                      <wp:docPr id="236" name="Frame236"/>
                      <a:graphic xmlns:a="http://schemas.openxmlformats.org/drawingml/2006/main">
                        <a:graphicData uri="http://schemas.microsoft.com/office/word/2010/wordprocessingShape">
                          <wps:wsp>
                            <wps:cNvSpPr txBox="1"/>
                            <wps:spPr>
                              <a:xfrm>
                                <a:off x="0" y="0"/>
                                <a:ext cx="3733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8910" cy="175260"/>
                      <wp:effectExtent l="0" t="0" r="0" b="0"/>
                      <wp:wrapNone/>
                      <wp:docPr id="237" name="Frame23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2585" cy="175260"/>
                      <wp:effectExtent l="0" t="0" r="0" b="0"/>
                      <wp:wrapNone/>
                      <wp:docPr id="239" name="Frame23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8910" cy="175260"/>
                      <wp:effectExtent l="0" t="0" r="0" b="0"/>
                      <wp:wrapNone/>
                      <wp:docPr id="240" name="Frame24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4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8910" cy="175260"/>
                      <wp:effectExtent l="0" t="0" r="0" b="0"/>
                      <wp:wrapNone/>
                      <wp:docPr id="243" name="Frame24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2875" cy="175260"/>
                      <wp:effectExtent l="0" t="0" r="0" b="0"/>
                      <wp:wrapNone/>
                      <wp:docPr id="244" name="Frame244"/>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7835" cy="175260"/>
                      <wp:effectExtent l="0" t="0" r="0" b="0"/>
                      <wp:wrapNone/>
                      <wp:docPr id="245" name="Frame24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8910" cy="175260"/>
                      <wp:effectExtent l="0" t="0" r="0" b="0"/>
                      <wp:wrapNone/>
                      <wp:docPr id="246" name="Frame24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57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1" w:after="1"/>
              <w:ind w:left="0" w:right="0" w:hanging="0"/>
              <w:rPr/>
            </w:pPr>
            <w:r>
              <w:rPr/>
              <w:t>   </w:t>
            </w:r>
          </w:p>
        </w:tc>
        <w:tc>
          <w:tcPr>
            <w:tcW w:w="3042" w:type="dxa"/>
            <w:gridSpan w:val="8"/>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266" w:type="dxa"/>
            <w:tcBorders/>
            <w:shd w:fill="auto" w:val="clear"/>
            <w:vAlign w:val="center"/>
          </w:tcPr>
          <w:p>
            <w:pPr>
              <w:pStyle w:val="TableContents"/>
              <w:spacing w:lineRule="auto" w:line="285" w:before="1" w:after="1"/>
              <w:ind w:left="0" w:right="0" w:hanging="0"/>
              <w:rPr/>
            </w:pPr>
            <w:r>
              <w:rPr/>
              <w:t> </w:t>
            </w:r>
          </w:p>
        </w:tc>
        <w:tc>
          <w:tcPr>
            <w:tcW w:w="3252" w:type="dxa"/>
            <w:gridSpan w:val="8"/>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76" w:type="dxa"/>
            <w:tcBorders/>
            <w:shd w:fill="auto" w:val="clear"/>
            <w:vAlign w:val="center"/>
          </w:tcPr>
          <w:p>
            <w:pPr>
              <w:pStyle w:val="TableContents"/>
              <w:spacing w:lineRule="auto" w:line="285" w:before="0" w:after="0"/>
              <w:ind w:left="0" w:right="0" w:hanging="0"/>
              <w:rPr/>
            </w:pPr>
            <w:r>
              <w:rPr/>
              <w:t>​</w:t>
            </w:r>
          </w:p>
        </w:tc>
        <w:tc>
          <w:tcPr>
            <w:tcW w:w="266" w:type="dxa"/>
            <w:tcBorders/>
            <w:shd w:fill="auto" w:val="clear"/>
            <w:vAlign w:val="center"/>
          </w:tcPr>
          <w:p>
            <w:pPr>
              <w:pStyle w:val="TableContents"/>
              <w:spacing w:lineRule="auto" w:line="285" w:before="1"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66" w:type="dxa"/>
            <w:tcBorders/>
            <w:shd w:fill="auto" w:val="clear"/>
            <w:vAlign w:val="center"/>
          </w:tcPr>
          <w:p>
            <w:pPr>
              <w:pStyle w:val="TableContents"/>
              <w:spacing w:lineRule="auto" w:line="285" w:before="1" w:after="1"/>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66" w:type="dxa"/>
            <w:tcBorders/>
            <w:shd w:fill="auto" w:val="clear"/>
            <w:vAlign w:val="center"/>
          </w:tcPr>
          <w:p>
            <w:pPr>
              <w:pStyle w:val="TableContents"/>
              <w:spacing w:lineRule="auto" w:line="285" w:before="1"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66" w:type="dxa"/>
            <w:tcBorders/>
            <w:shd w:fill="auto" w:val="clear"/>
            <w:vAlign w:val="center"/>
          </w:tcPr>
          <w:p>
            <w:pPr>
              <w:pStyle w:val="TableContents"/>
              <w:spacing w:lineRule="auto" w:line="285" w:before="1"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66" w:type="dxa"/>
            <w:tcBorders/>
            <w:shd w:fill="auto" w:val="clear"/>
            <w:vAlign w:val="center"/>
          </w:tcPr>
          <w:p>
            <w:pPr>
              <w:pStyle w:val="TableContents"/>
              <w:spacing w:lineRule="auto" w:line="285" w:before="1" w:after="1"/>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66" w:type="dxa"/>
            <w:tcBorders/>
            <w:shd w:fill="auto" w:val="clear"/>
            <w:vAlign w:val="center"/>
          </w:tcPr>
          <w:p>
            <w:pPr>
              <w:pStyle w:val="TableContents"/>
              <w:spacing w:lineRule="auto" w:line="285" w:before="1"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266" w:type="dxa"/>
            <w:tcBorders/>
            <w:shd w:fill="CCEEFF" w:val="clear"/>
            <w:vAlign w:val="center"/>
          </w:tcPr>
          <w:p>
            <w:pPr>
              <w:pStyle w:val="TableContents"/>
              <w:spacing w:lineRule="auto" w:line="285" w:before="1" w:after="1"/>
              <w:ind w:left="0" w:right="0" w:hanging="0"/>
              <w:rPr/>
            </w:pPr>
            <w:r>
              <w:rPr/>
              <w:t>   </w:t>
            </w:r>
          </w:p>
        </w:tc>
        <w:tc>
          <w:tcPr>
            <w:tcW w:w="358"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spacing w:lineRule="auto" w:line="285" w:before="1" w:after="1"/>
              <w:ind w:left="0" w:right="0" w:hanging="0"/>
              <w:jc w:val="right"/>
              <w:rPr/>
            </w:pPr>
            <w:r>
              <w:rPr/>
              <w:t>—</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2,402</w:t>
            </w:r>
          </w:p>
        </w:tc>
        <w:tc>
          <w:tcPr>
            <w:tcW w:w="266" w:type="dxa"/>
            <w:tcBorders/>
            <w:shd w:fill="CCEEFF" w:val="clear"/>
            <w:vAlign w:val="center"/>
          </w:tcPr>
          <w:p>
            <w:pPr>
              <w:pStyle w:val="TableContents"/>
              <w:spacing w:lineRule="auto" w:line="285" w:before="1" w:after="1"/>
              <w:ind w:left="0" w:right="0" w:hanging="0"/>
              <w:rPr/>
            </w:pPr>
            <w:r>
              <w:rPr/>
              <w:t>   </w:t>
            </w:r>
          </w:p>
        </w:tc>
        <w:tc>
          <w:tcPr>
            <w:tcW w:w="225"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13,624</w:t>
            </w:r>
          </w:p>
        </w:tc>
        <w:tc>
          <w:tcPr>
            <w:tcW w:w="266" w:type="dxa"/>
            <w:tcBorders/>
            <w:shd w:fill="CCEEFF" w:val="clear"/>
            <w:vAlign w:val="center"/>
          </w:tcPr>
          <w:p>
            <w:pPr>
              <w:pStyle w:val="TableContents"/>
              <w:spacing w:lineRule="auto" w:line="285" w:before="1" w:after="1"/>
              <w:ind w:left="0" w:right="0" w:hanging="0"/>
              <w:rPr/>
            </w:pPr>
            <w:r>
              <w:rPr/>
              <w:t>   </w:t>
            </w:r>
          </w:p>
        </w:tc>
        <w:tc>
          <w:tcPr>
            <w:tcW w:w="211" w:type="dxa"/>
            <w:tcBorders/>
            <w:shd w:fill="CCEEFF"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16,026</w:t>
            </w:r>
          </w:p>
        </w:tc>
      </w:tr>
      <w:tr>
        <w:trPr/>
        <w:tc>
          <w:tcPr>
            <w:tcW w:w="1576"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Accrued expenses</w:t>
            </w:r>
          </w:p>
        </w:tc>
        <w:tc>
          <w:tcPr>
            <w:tcW w:w="266" w:type="dxa"/>
            <w:tcBorders/>
            <w:shd w:fill="auto" w:val="clear"/>
            <w:vAlign w:val="center"/>
          </w:tcPr>
          <w:p>
            <w:pPr>
              <w:pStyle w:val="TableContents"/>
              <w:spacing w:lineRule="auto" w:line="285" w:before="1" w:after="1"/>
              <w:ind w:left="0" w:right="0" w:hanging="0"/>
              <w:rPr/>
            </w:pPr>
            <w:r>
              <w:rPr/>
              <w:t>   </w:t>
            </w:r>
          </w:p>
        </w:tc>
        <w:tc>
          <w:tcPr>
            <w:tcW w:w="211"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4,321</w:t>
            </w:r>
          </w:p>
        </w:tc>
        <w:tc>
          <w:tcPr>
            <w:tcW w:w="266" w:type="dxa"/>
            <w:tcBorders/>
            <w:shd w:fill="auto" w:val="clear"/>
            <w:vAlign w:val="center"/>
          </w:tcPr>
          <w:p>
            <w:pPr>
              <w:pStyle w:val="TableContents"/>
              <w:spacing w:lineRule="auto" w:line="285" w:before="1" w:after="1"/>
              <w:ind w:left="0" w:right="0" w:hanging="0"/>
              <w:rPr/>
            </w:pPr>
            <w:r>
              <w:rPr/>
              <w:t>   </w:t>
            </w:r>
          </w:p>
        </w:tc>
        <w:tc>
          <w:tcPr>
            <w:tcW w:w="358"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88" w:type="dxa"/>
            <w:tcBorders/>
            <w:shd w:fill="auto" w:val="clear"/>
            <w:vAlign w:val="center"/>
          </w:tcPr>
          <w:p>
            <w:pPr>
              <w:pStyle w:val="TableContents"/>
              <w:spacing w:lineRule="auto" w:line="285" w:before="1" w:after="1"/>
              <w:ind w:left="0" w:right="0" w:hanging="0"/>
              <w:jc w:val="right"/>
              <w:rPr/>
            </w:pPr>
            <w:r>
              <w:rPr/>
              <w:t>—</w:t>
            </w:r>
          </w:p>
        </w:tc>
        <w:tc>
          <w:tcPr>
            <w:tcW w:w="266" w:type="dxa"/>
            <w:tcBorders/>
            <w:shd w:fill="auto" w:val="clear"/>
            <w:vAlign w:val="center"/>
          </w:tcPr>
          <w:p>
            <w:pPr>
              <w:pStyle w:val="TableContents"/>
              <w:spacing w:lineRule="auto" w:line="285" w:before="1" w:after="1"/>
              <w:ind w:left="0" w:right="0" w:hanging="0"/>
              <w:rPr/>
            </w:pPr>
            <w:r>
              <w:rPr/>
              <w:t>   </w:t>
            </w:r>
          </w:p>
        </w:tc>
        <w:tc>
          <w:tcPr>
            <w:tcW w:w="211"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4,321</w:t>
            </w:r>
          </w:p>
        </w:tc>
        <w:tc>
          <w:tcPr>
            <w:tcW w:w="266" w:type="dxa"/>
            <w:tcBorders/>
            <w:shd w:fill="auto" w:val="clear"/>
            <w:vAlign w:val="center"/>
          </w:tcPr>
          <w:p>
            <w:pPr>
              <w:pStyle w:val="TableContents"/>
              <w:spacing w:lineRule="auto" w:line="285" w:before="1" w:after="1"/>
              <w:ind w:left="0" w:right="0" w:hanging="0"/>
              <w:rPr/>
            </w:pPr>
            <w:r>
              <w:rPr/>
              <w:t>   </w:t>
            </w:r>
          </w:p>
        </w:tc>
        <w:tc>
          <w:tcPr>
            <w:tcW w:w="211"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3,970</w:t>
            </w:r>
          </w:p>
        </w:tc>
        <w:tc>
          <w:tcPr>
            <w:tcW w:w="266" w:type="dxa"/>
            <w:tcBorders/>
            <w:shd w:fill="auto" w:val="clear"/>
            <w:vAlign w:val="center"/>
          </w:tcPr>
          <w:p>
            <w:pPr>
              <w:pStyle w:val="TableContents"/>
              <w:spacing w:lineRule="auto" w:line="285" w:before="1" w:after="1"/>
              <w:ind w:left="0" w:right="0" w:hanging="0"/>
              <w:rPr/>
            </w:pPr>
            <w:r>
              <w:rPr/>
              <w:t>   </w:t>
            </w:r>
          </w:p>
        </w:tc>
        <w:tc>
          <w:tcPr>
            <w:tcW w:w="225"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7,238</w:t>
            </w:r>
          </w:p>
        </w:tc>
        <w:tc>
          <w:tcPr>
            <w:tcW w:w="266" w:type="dxa"/>
            <w:tcBorders/>
            <w:shd w:fill="auto" w:val="clear"/>
            <w:vAlign w:val="center"/>
          </w:tcPr>
          <w:p>
            <w:pPr>
              <w:pStyle w:val="TableContents"/>
              <w:spacing w:lineRule="auto" w:line="285" w:before="1" w:after="1"/>
              <w:ind w:left="0" w:right="0" w:hanging="0"/>
              <w:rPr/>
            </w:pPr>
            <w:r>
              <w:rPr/>
              <w:t>   </w:t>
            </w:r>
          </w:p>
        </w:tc>
        <w:tc>
          <w:tcPr>
            <w:tcW w:w="211" w:type="dxa"/>
            <w:tcBorders/>
            <w:shd w:fill="auto" w:val="clear"/>
            <w:vAlign w:val="center"/>
          </w:tcPr>
          <w:p>
            <w:pPr>
              <w:pStyle w:val="TableContents"/>
              <w:spacing w:lineRule="auto" w:line="285" w:before="1"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lineRule="auto" w:line="285" w:before="1" w:after="1"/>
              <w:ind w:left="0" w:right="60" w:hanging="0"/>
              <w:jc w:val="right"/>
              <w:rPr>
                <w:rFonts w:ascii="Times New Roman;Times;serif" w:hAnsi="Times New Roman;Times;serif"/>
                <w:sz w:val="20"/>
              </w:rPr>
            </w:pPr>
            <w:r>
              <w:rPr>
                <w:rFonts w:ascii="Times New Roman;Times;serif" w:hAnsi="Times New Roman;Times;serif"/>
                <w:sz w:val="20"/>
              </w:rPr>
              <w:t>11,208</w:t>
            </w:r>
          </w:p>
        </w:tc>
      </w:tr>
    </w:tbl>
    <w:p>
      <w:pPr>
        <w:pStyle w:val="TextBody"/>
        <w:spacing w:lineRule="auto" w:line="285" w:before="0" w:after="0"/>
        <w:ind w:left="0" w:right="0" w:hanging="0"/>
        <w:rPr/>
      </w:pPr>
      <w:r>
        <w:rPr/>
        <w:t> </w:t>
      </w:r>
    </w:p>
    <w:p>
      <w:pPr>
        <w:pStyle w:val="TextBody"/>
        <w:spacing w:lineRule="auto" w:line="285" w:before="100" w:after="100"/>
        <w:ind w:left="0" w:right="0" w:hanging="0"/>
        <w:rPr/>
      </w:pPr>
      <w:r>
        <w:rPr/>
        <w:t>​</w:t>
      </w:r>
    </w:p>
    <w:p>
      <w:pPr>
        <w:pStyle w:val="TextBody"/>
        <w:spacing w:lineRule="auto" w:line="285" w:before="280" w:after="0"/>
        <w:ind w:left="0" w:right="0" w:firstLine="720"/>
        <w:rPr>
          <w:rFonts w:ascii="Times New Roman;Times;serif" w:hAnsi="Times New Roman;Times;serif"/>
          <w:sz w:val="24"/>
        </w:rPr>
      </w:pPr>
      <w:r>
        <w:rPr>
          <w:rFonts w:ascii="Times New Roman;Times;serif" w:hAnsi="Times New Roman;Times;serif"/>
          <w:sz w:val="20"/>
        </w:rPr>
        <w:t>As of March 31, 2023, the research and development services related to the performance obligation were expected to be performed over a remaining period of approximately 0.5</w:t>
      </w:r>
      <w:r>
        <w:rPr>
          <w:rFonts w:ascii="Times New Roman;Times;serif" w:hAnsi="Times New Roman;Times;serif"/>
          <w:sz w:val="24"/>
        </w:rPr>
        <w:t xml:space="preserve"> </w:t>
      </w:r>
      <w:r>
        <w:rPr>
          <w:rFonts w:ascii="Times New Roman;Times;serif" w:hAnsi="Times New Roman;Times;serif"/>
          <w:sz w:val="20"/>
        </w:rPr>
        <w:t>years.</w:t>
      </w:r>
    </w:p>
    <w:p>
      <w:pPr>
        <w:pStyle w:val="TextBody"/>
        <w:spacing w:lineRule="auto" w:line="285" w:before="100" w:after="100"/>
        <w:ind w:left="0" w:right="0" w:firstLine="72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sz w:val="20"/>
        </w:rPr>
      </w:pPr>
      <w:bookmarkStart w:id="856" w:name="Tc_9eUPr8vx1E6myX9gwrTVbA_8_4"/>
      <w:bookmarkStart w:id="857" w:name="Tc_cHiBx8wQG0yVrZYJ3uyVmQ_8_0"/>
      <w:bookmarkStart w:id="858" w:name="Tc_Xh5Sjzc9CU-hWaHDHFcVUw_7_4"/>
      <w:bookmarkStart w:id="859" w:name="Tc_jvGY2XVOqUubUDOPQcYl2g_7_0"/>
      <w:bookmarkStart w:id="860" w:name="Tc_KyVaOMkiuUm8SrMVV5DoWw_6_0"/>
      <w:bookmarkStart w:id="861" w:name="Tc_9kYiwaAZZkqj3suUQbyI8g_5_5"/>
      <w:bookmarkStart w:id="862" w:name="Tc_VlfkLV0tlUGQM1IadRqbXg_5_2"/>
      <w:bookmarkStart w:id="863" w:name="Tc_94aTPP_B_EK-oQlu8Zh4gw_5_0"/>
      <w:bookmarkStart w:id="864" w:name="Tc_PqAx38OqgESD87Vg-K4nYg_4_0"/>
      <w:bookmarkStart w:id="865" w:name="Tc_lbMJJ6VSDU-muVs86g7ZpA_3_4"/>
      <w:bookmarkStart w:id="866" w:name="Tc_pa7wezdWFU2eoZK2evnYrg_3_0"/>
      <w:bookmarkStart w:id="867" w:name="Tc_yEAimYMchkm2WPlI7LTboA_2_5"/>
      <w:bookmarkStart w:id="868" w:name="Tc_ZVkwELQwTU-QbyoV_qAOgA_2_2"/>
      <w:bookmarkStart w:id="869" w:name="Tc_nqlrtOapvkuGp7hBx-FQAA_1_4"/>
      <w:bookmarkStart w:id="870" w:name="_0733e19e_562f_4b2f_afce_0eb1e22d93e9"/>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sz w:val="20"/>
        </w:rPr>
        <w:t>11. Stock-based Compensation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2015 Stock Option and Incentive Plan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Plan was increased by 2,398,356 shares. In addition, the total number of shares reserved for issuance is subject to adjustment in the event of a stock split, stock dividend or other change in the Company’s capitalization. As of March 31, 2023, there were 4,810,547 shares available for future grant under the 2015 Plan.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2020 Inducement Plan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March 31, 2023, there were 1,408,314 shares available for future grant under the Inducement Plan.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Stock options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the stock option activity for the three months ended March 31, 2023: </w:t>
      </w:r>
    </w:p>
    <w:p>
      <w:pPr>
        <w:pStyle w:val="TextBody"/>
        <w:spacing w:lineRule="auto" w:line="285" w:before="0" w:after="0"/>
        <w:ind w:left="0" w:right="0" w:hanging="0"/>
        <w:rPr/>
      </w:pPr>
      <w:r>
        <w:rPr/>
        <w:t>​</w:t>
      </w:r>
    </w:p>
    <w:tbl>
      <w:tblPr>
        <w:tblW w:w="5643" w:type="dxa"/>
        <w:jc w:val="left"/>
        <w:tblInd w:w="0" w:type="dxa"/>
        <w:tblCellMar>
          <w:top w:w="0" w:type="dxa"/>
          <w:left w:w="0" w:type="dxa"/>
          <w:bottom w:w="0" w:type="dxa"/>
          <w:right w:w="0" w:type="dxa"/>
        </w:tblCellMar>
      </w:tblPr>
      <w:tblGrid>
        <w:gridCol w:w="2941"/>
        <w:gridCol w:w="146"/>
        <w:gridCol w:w="931"/>
        <w:gridCol w:w="109"/>
        <w:gridCol w:w="332"/>
        <w:gridCol w:w="1184"/>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67535" cy="175260"/>
                      <wp:effectExtent l="0" t="0" r="0" b="0"/>
                      <wp:wrapNone/>
                      <wp:docPr id="249" name="Frame249"/>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2710" cy="175260"/>
                      <wp:effectExtent l="0" t="0" r="0" b="0"/>
                      <wp:wrapNone/>
                      <wp:docPr id="250" name="Frame25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91185" cy="175260"/>
                      <wp:effectExtent l="0" t="0" r="0" b="0"/>
                      <wp:wrapNone/>
                      <wp:docPr id="251" name="Frame25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0820" cy="175260"/>
                      <wp:effectExtent l="0" t="0" r="0" b="0"/>
                      <wp:wrapNone/>
                      <wp:docPr id="253" name="Frame253"/>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1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751840" cy="175260"/>
                      <wp:effectExtent l="0" t="0" r="0" b="0"/>
                      <wp:wrapNone/>
                      <wp:docPr id="254" name="Frame254"/>
                      <a:graphic xmlns:a="http://schemas.openxmlformats.org/drawingml/2006/main">
                        <a:graphicData uri="http://schemas.microsoft.com/office/word/2010/wordprocessingShape">
                          <wps:wsp>
                            <wps:cNvSpPr txBox="1"/>
                            <wps:spPr>
                              <a:xfrm>
                                <a:off x="0" y="0"/>
                                <a:ext cx="7518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31" w:type="dxa"/>
            <w:tcBorders/>
            <w:shd w:fill="auto" w:val="clear"/>
            <w:vAlign w:val="center"/>
          </w:tcPr>
          <w:p>
            <w:pPr>
              <w:pStyle w:val="TableContents"/>
              <w:spacing w:lineRule="auto" w:line="285" w:before="0" w:after="0"/>
              <w:ind w:left="0" w:right="0" w:hanging="0"/>
              <w:jc w:val="center"/>
              <w:rPr/>
            </w:pPr>
            <w:r>
              <w:rPr/>
              <w:t>​</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1516"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332"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c>
          <w:tcPr>
            <w:tcW w:w="118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146" w:type="dxa"/>
            <w:tcBorders/>
            <w:shd w:fill="CCEEFF" w:val="clear"/>
            <w:vAlign w:val="center"/>
          </w:tcPr>
          <w:p>
            <w:pPr>
              <w:pStyle w:val="TableContents"/>
              <w:spacing w:lineRule="auto" w:line="285" w:before="0" w:after="0"/>
              <w:ind w:left="0" w:right="0" w:hanging="0"/>
              <w:rPr/>
            </w:pPr>
            <w:r>
              <w:rPr/>
              <w:t> </w:t>
            </w:r>
          </w:p>
        </w:tc>
        <w:tc>
          <w:tcPr>
            <w:tcW w:w="93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6,233,451</w:t>
            </w:r>
          </w:p>
        </w:tc>
        <w:tc>
          <w:tcPr>
            <w:tcW w:w="109" w:type="dxa"/>
            <w:tcBorders/>
            <w:shd w:fill="CCEEFF" w:val="clear"/>
            <w:vAlign w:val="center"/>
          </w:tcPr>
          <w:p>
            <w:pPr>
              <w:pStyle w:val="TableContents"/>
              <w:spacing w:lineRule="auto" w:line="285" w:before="0" w:after="0"/>
              <w:ind w:left="0" w:right="0" w:hanging="0"/>
              <w:rPr/>
            </w:pPr>
            <w:r>
              <w:rPr/>
              <w:t>​</w:t>
            </w:r>
          </w:p>
        </w:tc>
        <w:tc>
          <w:tcPr>
            <w:tcW w:w="33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69.14</w:t>
            </w:r>
          </w:p>
        </w:tc>
      </w:tr>
      <w:tr>
        <w:trPr/>
        <w:tc>
          <w:tcPr>
            <w:tcW w:w="29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46" w:type="dxa"/>
            <w:tcBorders/>
            <w:shd w:fill="auto" w:val="clear"/>
            <w:vAlign w:val="center"/>
          </w:tcPr>
          <w:p>
            <w:pPr>
              <w:pStyle w:val="TableContents"/>
              <w:spacing w:lineRule="auto" w:line="285" w:before="0" w:after="0"/>
              <w:ind w:left="0" w:right="0" w:hanging="0"/>
              <w:rPr/>
            </w:pPr>
            <w:r>
              <w:rPr/>
              <w:t> </w:t>
            </w:r>
          </w:p>
        </w:tc>
        <w:tc>
          <w:tcPr>
            <w:tcW w:w="93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1,033,517</w:t>
            </w:r>
          </w:p>
        </w:tc>
        <w:tc>
          <w:tcPr>
            <w:tcW w:w="109" w:type="dxa"/>
            <w:tcBorders/>
            <w:shd w:fill="auto" w:val="clear"/>
            <w:vAlign w:val="center"/>
          </w:tcPr>
          <w:p>
            <w:pPr>
              <w:pStyle w:val="TableContents"/>
              <w:spacing w:lineRule="auto" w:line="285" w:before="0" w:after="0"/>
              <w:ind w:left="0" w:right="0" w:hanging="0"/>
              <w:rPr/>
            </w:pPr>
            <w:r>
              <w:rPr/>
              <w:t>​</w:t>
            </w:r>
          </w:p>
        </w:tc>
        <w:tc>
          <w:tcPr>
            <w:tcW w:w="332" w:type="dxa"/>
            <w:tcBorders/>
            <w:shd w:fill="auto" w:val="clear"/>
            <w:vAlign w:val="center"/>
          </w:tcPr>
          <w:p>
            <w:pPr>
              <w:pStyle w:val="TableContents"/>
              <w:spacing w:lineRule="auto" w:line="285" w:before="0" w:after="0"/>
              <w:ind w:left="0" w:right="0" w:hanging="0"/>
              <w:rPr/>
            </w:pPr>
            <w:r>
              <w:rPr/>
              <w:t>​</w:t>
            </w:r>
          </w:p>
        </w:tc>
        <w:tc>
          <w:tcPr>
            <w:tcW w:w="1184"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43.30</w:t>
            </w:r>
          </w:p>
        </w:tc>
      </w:tr>
      <w:tr>
        <w:trPr/>
        <w:tc>
          <w:tcPr>
            <w:tcW w:w="29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spacing w:lineRule="auto" w:line="285" w:before="0" w:after="0"/>
              <w:ind w:left="0" w:right="0" w:hanging="0"/>
              <w:rPr/>
            </w:pPr>
            <w:r>
              <w:rPr/>
              <w:t> </w:t>
            </w:r>
          </w:p>
        </w:tc>
        <w:tc>
          <w:tcPr>
            <w:tcW w:w="931"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332" w:type="dxa"/>
            <w:tcBorders/>
            <w:shd w:fill="CCEEFF" w:val="clear"/>
            <w:vAlign w:val="center"/>
          </w:tcPr>
          <w:p>
            <w:pPr>
              <w:pStyle w:val="TableContents"/>
              <w:spacing w:lineRule="auto" w:line="285" w:before="0" w:after="0"/>
              <w:ind w:left="0" w:right="0" w:hanging="0"/>
              <w:jc w:val="right"/>
              <w:rPr/>
            </w:pPr>
            <w:r>
              <w:rPr/>
              <w:t>​</w:t>
            </w:r>
          </w:p>
        </w:tc>
        <w:tc>
          <w:tcPr>
            <w:tcW w:w="1184" w:type="dxa"/>
            <w:tcBorders/>
            <w:shd w:fill="CCEEFF" w:val="clear"/>
            <w:vAlign w:val="center"/>
          </w:tcPr>
          <w:p>
            <w:pPr>
              <w:pStyle w:val="TableContents"/>
              <w:spacing w:lineRule="auto" w:line="285" w:before="0" w:after="0"/>
              <w:ind w:left="0" w:right="0" w:hanging="0"/>
              <w:jc w:val="right"/>
              <w:rPr/>
            </w:pPr>
            <w:r>
              <w:rPr/>
              <w:t>—</w:t>
            </w:r>
          </w:p>
        </w:tc>
      </w:tr>
      <w:tr>
        <w:trPr/>
        <w:tc>
          <w:tcPr>
            <w:tcW w:w="29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Canceled</w:t>
            </w:r>
          </w:p>
        </w:tc>
        <w:tc>
          <w:tcPr>
            <w:tcW w:w="146" w:type="dxa"/>
            <w:tcBorders/>
            <w:shd w:fill="auto" w:val="clear"/>
            <w:vAlign w:val="center"/>
          </w:tcPr>
          <w:p>
            <w:pPr>
              <w:pStyle w:val="TableContents"/>
              <w:spacing w:lineRule="auto" w:line="285"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(77,494)</w:t>
            </w:r>
          </w:p>
        </w:tc>
        <w:tc>
          <w:tcPr>
            <w:tcW w:w="109" w:type="dxa"/>
            <w:tcBorders/>
            <w:shd w:fill="auto" w:val="clear"/>
            <w:vAlign w:val="center"/>
          </w:tcPr>
          <w:p>
            <w:pPr>
              <w:pStyle w:val="TableContents"/>
              <w:spacing w:lineRule="auto" w:line="285" w:before="0" w:after="0"/>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118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72.00</w:t>
            </w:r>
          </w:p>
        </w:tc>
      </w:tr>
      <w:tr>
        <w:trPr/>
        <w:tc>
          <w:tcPr>
            <w:tcW w:w="29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146" w:type="dxa"/>
            <w:tcBorders/>
            <w:shd w:fill="CCEEFF" w:val="clear"/>
            <w:vAlign w:val="center"/>
          </w:tcPr>
          <w:p>
            <w:pPr>
              <w:pStyle w:val="TableContents"/>
              <w:spacing w:lineRule="auto" w:line="285"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7,189,474</w:t>
            </w:r>
          </w:p>
        </w:tc>
        <w:tc>
          <w:tcPr>
            <w:tcW w:w="109" w:type="dxa"/>
            <w:tcBorders/>
            <w:shd w:fill="CCEEFF" w:val="clear"/>
            <w:vAlign w:val="center"/>
          </w:tcPr>
          <w:p>
            <w:pPr>
              <w:pStyle w:val="TableContents"/>
              <w:spacing w:lineRule="auto" w:line="285" w:before="0" w:after="0"/>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65.40</w:t>
            </w:r>
          </w:p>
        </w:tc>
      </w:tr>
      <w:tr>
        <w:trPr/>
        <w:tc>
          <w:tcPr>
            <w:tcW w:w="29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Exercisable at March 31, 2023</w:t>
            </w:r>
          </w:p>
        </w:tc>
        <w:tc>
          <w:tcPr>
            <w:tcW w:w="146" w:type="dxa"/>
            <w:tcBorders/>
            <w:shd w:fill="auto" w:val="clear"/>
            <w:vAlign w:val="center"/>
          </w:tcPr>
          <w:p>
            <w:pPr>
              <w:pStyle w:val="TableContents"/>
              <w:spacing w:lineRule="auto" w:line="285" w:before="0" w:after="0"/>
              <w:ind w:left="0" w:right="0" w:hanging="0"/>
              <w:rPr/>
            </w:pPr>
            <w:r>
              <w:rPr/>
              <w:t> </w:t>
            </w:r>
          </w:p>
        </w:tc>
        <w:tc>
          <w:tcPr>
            <w:tcW w:w="931" w:type="dxa"/>
            <w:tcBorders>
              <w:top w:val="single" w:sz="2" w:space="0" w:color="000000"/>
              <w:bottom w:val="double" w:sz="6" w:space="0" w:color="000000"/>
            </w:tcBorders>
            <w:shd w:fill="auto" w:val="clear"/>
            <w:tcMar>
              <w:top w:w="28" w:type="dxa"/>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4,428,057</w:t>
            </w:r>
          </w:p>
        </w:tc>
        <w:tc>
          <w:tcPr>
            <w:tcW w:w="109" w:type="dxa"/>
            <w:tcBorders/>
            <w:shd w:fill="auto" w:val="clear"/>
            <w:vAlign w:val="center"/>
          </w:tcPr>
          <w:p>
            <w:pPr>
              <w:pStyle w:val="TableContents"/>
              <w:spacing w:lineRule="auto" w:line="285" w:before="0" w:after="0"/>
              <w:ind w:left="0" w:right="0" w:hanging="0"/>
              <w:rPr/>
            </w:pPr>
            <w:r>
              <w:rPr/>
              <w:t>​</w:t>
            </w:r>
          </w:p>
        </w:tc>
        <w:tc>
          <w:tcPr>
            <w:tcW w:w="332"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auto"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67.92</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of March 31, 2023, the total unrecognized compensation expense related to unvested stock option awards was $87.4 million, which is expected to be recognized over a weighted-average period of approximately 2.89 years.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bookmarkStart w:id="871" w:name="Tc_yzz74Cd6vEeX-PTCA7M5bg_8_4"/>
      <w:bookmarkStart w:id="872" w:name="Tc_l7peaNOyjEWrhxJdQ4kEDQ_8_0"/>
      <w:bookmarkStart w:id="873" w:name="Tc_gOkcSRSj00WGAFbUtnZeNQ_7_5"/>
      <w:bookmarkStart w:id="874" w:name="Tc_yMG2oYvmaEKxr6Jf4p7rCA_7_2"/>
      <w:bookmarkStart w:id="875" w:name="Tc_I4Y0oGqGdECFj-hqt7rbkA_7_0"/>
      <w:bookmarkStart w:id="876" w:name="Tc_7jAcFcOnNECkqOSZwfnXjQ_6_5"/>
      <w:bookmarkStart w:id="877" w:name="Tc_uNl1dTLZJkuf4FM6IGb0Ig_6_2"/>
      <w:bookmarkStart w:id="878" w:name="Tc_ldvJ7sbWfk-19bLExzOyfA_6_0"/>
      <w:bookmarkStart w:id="879" w:name="Tc_uzpgvv7tDkarVWRPgwnciA_5_0"/>
      <w:bookmarkStart w:id="880" w:name="Tc_Q_WuqeOED0Sf9JFKEUBE2g_4_4"/>
      <w:bookmarkStart w:id="881" w:name="Tc_FsOG5egJx0OAToYgmdVe1g_4_0"/>
      <w:bookmarkStart w:id="882" w:name="Tc_Ckn0nrAG-0GwwMgLjMBVkA_3_4"/>
      <w:bookmarkStart w:id="883" w:name="Tc_GYys708-XkqDL-kSqEsHDQ_3_2"/>
      <w:bookmarkStart w:id="884" w:name="Tc_fiiqcAYljkC4oQm2bOFJsQ_2_4"/>
      <w:bookmarkStart w:id="885" w:name="Tc_0RsTP----0WfRE2J4kW0hw_1_4"/>
      <w:bookmarkStart w:id="886" w:name="_25e15c4e_25cf_443e_951b_912d794bdd42"/>
      <w:bookmarkStart w:id="887" w:name="Tc_AVpwMWxcPUSrEeWTpSxU_A_7_4"/>
      <w:bookmarkStart w:id="888" w:name="Tc_edhptVv4w0Otnst460ZtFA_7_0"/>
      <w:bookmarkStart w:id="889" w:name="Tc_eT4UF8xPe0KL0Q6h7HVXBQ_6_0"/>
      <w:bookmarkStart w:id="890" w:name="Tc_jRN-Kff0rUy3kXZyTp4kMg_5_0"/>
      <w:bookmarkStart w:id="891" w:name="Tc_ZA60Nx0LAU2lOH22nCnGeA_4_0"/>
      <w:bookmarkStart w:id="892" w:name="Tc_dpicHiol1EyTRb_JvKqT5A_3_4"/>
      <w:bookmarkStart w:id="893" w:name="Tc_1HnHRKfR3UyolqgvT4Qr3Q_3_0"/>
      <w:bookmarkStart w:id="894" w:name="Tc_LGg495znpkmiXZqidm36nQ_2_4"/>
      <w:bookmarkStart w:id="895" w:name="Tc_2Mb3qQngjE6-6FqRg4M8Fw_2_2"/>
      <w:bookmarkStart w:id="896" w:name="Tc_Yg8lFL09hE-nXH59LLDNRA_1_4"/>
      <w:bookmarkStart w:id="897" w:name="_6323d5ce_e14c_49c4_8c48_f733001a8abf"/>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b/>
          <w:i/>
          <w:sz w:val="20"/>
        </w:rPr>
        <w:t>Restricted stock units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The following table summarizes the restricted stock units activity for the three months ended March 31, 2023:</w:t>
      </w:r>
    </w:p>
    <w:p>
      <w:pPr>
        <w:pStyle w:val="TextBody"/>
        <w:spacing w:lineRule="auto" w:line="285" w:before="0" w:after="0"/>
        <w:ind w:left="0" w:right="0" w:hanging="0"/>
        <w:rPr/>
      </w:pPr>
      <w:r>
        <w:rPr/>
        <w:t>​</w:t>
      </w:r>
    </w:p>
    <w:tbl>
      <w:tblPr>
        <w:tblW w:w="6639" w:type="dxa"/>
        <w:jc w:val="left"/>
        <w:tblInd w:w="0" w:type="dxa"/>
        <w:tblCellMar>
          <w:top w:w="0" w:type="dxa"/>
          <w:left w:w="0" w:type="dxa"/>
          <w:bottom w:w="0" w:type="dxa"/>
          <w:right w:w="0" w:type="dxa"/>
        </w:tblCellMar>
      </w:tblPr>
      <w:tblGrid>
        <w:gridCol w:w="3241"/>
        <w:gridCol w:w="326"/>
        <w:gridCol w:w="931"/>
        <w:gridCol w:w="326"/>
        <w:gridCol w:w="431"/>
        <w:gridCol w:w="1384"/>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58035" cy="175260"/>
                      <wp:effectExtent l="0" t="0" r="0" b="0"/>
                      <wp:wrapNone/>
                      <wp:docPr id="255" name="Frame255"/>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1185" cy="175260"/>
                      <wp:effectExtent l="0" t="0" r="0" b="0"/>
                      <wp:wrapNone/>
                      <wp:docPr id="257" name="Frame25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73685" cy="175260"/>
                      <wp:effectExtent l="0" t="0" r="0" b="0"/>
                      <wp:wrapNone/>
                      <wp:docPr id="259" name="Frame259"/>
                      <a:graphic xmlns:a="http://schemas.openxmlformats.org/drawingml/2006/main">
                        <a:graphicData uri="http://schemas.microsoft.com/office/word/2010/wordprocessingShape">
                          <wps:wsp>
                            <wps:cNvSpPr txBox="1"/>
                            <wps:spPr>
                              <a:xfrm>
                                <a:off x="0" y="0"/>
                                <a:ext cx="2736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78840" cy="175260"/>
                      <wp:effectExtent l="0" t="0" r="0" b="0"/>
                      <wp:wrapNone/>
                      <wp:docPr id="260" name="Frame260"/>
                      <a:graphic xmlns:a="http://schemas.openxmlformats.org/drawingml/2006/main">
                        <a:graphicData uri="http://schemas.microsoft.com/office/word/2010/wordprocessingShape">
                          <wps:wsp>
                            <wps:cNvSpPr txBox="1"/>
                            <wps:spPr>
                              <a:xfrm>
                                <a:off x="0" y="0"/>
                                <a:ext cx="8788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931"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81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81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spacing w:lineRule="auto" w:line="285" w:before="0" w:after="0"/>
              <w:ind w:left="0" w:right="0" w:hanging="0"/>
              <w:rPr/>
            </w:pPr>
            <w:r>
              <w:rPr/>
              <w:t> </w:t>
            </w:r>
          </w:p>
        </w:tc>
        <w:tc>
          <w:tcPr>
            <w:tcW w:w="93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1,893,994</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73.28</w:t>
            </w:r>
          </w:p>
        </w:tc>
      </w:tr>
      <w:tr>
        <w:trPr/>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lineRule="auto" w:line="285" w:before="0" w:after="0"/>
              <w:ind w:left="0" w:right="0" w:hanging="0"/>
              <w:rPr/>
            </w:pPr>
            <w:r>
              <w:rPr/>
              <w:t> </w:t>
            </w:r>
          </w:p>
        </w:tc>
        <w:tc>
          <w:tcPr>
            <w:tcW w:w="93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805,802</w:t>
            </w:r>
          </w:p>
        </w:tc>
        <w:tc>
          <w:tcPr>
            <w:tcW w:w="326" w:type="dxa"/>
            <w:tcBorders/>
            <w:shd w:fill="auto" w:val="clear"/>
            <w:vAlign w:val="center"/>
          </w:tcPr>
          <w:p>
            <w:pPr>
              <w:pStyle w:val="TableContents"/>
              <w:spacing w:lineRule="auto" w:line="285" w:before="0" w:after="0"/>
              <w:ind w:left="0" w:right="0" w:hanging="0"/>
              <w:rPr/>
            </w:pPr>
            <w:r>
              <w:rPr/>
              <w:t>​</w:t>
            </w:r>
          </w:p>
        </w:tc>
        <w:tc>
          <w:tcPr>
            <w:tcW w:w="431" w:type="dxa"/>
            <w:tcBorders/>
            <w:shd w:fill="auto" w:val="clear"/>
            <w:vAlign w:val="center"/>
          </w:tcPr>
          <w:p>
            <w:pPr>
              <w:pStyle w:val="TableContents"/>
              <w:spacing w:lineRule="auto" w:line="285" w:before="0" w:after="0"/>
              <w:ind w:left="0" w:right="0" w:hanging="0"/>
              <w:jc w:val="right"/>
              <w:rPr/>
            </w:pPr>
            <w:r>
              <w:rPr/>
              <w:t> </w:t>
            </w:r>
          </w:p>
        </w:tc>
        <w:tc>
          <w:tcPr>
            <w:tcW w:w="1384"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43.26</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lineRule="auto" w:line="285" w:before="0" w:after="0"/>
              <w:ind w:left="0" w:right="0" w:hanging="0"/>
              <w:rPr/>
            </w:pPr>
            <w:r>
              <w:rPr/>
              <w:t> </w:t>
            </w:r>
          </w:p>
        </w:tc>
        <w:tc>
          <w:tcPr>
            <w:tcW w:w="93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(457,416)</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shd w:fill="CCEEFF" w:val="clear"/>
            <w:vAlign w:val="center"/>
          </w:tcPr>
          <w:p>
            <w:pPr>
              <w:pStyle w:val="TableContents"/>
              <w:spacing w:lineRule="auto" w:line="285" w:before="0" w:after="0"/>
              <w:ind w:left="0" w:right="0" w:hanging="0"/>
              <w:jc w:val="right"/>
              <w:rPr/>
            </w:pPr>
            <w:r>
              <w:rPr/>
              <w:t> </w:t>
            </w:r>
          </w:p>
        </w:tc>
        <w:tc>
          <w:tcPr>
            <w:tcW w:w="1384"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73.43</w:t>
            </w:r>
          </w:p>
        </w:tc>
      </w:tr>
      <w:tr>
        <w:trPr/>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lineRule="auto" w:line="285"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(44,702)</w:t>
            </w:r>
          </w:p>
        </w:tc>
        <w:tc>
          <w:tcPr>
            <w:tcW w:w="326" w:type="dxa"/>
            <w:tcBorders/>
            <w:shd w:fill="auto" w:val="clear"/>
            <w:vAlign w:val="center"/>
          </w:tcPr>
          <w:p>
            <w:pPr>
              <w:pStyle w:val="TableContents"/>
              <w:spacing w:lineRule="auto" w:line="285" w:before="0" w:after="0"/>
              <w:ind w:left="0" w:right="0" w:hanging="0"/>
              <w:rPr/>
            </w:pPr>
            <w:r>
              <w:rPr/>
              <w:t>​</w:t>
            </w:r>
          </w:p>
        </w:tc>
        <w:tc>
          <w:tcPr>
            <w:tcW w:w="4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138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67.11</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Unvested shares at March 31, 2023</w:t>
            </w:r>
          </w:p>
        </w:tc>
        <w:tc>
          <w:tcPr>
            <w:tcW w:w="326" w:type="dxa"/>
            <w:tcBorders/>
            <w:shd w:fill="CCEEFF" w:val="clear"/>
            <w:vAlign w:val="center"/>
          </w:tcPr>
          <w:p>
            <w:pPr>
              <w:pStyle w:val="TableContents"/>
              <w:spacing w:lineRule="auto" w:line="285"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2,197,678</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62.38</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of March 31, 2023, the total unrecognized compensation expense related to unvested restricted stock units was $124.6 million, which is expected to be recognized over a weighted-average period of approximately 2.96 years.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Performance-based restricted stock units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During the three months ended March 31,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based on a three-year cumulative relative total shareholder return metric. Accordingly, additional PSUs may be issued or currently issued PSUs may be cancelled upon final determination of the number of units earned.</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The following table summarizes the PSU activity for the three months ended March 31, 2023:</w:t>
      </w:r>
    </w:p>
    <w:p>
      <w:pPr>
        <w:pStyle w:val="TextBody"/>
        <w:spacing w:lineRule="auto" w:line="285" w:before="0" w:after="0"/>
        <w:ind w:left="0" w:right="0" w:hanging="0"/>
        <w:rPr/>
      </w:pPr>
      <w:r>
        <w:rPr/>
        <w:t>​</w:t>
      </w:r>
    </w:p>
    <w:tbl>
      <w:tblPr>
        <w:tblW w:w="6384" w:type="dxa"/>
        <w:jc w:val="left"/>
        <w:tblInd w:w="0" w:type="dxa"/>
        <w:tblCellMar>
          <w:top w:w="0" w:type="dxa"/>
          <w:left w:w="0" w:type="dxa"/>
          <w:bottom w:w="0" w:type="dxa"/>
          <w:right w:w="0" w:type="dxa"/>
        </w:tblCellMar>
      </w:tblPr>
      <w:tblGrid>
        <w:gridCol w:w="3241"/>
        <w:gridCol w:w="326"/>
        <w:gridCol w:w="676"/>
        <w:gridCol w:w="326"/>
        <w:gridCol w:w="431"/>
        <w:gridCol w:w="1384"/>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58035" cy="175260"/>
                      <wp:effectExtent l="0" t="0" r="0" b="0"/>
                      <wp:wrapNone/>
                      <wp:docPr id="261" name="Frame261"/>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73685" cy="175260"/>
                      <wp:effectExtent l="0" t="0" r="0" b="0"/>
                      <wp:wrapNone/>
                      <wp:docPr id="265" name="Frame265"/>
                      <a:graphic xmlns:a="http://schemas.openxmlformats.org/drawingml/2006/main">
                        <a:graphicData uri="http://schemas.microsoft.com/office/word/2010/wordprocessingShape">
                          <wps:wsp>
                            <wps:cNvSpPr txBox="1"/>
                            <wps:spPr>
                              <a:xfrm>
                                <a:off x="0" y="0"/>
                                <a:ext cx="2736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78840" cy="175260"/>
                      <wp:effectExtent l="0" t="0" r="0" b="0"/>
                      <wp:wrapNone/>
                      <wp:docPr id="266" name="Frame266"/>
                      <a:graphic xmlns:a="http://schemas.openxmlformats.org/drawingml/2006/main">
                        <a:graphicData uri="http://schemas.microsoft.com/office/word/2010/wordprocessingShape">
                          <wps:wsp>
                            <wps:cNvSpPr txBox="1"/>
                            <wps:spPr>
                              <a:xfrm>
                                <a:off x="0" y="0"/>
                                <a:ext cx="8788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676"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81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676"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815" w:type="dxa"/>
            <w:gridSpan w:val="2"/>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81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Unvested shares at December 31, 2022</w:t>
            </w:r>
          </w:p>
        </w:tc>
        <w:tc>
          <w:tcPr>
            <w:tcW w:w="326" w:type="dxa"/>
            <w:tcBorders/>
            <w:shd w:fill="CCEEFF" w:val="clear"/>
            <w:vAlign w:val="center"/>
          </w:tcPr>
          <w:p>
            <w:pPr>
              <w:pStyle w:val="TableContents"/>
              <w:spacing w:lineRule="auto" w:line="285" w:before="0" w:after="0"/>
              <w:ind w:left="0" w:right="0" w:hanging="0"/>
              <w:rPr/>
            </w:pPr>
            <w:r>
              <w:rPr/>
              <w:t> </w:t>
            </w:r>
          </w:p>
        </w:tc>
        <w:tc>
          <w:tcPr>
            <w:tcW w:w="67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spacing w:lineRule="auto" w:line="285" w:before="0" w:after="0"/>
              <w:ind w:left="0" w:right="0" w:hanging="0"/>
              <w:jc w:val="right"/>
              <w:rPr/>
            </w:pPr>
            <w:r>
              <w:rPr/>
              <w:t>—</w:t>
            </w:r>
          </w:p>
        </w:tc>
      </w:tr>
      <w:tr>
        <w:trPr/>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lineRule="auto" w:line="285" w:before="0" w:after="0"/>
              <w:ind w:left="0" w:right="0" w:hanging="0"/>
              <w:rPr/>
            </w:pPr>
            <w:r>
              <w:rPr/>
              <w:t> </w:t>
            </w:r>
          </w:p>
        </w:tc>
        <w:tc>
          <w:tcPr>
            <w:tcW w:w="67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auto" w:val="clear"/>
            <w:vAlign w:val="center"/>
          </w:tcPr>
          <w:p>
            <w:pPr>
              <w:pStyle w:val="TableContents"/>
              <w:spacing w:lineRule="auto" w:line="285" w:before="0" w:after="0"/>
              <w:ind w:left="0" w:right="0" w:hanging="0"/>
              <w:rPr/>
            </w:pPr>
            <w:r>
              <w:rPr/>
              <w:t>​</w:t>
            </w:r>
          </w:p>
        </w:tc>
        <w:tc>
          <w:tcPr>
            <w:tcW w:w="431" w:type="dxa"/>
            <w:tcBorders/>
            <w:shd w:fill="auto" w:val="clear"/>
            <w:vAlign w:val="center"/>
          </w:tcPr>
          <w:p>
            <w:pPr>
              <w:pStyle w:val="TableContents"/>
              <w:spacing w:lineRule="auto" w:line="285" w:before="0" w:after="0"/>
              <w:ind w:left="0" w:right="0" w:hanging="0"/>
              <w:jc w:val="right"/>
              <w:rPr/>
            </w:pPr>
            <w:r>
              <w:rPr/>
              <w:t> </w:t>
            </w:r>
          </w:p>
        </w:tc>
        <w:tc>
          <w:tcPr>
            <w:tcW w:w="1384"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59.32</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lineRule="auto" w:line="285" w:before="0" w:after="0"/>
              <w:ind w:left="0" w:right="0" w:hanging="0"/>
              <w:rPr/>
            </w:pPr>
            <w:r>
              <w:rPr/>
              <w:t> </w:t>
            </w:r>
          </w:p>
        </w:tc>
        <w:tc>
          <w:tcPr>
            <w:tcW w:w="676"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shd w:fill="CCEEFF" w:val="clear"/>
            <w:vAlign w:val="center"/>
          </w:tcPr>
          <w:p>
            <w:pPr>
              <w:pStyle w:val="TableContents"/>
              <w:spacing w:lineRule="auto" w:line="285" w:before="0" w:after="0"/>
              <w:ind w:left="0" w:right="0" w:hanging="0"/>
              <w:jc w:val="right"/>
              <w:rPr/>
            </w:pPr>
            <w:r>
              <w:rPr/>
              <w:t> </w:t>
            </w:r>
          </w:p>
        </w:tc>
        <w:tc>
          <w:tcPr>
            <w:tcW w:w="1384" w:type="dxa"/>
            <w:tcBorders/>
            <w:shd w:fill="CCEEFF" w:val="clear"/>
            <w:vAlign w:val="center"/>
          </w:tcPr>
          <w:p>
            <w:pPr>
              <w:pStyle w:val="TableContents"/>
              <w:spacing w:lineRule="auto" w:line="285" w:before="0" w:after="0"/>
              <w:ind w:left="0" w:right="0" w:hanging="0"/>
              <w:jc w:val="right"/>
              <w:rPr/>
            </w:pPr>
            <w:r>
              <w:rPr/>
              <w:t>—</w:t>
            </w:r>
          </w:p>
        </w:tc>
      </w:tr>
      <w:tr>
        <w:trPr/>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lineRule="auto" w:line="285"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3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138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r>
      <w:tr>
        <w:trPr/>
        <w:tc>
          <w:tcPr>
            <w:tcW w:w="324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Unvested shares at March 31, 2023</w:t>
            </w:r>
          </w:p>
        </w:tc>
        <w:tc>
          <w:tcPr>
            <w:tcW w:w="326" w:type="dxa"/>
            <w:tcBorders/>
            <w:shd w:fill="CCEEFF" w:val="clear"/>
            <w:vAlign w:val="center"/>
          </w:tcPr>
          <w:p>
            <w:pPr>
              <w:pStyle w:val="TableContents"/>
              <w:spacing w:lineRule="auto" w:line="285"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CCEEFF" w:val="clear"/>
            <w:vAlign w:val="center"/>
          </w:tcPr>
          <w:p>
            <w:pPr>
              <w:pStyle w:val="TableContents"/>
              <w:spacing w:lineRule="auto" w:line="285" w:before="0" w:after="0"/>
              <w:ind w:left="0" w:right="0" w:hanging="0"/>
              <w:rPr/>
            </w:pPr>
            <w:r>
              <w:rPr/>
              <w:t>​</w:t>
            </w:r>
          </w:p>
        </w:tc>
        <w:tc>
          <w:tcPr>
            <w:tcW w:w="43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59.32</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As of March 31, 2023, the total unrecognized compensation expense related to unvested PSUs was $3.0 million, which is expected to be recognize over a weighted-average period of approximately 2.92 years.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2015 Employee Stock Purchase Plan</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In 2015, the Company’s board of directors and stockholders approved the 2015 Employee Stock Purchase Plan (the 2015 ESPP), which became effective upon the closing of the Company’s initial public offering in May 2015.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bookmarkStart w:id="898" w:name="Tc_QS5QW1wwDEiFSOe1uqFYjQ_6_5"/>
      <w:bookmarkStart w:id="899" w:name="Tc_pmi-iB-QnUu7HeYg1BBDcg_6_2"/>
      <w:bookmarkStart w:id="900" w:name="Tc_fgBxiQyuEkKvYpmYXfZFWQ_6_0"/>
      <w:bookmarkStart w:id="901" w:name="Tc_gXE6Y_8lKEq_tUJtnYiLZQ_5_0"/>
      <w:bookmarkStart w:id="902" w:name="Tc_gndaXIz9mEy7J74yZrL8Kw_4_5"/>
      <w:bookmarkStart w:id="903" w:name="Tc_CdBPiIUBqEaU63aCtA5ZFg_4_2"/>
      <w:bookmarkStart w:id="904" w:name="Tc_PJSmtsEjfk2pYjmdMgyPIA_4_0"/>
      <w:bookmarkStart w:id="905" w:name="Tc_99K-qdhrFEOPb_HQo2Xi4Q_3_5"/>
      <w:bookmarkStart w:id="906" w:name="Tc_xApxTyPAGkOHBZNqAG0x7Q_3_2"/>
      <w:bookmarkStart w:id="907" w:name="Tc_TZbIJ5lN4UizXR7emT5oLw_2_2"/>
      <w:bookmarkStart w:id="908" w:name="Tc_SiFeNFqzfE63Cod7vxGkkA_1_2"/>
      <w:bookmarkStart w:id="909" w:name="_05dd9d58_7813_4929_9a4c_e1467b32a99b"/>
      <w:bookmarkStart w:id="910" w:name="Tc_ssaXqrA3TUq6UjDs27lS6Q_10_4"/>
      <w:bookmarkStart w:id="911" w:name="Tc_pQ9rYczIPkqOxTQXO5r9Wg_10_1"/>
      <w:bookmarkStart w:id="912" w:name="Tc_s8njOLhEkEWm5IdGgkHlQQ_10_0"/>
      <w:bookmarkStart w:id="913" w:name="Tc_7r8FjbA3b0utHtFsXu9VPw_9_0"/>
      <w:bookmarkStart w:id="914" w:name="Tc_ZNH24T0sjEWEqqb1uj1wvQ_8_0"/>
      <w:bookmarkStart w:id="915" w:name="Tc_UrcdBKRGgUOvPnJfTToNKQ_7_0"/>
      <w:bookmarkStart w:id="916" w:name="Tc_P2dcKw3hukmAYXONjBbOgA_6_5"/>
      <w:bookmarkStart w:id="917" w:name="Tc_-kaP--meVUmksbbtS8oN4Q_6_0"/>
      <w:bookmarkStart w:id="918" w:name="Tc_xNsXlRb-mUWcrePCDVbUUA_5_0"/>
      <w:bookmarkStart w:id="919" w:name="Tc_qtoXPDChQk6AEkFdAeomLg_4_4"/>
      <w:bookmarkStart w:id="920" w:name="Tc_AzewXV68KUy6tPXd_5d10Q_4_1"/>
      <w:bookmarkStart w:id="921" w:name="Tc_0pl3FaBCLE6_1zijtYirQA_4_0"/>
      <w:bookmarkStart w:id="922" w:name="Tc_Q_4wsT4H-06ErYgTbqWzBA_3_5"/>
      <w:bookmarkStart w:id="923" w:name="Tc_bijo-rCGHUCZTBmZJNUCIQ_3_2"/>
      <w:bookmarkStart w:id="924" w:name="Tc_D5R5vrC0ok6lEku9rlEyUQ_2_2"/>
      <w:bookmarkStart w:id="925" w:name="Tc_WlqB1IQXUEe9sy9OKf80Kw_1_1"/>
      <w:bookmarkStart w:id="926" w:name="_9038be8d_690a_42aa_8b26_e75f2f67ddec"/>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sz w:val="20"/>
        </w:rPr>
        <w:t xml:space="preserve">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2023, the number of shares reserved for issuance under the 2015 ESPP was increased by 599,589 shares. </w:t>
      </w:r>
    </w:p>
    <w:p>
      <w:pPr>
        <w:pStyle w:val="TextBody"/>
        <w:spacing w:lineRule="auto" w:line="307" w:before="0" w:after="160"/>
        <w:ind w:left="0" w:right="0" w:hanging="0"/>
        <w:rPr>
          <w:rFonts w:ascii="Times New Roman;Times;serif" w:hAnsi="Times New Roman;Times;serif"/>
          <w:b/>
          <w:i/>
          <w:sz w:val="20"/>
        </w:rPr>
      </w:pPr>
      <w:r>
        <w:rPr>
          <w:rFonts w:ascii="Times New Roman;Times;serif" w:hAnsi="Times New Roman;Times;serif"/>
          <w:b/>
          <w:i/>
          <w:sz w:val="20"/>
        </w:rPr>
        <w:t>Stock-based compensation expense</w:t>
      </w:r>
    </w:p>
    <w:p>
      <w:pPr>
        <w:pStyle w:val="TextBody"/>
        <w:spacing w:lineRule="auto" w:line="285"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The Company recognized stock-based compensation expense totaling $23.2 million and $23.4 million for the three months ended March 31, 2023 and 2022, respectively. Stock-based compensation expense by award type included within the unaudited condensed consolidated statements of operations and comprehensive loss was as follows (in thousands):</w:t>
      </w:r>
    </w:p>
    <w:p>
      <w:pPr>
        <w:pStyle w:val="TextBody"/>
        <w:spacing w:lineRule="auto" w:line="285" w:before="0" w:after="0"/>
        <w:ind w:left="0" w:right="0" w:hanging="0"/>
        <w:rPr/>
      </w:pPr>
      <w:r>
        <w:rPr/>
        <w:t>​</w:t>
      </w:r>
    </w:p>
    <w:tbl>
      <w:tblPr>
        <w:tblW w:w="8824" w:type="dxa"/>
        <w:jc w:val="left"/>
        <w:tblInd w:w="0" w:type="dxa"/>
        <w:tblCellMar>
          <w:top w:w="0" w:type="dxa"/>
          <w:left w:w="0" w:type="dxa"/>
          <w:bottom w:w="0" w:type="dxa"/>
          <w:right w:w="0" w:type="dxa"/>
        </w:tblCellMar>
      </w:tblPr>
      <w:tblGrid>
        <w:gridCol w:w="6721"/>
        <w:gridCol w:w="211"/>
        <w:gridCol w:w="676"/>
        <w:gridCol w:w="109"/>
        <w:gridCol w:w="326"/>
        <w:gridCol w:w="781"/>
      </w:tblGrid>
      <w:tr>
        <w:trPr/>
        <w:tc>
          <w:tcPr>
            <w:tcW w:w="6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67835" cy="175260"/>
                      <wp:effectExtent l="0" t="0" r="0" b="0"/>
                      <wp:wrapNone/>
                      <wp:docPr id="267" name="Frame267"/>
                      <a:graphic xmlns:a="http://schemas.openxmlformats.org/drawingml/2006/main">
                        <a:graphicData uri="http://schemas.microsoft.com/office/word/2010/wordprocessingShape">
                          <wps:wsp>
                            <wps:cNvSpPr txBox="1"/>
                            <wps:spPr>
                              <a:xfrm>
                                <a:off x="0" y="0"/>
                                <a:ext cx="42678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9260" cy="175260"/>
                      <wp:effectExtent l="0" t="0" r="0" b="0"/>
                      <wp:wrapNone/>
                      <wp:docPr id="269" name="Frame26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6721" w:type="dxa"/>
            <w:tcBorders/>
            <w:shd w:fill="auto" w:val="clear"/>
            <w:vAlign w:val="center"/>
          </w:tcPr>
          <w:p>
            <w:pPr>
              <w:pStyle w:val="TableContents"/>
              <w:spacing w:lineRule="auto" w:line="285" w:before="0" w:after="0"/>
              <w:ind w:left="0" w:right="0" w:hanging="0"/>
              <w:rPr/>
            </w:pPr>
            <w:r>
              <w:rPr/>
              <w:t>​</w:t>
            </w:r>
          </w:p>
        </w:tc>
        <w:tc>
          <w:tcPr>
            <w:tcW w:w="2103"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1892" w:type="dxa"/>
            <w:gridSpan w:val="4"/>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32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10,861</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12,945</w:t>
            </w:r>
          </w:p>
        </w:tc>
      </w:tr>
      <w:tr>
        <w:trPr/>
        <w:tc>
          <w:tcPr>
            <w:tcW w:w="67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Restricted stock units </w:t>
            </w:r>
          </w:p>
        </w:tc>
        <w:tc>
          <w:tcPr>
            <w:tcW w:w="211" w:type="dxa"/>
            <w:tcBorders/>
            <w:shd w:fill="auto" w:val="clear"/>
            <w:vAlign w:val="center"/>
          </w:tcPr>
          <w:p>
            <w:pPr>
              <w:pStyle w:val="TableContents"/>
              <w:spacing w:lineRule="auto" w:line="285" w:before="0" w:after="0"/>
              <w:ind w:left="0" w:right="0" w:hanging="0"/>
              <w:rPr/>
            </w:pPr>
            <w:r>
              <w:rPr/>
              <w:t>​</w:t>
            </w:r>
          </w:p>
        </w:tc>
        <w:tc>
          <w:tcPr>
            <w:tcW w:w="67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11,940</w:t>
            </w:r>
          </w:p>
        </w:tc>
        <w:tc>
          <w:tcPr>
            <w:tcW w:w="109" w:type="dxa"/>
            <w:tcBorders/>
            <w:shd w:fill="auto" w:val="cle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10,385</w:t>
            </w:r>
          </w:p>
        </w:tc>
      </w:tr>
      <w:tr>
        <w:trPr/>
        <w:tc>
          <w:tcPr>
            <w:tcW w:w="67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Performance-based restricted stock units</w:t>
            </w:r>
          </w:p>
        </w:tc>
        <w:tc>
          <w:tcPr>
            <w:tcW w:w="211" w:type="dxa"/>
            <w:tcBorders/>
            <w:shd w:fill="CCEEFF" w:val="clear"/>
            <w:vAlign w:val="center"/>
          </w:tcPr>
          <w:p>
            <w:pPr>
              <w:pStyle w:val="TableContents"/>
              <w:spacing w:lineRule="auto" w:line="285" w:before="0" w:after="0"/>
              <w:ind w:left="0" w:right="0" w:hanging="0"/>
              <w:rPr/>
            </w:pPr>
            <w:r>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r>
      <w:tr>
        <w:trPr/>
        <w:tc>
          <w:tcPr>
            <w:tcW w:w="67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Employee stock purchase plan</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109" w:type="dxa"/>
            <w:tcBorders/>
            <w:shd w:fill="auto" w:val="clear"/>
            <w:vAlign w:val="center"/>
          </w:tcPr>
          <w:p>
            <w:pPr>
              <w:pStyle w:val="TableContents"/>
              <w:spacing w:lineRule="auto" w:line="285"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67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Subtotal</w:t>
            </w:r>
          </w:p>
        </w:tc>
        <w:tc>
          <w:tcPr>
            <w:tcW w:w="211" w:type="dxa"/>
            <w:tcBorders/>
            <w:shd w:fill="CCEEFF" w:val="clear"/>
            <w:vAlign w:val="center"/>
          </w:tcPr>
          <w:p>
            <w:pPr>
              <w:pStyle w:val="TableContents"/>
              <w:spacing w:lineRule="auto" w:line="285" w:before="0" w:after="0"/>
              <w:ind w:left="0" w:right="0" w:hanging="0"/>
              <w:rPr/>
            </w:pPr>
            <w:r>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23,340</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23,609</w:t>
            </w:r>
          </w:p>
        </w:tc>
      </w:tr>
      <w:tr>
        <w:trPr/>
        <w:tc>
          <w:tcPr>
            <w:tcW w:w="67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Capitalized stock-based compensation costs</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auto" w:val="clear"/>
            <w:vAlign w:val="center"/>
          </w:tcPr>
          <w:p>
            <w:pPr>
              <w:pStyle w:val="TableContents"/>
              <w:spacing w:lineRule="auto" w:line="285"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67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23,196</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23,399</w:t>
            </w:r>
          </w:p>
        </w:tc>
      </w:tr>
    </w:tbl>
    <w:p>
      <w:pPr>
        <w:pStyle w:val="TextBody"/>
        <w:spacing w:lineRule="auto" w:line="285" w:before="0" w:after="0"/>
        <w:ind w:left="0" w:right="0" w:hanging="0"/>
        <w:rPr>
          <w:highlight w:val="white"/>
        </w:rPr>
      </w:pPr>
      <w:r>
        <w:rPr>
          <w:highlight w:val="white"/>
        </w:rPr>
        <w:t> </w:t>
      </w:r>
    </w:p>
    <w:p>
      <w:pPr>
        <w:pStyle w:val="TextBody"/>
        <w:spacing w:lineRule="auto" w:line="285" w:before="0" w:after="0"/>
        <w:ind w:left="0" w:right="0" w:hanging="0"/>
        <w:rPr>
          <w:highlight w:val="white"/>
        </w:rPr>
      </w:pPr>
      <w:r>
        <w:rPr>
          <w:highlight w:val="white"/>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20"/>
          <w:highlight w:val="white"/>
        </w:rPr>
        <w:t> that is included in operating expenses,</w:t>
      </w:r>
      <w:r>
        <w:rPr>
          <w:rFonts w:ascii="Times New Roman;Times;serif" w:hAnsi="Times New Roman;Times;serif"/>
          <w:sz w:val="20"/>
        </w:rPr>
        <w:t xml:space="preserve"> by classification within the unaudited condensed consolidated statements of operations and comprehensive loss is as follows (in thousands):</w:t>
      </w:r>
    </w:p>
    <w:p>
      <w:pPr>
        <w:pStyle w:val="TextBody"/>
        <w:spacing w:lineRule="auto" w:line="285" w:before="0" w:after="0"/>
        <w:ind w:left="0" w:right="0" w:hanging="0"/>
        <w:rPr/>
      </w:pPr>
      <w:r>
        <w:rPr/>
        <w:t>​</w:t>
      </w:r>
    </w:p>
    <w:tbl>
      <w:tblPr>
        <w:tblW w:w="5536" w:type="dxa"/>
        <w:jc w:val="left"/>
        <w:tblInd w:w="0" w:type="dxa"/>
        <w:tblCellMar>
          <w:top w:w="0" w:type="dxa"/>
          <w:left w:w="0" w:type="dxa"/>
          <w:bottom w:w="0" w:type="dxa"/>
          <w:right w:w="0" w:type="dxa"/>
        </w:tblCellMar>
      </w:tblPr>
      <w:tblGrid>
        <w:gridCol w:w="2956"/>
        <w:gridCol w:w="109"/>
        <w:gridCol w:w="211"/>
        <w:gridCol w:w="676"/>
        <w:gridCol w:w="326"/>
        <w:gridCol w:w="211"/>
        <w:gridCol w:w="676"/>
        <w:gridCol w:w="37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77060" cy="175260"/>
                      <wp:effectExtent l="0" t="0" r="0" b="0"/>
                      <wp:wrapNone/>
                      <wp:docPr id="273" name="Frame273"/>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260"/>
                      <wp:effectExtent l="0" t="0" r="0" b="0"/>
                      <wp:wrapNone/>
                      <wp:docPr id="276" name="Frame27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9260" cy="175260"/>
                      <wp:effectExtent l="0" t="0" r="0" b="0"/>
                      <wp:wrapNone/>
                      <wp:docPr id="279" name="Frame27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35585" cy="175260"/>
                      <wp:effectExtent l="0" t="0" r="0" b="0"/>
                      <wp:wrapNone/>
                      <wp:docPr id="280" name="Frame280"/>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00"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lineRule="auto" w:line="285" w:before="0" w:after="0"/>
              <w:ind w:left="0" w:right="0" w:hanging="0"/>
              <w:jc w:val="center"/>
              <w:rPr/>
            </w:pPr>
            <w:r>
              <w:rPr/>
              <w:t>​</w:t>
            </w:r>
          </w:p>
        </w:tc>
      </w:tr>
      <w:tr>
        <w:trPr/>
        <w:tc>
          <w:tcPr>
            <w:tcW w:w="295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lineRule="auto" w:line="285" w:before="0" w:after="0"/>
              <w:ind w:left="0" w:right="0" w:hanging="0"/>
              <w:jc w:val="center"/>
              <w:rPr/>
            </w:pPr>
            <w:r>
              <w:rPr/>
              <w:t>​</w:t>
            </w:r>
          </w:p>
        </w:tc>
      </w:tr>
      <w:tr>
        <w:trPr/>
        <w:tc>
          <w:tcPr>
            <w:tcW w:w="295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lineRule="auto" w:line="285" w:before="0" w:after="0"/>
              <w:ind w:left="0" w:right="0" w:hanging="0"/>
              <w:jc w:val="center"/>
              <w:rPr/>
            </w:pPr>
            <w:r>
              <w:rPr/>
              <w:t>​</w:t>
            </w:r>
          </w:p>
        </w:tc>
      </w:tr>
      <w:tr>
        <w:trPr/>
        <w:tc>
          <w:tcPr>
            <w:tcW w:w="295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10,041</w:t>
            </w:r>
          </w:p>
        </w:tc>
        <w:tc>
          <w:tcPr>
            <w:tcW w:w="371" w:type="dxa"/>
            <w:tcBorders/>
            <w:shd w:fill="CCEEFF" w:val="clear"/>
            <w:vAlign w:val="center"/>
          </w:tcPr>
          <w:p>
            <w:pPr>
              <w:pStyle w:val="TableContents"/>
              <w:spacing w:lineRule="auto" w:line="285" w:before="0" w:after="0"/>
              <w:ind w:left="0" w:right="0" w:hanging="0"/>
              <w:rPr/>
            </w:pPr>
            <w:r>
              <w:rPr/>
              <w:t>    </w:t>
            </w:r>
          </w:p>
        </w:tc>
      </w:tr>
      <w:tr>
        <w:trPr/>
        <w:tc>
          <w:tcPr>
            <w:tcW w:w="295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13,079</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 </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13,358</w:t>
            </w:r>
          </w:p>
        </w:tc>
        <w:tc>
          <w:tcPr>
            <w:tcW w:w="371" w:type="dxa"/>
            <w:tcBorders/>
            <w:shd w:fill="auto" w:val="clear"/>
            <w:vAlign w:val="center"/>
          </w:tcPr>
          <w:p>
            <w:pPr>
              <w:pStyle w:val="TableContents"/>
              <w:spacing w:lineRule="auto" w:line="285" w:before="0" w:after="0"/>
              <w:ind w:left="0" w:right="0" w:hanging="0"/>
              <w:rPr/>
            </w:pPr>
            <w:r>
              <w:rPr/>
              <w:t>​</w:t>
            </w:r>
          </w:p>
        </w:tc>
      </w:tr>
      <w:tr>
        <w:trPr/>
        <w:tc>
          <w:tcPr>
            <w:tcW w:w="295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23,196</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23,399</w:t>
            </w:r>
          </w:p>
        </w:tc>
        <w:tc>
          <w:tcPr>
            <w:tcW w:w="371" w:type="dxa"/>
            <w:tcBorders/>
            <w:shd w:fill="CCEEFF" w:val="clear"/>
            <w:vAlign w:val="center"/>
          </w:tcPr>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firstLine="720"/>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 xml:space="preserve">12. Net Loss per Share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performance-based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bookmarkStart w:id="927" w:name="Tc_Fafv-QBqs0e2c9ztNJZBtw_7_0"/>
      <w:bookmarkStart w:id="928" w:name="Tc_TD6UmR-cvUGjRY31czl0nQ_6_0"/>
      <w:bookmarkStart w:id="929" w:name="Tc_BQYU2iiYCEOmGacFqN4w0A_5_4"/>
      <w:bookmarkStart w:id="930" w:name="Tc_c3KXUkxXAky-TobuVgCbHw_5_0"/>
      <w:bookmarkStart w:id="931" w:name="Tc_gAW9DhrOXEStps1s6kt-HQ_4_0"/>
      <w:bookmarkStart w:id="932" w:name="Tc_0dxgwyGWz0uouclQ92nhrQ_3_0"/>
      <w:bookmarkStart w:id="933" w:name="Tc_sRSG0WJAc0e_aTojwOdtBA_2_4"/>
      <w:bookmarkStart w:id="934" w:name="Tc_kRNaaof0e06jJRLbhviqxQ_2_2"/>
      <w:bookmarkStart w:id="935" w:name="Tc_ZZaKFXu7k0e6U8oloxqkXg_1_2"/>
      <w:bookmarkStart w:id="936" w:name="_a23eaf80_921e_4c4e_87f6_854b87d0f3a1"/>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sz w:val="20"/>
        </w:rPr>
        <w:t>The following common stock equivalents were excluded from the calculation of diluted net loss per share for the three months ended March 31, 2023 and 2022 because including them would have had an anti-dilutive effect (in thousands):</w:t>
      </w:r>
    </w:p>
    <w:p>
      <w:pPr>
        <w:pStyle w:val="TextBody"/>
        <w:spacing w:lineRule="auto" w:line="285" w:before="0" w:after="0"/>
        <w:ind w:left="0" w:right="0" w:hanging="0"/>
        <w:rPr/>
      </w:pPr>
      <w:r>
        <w:rPr/>
        <w:t>​</w:t>
      </w:r>
    </w:p>
    <w:tbl>
      <w:tblPr>
        <w:tblW w:w="5275" w:type="dxa"/>
        <w:jc w:val="left"/>
        <w:tblInd w:w="0" w:type="dxa"/>
        <w:tblCellMar>
          <w:top w:w="0" w:type="dxa"/>
          <w:left w:w="0" w:type="dxa"/>
          <w:bottom w:w="0" w:type="dxa"/>
          <w:right w:w="0" w:type="dxa"/>
        </w:tblCellMar>
      </w:tblPr>
      <w:tblGrid>
        <w:gridCol w:w="3376"/>
        <w:gridCol w:w="326"/>
        <w:gridCol w:w="571"/>
        <w:gridCol w:w="326"/>
        <w:gridCol w:w="676"/>
      </w:tblGrid>
      <w:tr>
        <w:trPr/>
        <w:tc>
          <w:tcPr>
            <w:tcW w:w="3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43760" cy="175260"/>
                      <wp:effectExtent l="0" t="0" r="0" b="0"/>
                      <wp:wrapNone/>
                      <wp:docPr id="281" name="Frame281"/>
                      <a:graphic xmlns:a="http://schemas.openxmlformats.org/drawingml/2006/main">
                        <a:graphicData uri="http://schemas.microsoft.com/office/word/2010/wordprocessingShape">
                          <wps:wsp>
                            <wps:cNvSpPr txBox="1"/>
                            <wps:spPr>
                              <a:xfrm>
                                <a:off x="0" y="0"/>
                                <a:ext cx="21437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3" name="Frame28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37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573"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7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7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lineRule="auto" w:line="285" w:before="0" w:after="0"/>
              <w:ind w:left="0" w:right="0" w:hanging="0"/>
              <w:rPr/>
            </w:pPr>
            <w:r>
              <w:rPr/>
              <w:t> </w:t>
            </w:r>
          </w:p>
        </w:tc>
        <w:tc>
          <w:tcPr>
            <w:tcW w:w="5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7,189</w:t>
            </w:r>
          </w:p>
        </w:tc>
        <w:tc>
          <w:tcPr>
            <w:tcW w:w="326" w:type="dxa"/>
            <w:tcBorders/>
            <w:shd w:fill="CCEEFF" w:val="clear"/>
            <w:vAlign w:val="center"/>
          </w:tcPr>
          <w:p>
            <w:pPr>
              <w:pStyle w:val="TableContents"/>
              <w:spacing w:lineRule="auto" w:line="285" w:before="0" w:after="0"/>
              <w:ind w:left="0" w:right="0" w:hanging="0"/>
              <w:rPr/>
            </w:pPr>
            <w:r>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6,346</w:t>
            </w:r>
          </w:p>
        </w:tc>
      </w:tr>
      <w:tr>
        <w:trPr/>
        <w:tc>
          <w:tcPr>
            <w:tcW w:w="337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auto" w:val="clear"/>
            <w:vAlign w:val="center"/>
          </w:tcPr>
          <w:p>
            <w:pPr>
              <w:pStyle w:val="TableContents"/>
              <w:spacing w:lineRule="auto" w:line="285" w:before="0" w:after="0"/>
              <w:ind w:left="0" w:right="0" w:hanging="0"/>
              <w:rPr/>
            </w:pPr>
            <w:r>
              <w:rPr/>
              <w:t> </w:t>
            </w:r>
          </w:p>
        </w:tc>
        <w:tc>
          <w:tcPr>
            <w:tcW w:w="57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26" w:type="dxa"/>
            <w:tcBorders/>
            <w:shd w:fill="auto" w:val="clear"/>
            <w:vAlign w:val="center"/>
          </w:tcPr>
          <w:p>
            <w:pPr>
              <w:pStyle w:val="TableContents"/>
              <w:spacing w:lineRule="auto" w:line="285" w:before="0" w:after="0"/>
              <w:ind w:left="0" w:right="0" w:hanging="0"/>
              <w:rPr/>
            </w:pPr>
            <w:r>
              <w:rPr/>
              <w:t>​</w:t>
            </w:r>
          </w:p>
        </w:tc>
        <w:tc>
          <w:tcPr>
            <w:tcW w:w="67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337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spacing w:lineRule="auto" w:line="285" w:before="0" w:after="0"/>
              <w:ind w:left="0" w:right="0" w:hanging="0"/>
              <w:rPr/>
            </w:pPr>
            <w:r>
              <w:rPr/>
              <w:t>​</w:t>
            </w:r>
          </w:p>
        </w:tc>
        <w:tc>
          <w:tcPr>
            <w:tcW w:w="5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spacing w:lineRule="auto" w:line="285" w:before="0" w:after="0"/>
              <w:ind w:left="0" w:right="0" w:hanging="0"/>
              <w:rPr/>
            </w:pPr>
            <w:r>
              <w:rPr/>
              <w:t>​</w:t>
            </w:r>
          </w:p>
        </w:tc>
        <w:tc>
          <w:tcPr>
            <w:tcW w:w="676" w:type="dxa"/>
            <w:tcBorders/>
            <w:shd w:fill="CCEEFF" w:val="clear"/>
            <w:vAlign w:val="center"/>
          </w:tcPr>
          <w:p>
            <w:pPr>
              <w:pStyle w:val="TableContents"/>
              <w:spacing w:lineRule="auto" w:line="285" w:before="0" w:after="0"/>
              <w:ind w:left="0" w:right="0" w:hanging="0"/>
              <w:jc w:val="right"/>
              <w:rPr/>
            </w:pPr>
            <w:r>
              <w:rPr/>
              <w:t>—</w:t>
            </w:r>
          </w:p>
        </w:tc>
      </w:tr>
      <w:tr>
        <w:trPr/>
        <w:tc>
          <w:tcPr>
            <w:tcW w:w="337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ESPP shares</w:t>
            </w:r>
          </w:p>
        </w:tc>
        <w:tc>
          <w:tcPr>
            <w:tcW w:w="326" w:type="dxa"/>
            <w:tcBorders/>
            <w:shd w:fill="auto" w:val="clear"/>
            <w:vAlign w:val="center"/>
          </w:tcPr>
          <w:p>
            <w:pPr>
              <w:pStyle w:val="TableContents"/>
              <w:spacing w:lineRule="auto" w:line="285"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lineRule="auto" w:line="285" w:before="0" w:after="0"/>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37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lineRule="auto" w:line="285"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9,495</w:t>
            </w:r>
          </w:p>
        </w:tc>
        <w:tc>
          <w:tcPr>
            <w:tcW w:w="326" w:type="dxa"/>
            <w:tcBorders/>
            <w:shd w:fill="CCEEFF" w:val="clear"/>
            <w:vAlign w:val="center"/>
          </w:tcPr>
          <w:p>
            <w:pPr>
              <w:pStyle w:val="TableContents"/>
              <w:spacing w:lineRule="auto" w:line="285"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8,238</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13. Income Taxes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March 31, 2023, the Company has a full valuation allowance applied against its U.S. and foreign deferred tax assets.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has included the tax impact of capitalizing and amortizing these costs over the required periods for the three months ended March 31, 2023.</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with profits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effective tax rate or income tax payable and deferred income tax positions.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of March 31, 2023, the Company expects to be in a taxable loss position for the calendar year ended December 31, 2023, and has recorded an income tax expense of $0.5 million for the three months ended March 31, 2023. The Company recorded an income tax provision despite forecasting a taxable loss due to the impact of recording unfavorable discrete items in the period, and taxable income from the jurisdictions in which the Company is subject to tax.</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As of March 31, 2023, the Company had gross unrecognized tax benefit, excluding interest and penalties of approximately $0.2 million. As of December 31, 2022, the Company did not have any gross unrecognized tax benefit. The company recognizes interest and penalties related to unrecognized tax benefits in the provision for income taxes. As of March 31, 2023, the Company has accrued an insignificant amount of interest and penalties related to uncertain tax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positions. </w:t>
      </w:r>
    </w:p>
    <w:p>
      <w:pPr>
        <w:pStyle w:val="TextBody"/>
        <w:spacing w:lineRule="auto" w:line="285" w:before="0" w:after="240"/>
        <w:ind w:left="0" w:right="0" w:hanging="0"/>
        <w:rPr>
          <w:rFonts w:ascii="Times New Roman;Times;serif" w:hAnsi="Times New Roman;Times;serif"/>
          <w:b/>
          <w:sz w:val="20"/>
        </w:rPr>
      </w:pPr>
      <w:bookmarkStart w:id="937" w:name="Tc_-lMqQuYO2U-rf7J4cnCaMg_3_0"/>
      <w:bookmarkStart w:id="938" w:name="Tc_J-qDkMLBhkqUYH1ZhRH5Kw_2_0"/>
      <w:bookmarkStart w:id="939" w:name="Tc_-nw0OnivOEWfefS1fHA9Gg_1_5"/>
      <w:bookmarkStart w:id="940" w:name="_7e6dbf88_ddd8_4a57_ae63_a56a58037681"/>
      <w:bookmarkStart w:id="941" w:name="Tc_hkcwNwUsX02je72JFeG8ag_6_5"/>
      <w:bookmarkStart w:id="942" w:name="Tc_YOEM7U2N4k-udcBVydemMA_6_4"/>
      <w:bookmarkStart w:id="943" w:name="Tc_2P8qDCttoE6b2D8XX3H4OQ_6_2"/>
      <w:bookmarkStart w:id="944" w:name="Tc_6q0s7obQw0GNZ_7dwG0SUw_6_1"/>
      <w:bookmarkStart w:id="945" w:name="Tc_YB2J4c_E3U6dQAFu9xsdxw_6_0"/>
      <w:bookmarkStart w:id="946" w:name="Tc_Kji8hYtNsU2zRea_PRCPhA_5_0"/>
      <w:bookmarkStart w:id="947" w:name="Tc_49jEm6wbzkaD3Z0YodQD3w_4_4"/>
      <w:bookmarkStart w:id="948" w:name="Tc_rye83IH8AE6LJXB4D2klsA_4_1"/>
      <w:bookmarkStart w:id="949" w:name="Tc_1A1Cg5uTtEaltYgxOggLPg_4_0"/>
      <w:bookmarkStart w:id="950" w:name="Tc_t9sse50uQkqA9hudoncREg_3_4"/>
      <w:bookmarkStart w:id="951" w:name="Tc_nWBDCyiC00ys_KurSx1mwg_3_1"/>
      <w:bookmarkStart w:id="952" w:name="Tc_4hCNssjmPEO8KIK50xAtxw_2_1"/>
      <w:bookmarkStart w:id="953" w:name="Tc_7C0_i-0TyEmqUnGP1WENAw_1_1"/>
      <w:bookmarkStart w:id="954" w:name="_31d6d202_f2b1_4003_b38a_fd64bb33044b"/>
      <w:bookmarkStart w:id="955" w:name="Tc_mbsURE4OnUmP8EP4bKmFww_6_4"/>
      <w:bookmarkStart w:id="956" w:name="Tc_28YzxvczQk6FKvRD-YfVmg_6_1"/>
      <w:bookmarkStart w:id="957" w:name="Tc_CfDgTz0Od0aUBjiC4O0ehw_6_0"/>
      <w:bookmarkStart w:id="958" w:name="Tc__02JqhaflEyH6kvt1m85og_5_2"/>
      <w:bookmarkStart w:id="959" w:name="Tc_OPC7RFbAF0azofY3otL_Hw_5_0"/>
      <w:bookmarkStart w:id="960" w:name="Tc_2M7-vbEmJkG5qiSagWMIeA_4_4"/>
      <w:bookmarkStart w:id="961" w:name="Tc_AvRDoAz11ECoQFc7c9E4IA_4_1"/>
      <w:bookmarkStart w:id="962" w:name="Tc_DJ4Gr8FkVkKoVx9YtIK-wA_4_0"/>
      <w:bookmarkStart w:id="963" w:name="Tc_uEd42KocW0ild-9PjbjlkQ_3_4"/>
      <w:bookmarkStart w:id="964" w:name="Tc_K4TSiGYfcUOvYf9fsJAPSA_3_1"/>
      <w:bookmarkStart w:id="965" w:name="Tc_MMhn1wL1fk2SvOdIoADM8w_3_0"/>
      <w:bookmarkStart w:id="966" w:name="Tc_V0DvQrEcnEKWiMj409jIaA_2_1"/>
      <w:bookmarkStart w:id="967" w:name="Tc_k38_4YLvqk6kyR253sBT3Q_1_1"/>
      <w:bookmarkStart w:id="968" w:name="_f9d77b57_c84e_433b_a5a6_7ba588ab84e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b/>
          <w:sz w:val="20"/>
        </w:rPr>
        <w:t>14. Leases</w:t>
      </w:r>
    </w:p>
    <w:p>
      <w:pPr>
        <w:pStyle w:val="TextBody"/>
        <w:spacing w:lineRule="auto" w:line="285" w:before="0" w:after="0"/>
        <w:ind w:left="0" w:right="0" w:hanging="0"/>
        <w:rPr/>
      </w:pPr>
      <w:r>
        <w:rPr>
          <w:caps w:val="false"/>
          <w:smallCaps w:val="false"/>
          <w:highlight w:val="white"/>
        </w:rPr>
        <w:t> </w:t>
      </w:r>
      <w:r>
        <w:rPr>
          <w:rFonts w:ascii="Times New Roman;Times;serif" w:hAnsi="Times New Roman;Times;serif"/>
          <w:sz w:val="20"/>
          <w:highlight w:val="white"/>
        </w:rPr>
        <w:t>The Company’s building leases are comprised of office and laboratory spaces under non-cancelable operating leases. The lease agreements contain various clauses for renewal at the Company’s option, and the renewal options were not included in the calculation of the operating lease assets and the operating lease liabilities as the renewal options were not reasonably certain of being exercised as of March 31, 2023. The lease agreements do not contain residual value guarantees and t</w:t>
      </w:r>
      <w:r>
        <w:rPr>
          <w:rFonts w:ascii="Times New Roman;Times;serif" w:hAnsi="Times New Roman;Times;serif"/>
          <w:sz w:val="20"/>
        </w:rPr>
        <w:t>he components of lease cost for the three months ended March 31, 2023 and 2022 were as follows (in thousands):</w:t>
      </w:r>
    </w:p>
    <w:p>
      <w:pPr>
        <w:pStyle w:val="TextBody"/>
        <w:spacing w:lineRule="auto" w:line="285" w:before="0" w:after="0"/>
        <w:ind w:left="0" w:right="0" w:hanging="0"/>
        <w:rPr/>
      </w:pPr>
      <w:r>
        <w:rPr/>
        <w:t>​</w:t>
      </w:r>
    </w:p>
    <w:tbl>
      <w:tblPr>
        <w:tblW w:w="3309" w:type="dxa"/>
        <w:jc w:val="left"/>
        <w:tblInd w:w="0" w:type="dxa"/>
        <w:tblCellMar>
          <w:top w:w="0" w:type="dxa"/>
          <w:left w:w="0" w:type="dxa"/>
          <w:bottom w:w="0" w:type="dxa"/>
          <w:right w:w="0" w:type="dxa"/>
        </w:tblCellMar>
      </w:tblPr>
      <w:tblGrid>
        <w:gridCol w:w="1531"/>
        <w:gridCol w:w="211"/>
        <w:gridCol w:w="571"/>
        <w:gridCol w:w="109"/>
        <w:gridCol w:w="211"/>
        <w:gridCol w:w="676"/>
      </w:tblGrid>
      <w:tr>
        <w:trPr/>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72185" cy="175260"/>
                      <wp:effectExtent l="0" t="0" r="0" b="0"/>
                      <wp:wrapNone/>
                      <wp:docPr id="286" name="Frame286"/>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9260" cy="175260"/>
                      <wp:effectExtent l="0" t="0" r="0" b="0"/>
                      <wp:wrapNone/>
                      <wp:docPr id="291" name="Frame29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531" w:type="dxa"/>
            <w:tcBorders/>
            <w:shd w:fill="auto" w:val="clear"/>
            <w:vAlign w:val="center"/>
          </w:tcPr>
          <w:p>
            <w:pPr>
              <w:pStyle w:val="TableContents"/>
              <w:spacing w:lineRule="auto" w:line="285" w:before="0" w:after="0"/>
              <w:ind w:left="0" w:right="0" w:hanging="0"/>
              <w:rPr/>
            </w:pPr>
            <w:r>
              <w:rPr/>
              <w:t>​</w:t>
            </w:r>
          </w:p>
        </w:tc>
        <w:tc>
          <w:tcPr>
            <w:tcW w:w="1778"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531" w:type="dxa"/>
            <w:tcBorders/>
            <w:shd w:fill="auto" w:val="clear"/>
            <w:vAlign w:val="center"/>
          </w:tcPr>
          <w:p>
            <w:pPr>
              <w:pStyle w:val="TableContents"/>
              <w:spacing w:lineRule="auto" w:line="285" w:before="0" w:after="0"/>
              <w:ind w:left="0" w:right="0" w:hanging="0"/>
              <w:rPr/>
            </w:pPr>
            <w:r>
              <w:rPr/>
              <w:t>​</w:t>
            </w:r>
          </w:p>
        </w:tc>
        <w:tc>
          <w:tcPr>
            <w:tcW w:w="1778"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53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Lease cost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5,881</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5,968</w:t>
            </w:r>
          </w:p>
        </w:tc>
      </w:tr>
      <w:tr>
        <w:trPr/>
        <w:tc>
          <w:tcPr>
            <w:tcW w:w="153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Sublease income </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153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Net lease cost </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5,881</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5,187</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The Company’s sublease agreements for the 38 Sidney Street property expired in 2022. The Company has not entered into any material short-term leases or financing leases as of March 31, 2023.</w:t>
      </w:r>
    </w:p>
    <w:p>
      <w:pPr>
        <w:pStyle w:val="TextBody"/>
        <w:spacing w:lineRule="auto" w:line="307" w:before="0" w:after="160"/>
        <w:ind w:left="0" w:right="0" w:firstLine="720"/>
        <w:rPr>
          <w:rFonts w:ascii="Times New Roman;Times;serif" w:hAnsi="Times New Roman;Times;serif"/>
          <w:sz w:val="20"/>
        </w:rPr>
      </w:pPr>
      <w:r>
        <w:rPr>
          <w:rFonts w:ascii="Times New Roman;Times;serif" w:hAnsi="Times New Roman;Times;serif"/>
          <w:sz w:val="20"/>
        </w:rPr>
        <w:t>Supplemental cash flow information related to leases for the three months ended March 31, 2023 and 2022 is as follows (in thousands):</w:t>
      </w:r>
    </w:p>
    <w:p>
      <w:pPr>
        <w:pStyle w:val="TextBody"/>
        <w:spacing w:lineRule="auto" w:line="285" w:before="0" w:after="0"/>
        <w:ind w:left="0" w:right="0" w:hanging="0"/>
        <w:rPr/>
      </w:pPr>
      <w:r>
        <w:rPr/>
        <w:t>​</w:t>
      </w:r>
    </w:p>
    <w:tbl>
      <w:tblPr>
        <w:tblW w:w="7584" w:type="dxa"/>
        <w:jc w:val="left"/>
        <w:tblInd w:w="0" w:type="dxa"/>
        <w:tblCellMar>
          <w:top w:w="0" w:type="dxa"/>
          <w:left w:w="0" w:type="dxa"/>
          <w:bottom w:w="0" w:type="dxa"/>
          <w:right w:w="0" w:type="dxa"/>
        </w:tblCellMar>
      </w:tblPr>
      <w:tblGrid>
        <w:gridCol w:w="5866"/>
        <w:gridCol w:w="211"/>
        <w:gridCol w:w="571"/>
        <w:gridCol w:w="109"/>
        <w:gridCol w:w="211"/>
        <w:gridCol w:w="616"/>
      </w:tblGrid>
      <w:tr>
        <w:trPr/>
        <w:tc>
          <w:tcPr>
            <w:tcW w:w="5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724910" cy="175260"/>
                      <wp:effectExtent l="0" t="0" r="0" b="0"/>
                      <wp:wrapNone/>
                      <wp:docPr id="292" name="Frame292"/>
                      <a:graphic xmlns:a="http://schemas.openxmlformats.org/drawingml/2006/main">
                        <a:graphicData uri="http://schemas.microsoft.com/office/word/2010/wordprocessingShape">
                          <wps:wsp>
                            <wps:cNvSpPr txBox="1"/>
                            <wps:spPr>
                              <a:xfrm>
                                <a:off x="0" y="0"/>
                                <a:ext cx="3724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2585" cy="175260"/>
                      <wp:effectExtent l="0" t="0" r="0" b="0"/>
                      <wp:wrapNone/>
                      <wp:docPr id="294" name="Frame29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91160" cy="175260"/>
                      <wp:effectExtent l="0" t="0" r="0" b="0"/>
                      <wp:wrapNone/>
                      <wp:docPr id="297" name="Frame29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lineRule="auto" w:line="285" w:before="0" w:after="0"/>
              <w:ind w:left="0" w:right="0" w:hanging="0"/>
              <w:rPr/>
            </w:pPr>
            <w:r>
              <w:rPr/>
              <w:t>​</w:t>
            </w:r>
          </w:p>
        </w:tc>
        <w:tc>
          <w:tcPr>
            <w:tcW w:w="1718"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866" w:type="dxa"/>
            <w:tcBorders/>
            <w:shd w:fill="auto" w:val="clear"/>
            <w:vAlign w:val="center"/>
          </w:tcPr>
          <w:p>
            <w:pPr>
              <w:pStyle w:val="TableContents"/>
              <w:spacing w:lineRule="auto" w:line="285" w:before="0" w:after="0"/>
              <w:ind w:left="0" w:right="0" w:hanging="0"/>
              <w:rPr/>
            </w:pPr>
            <w:r>
              <w:rPr/>
              <w:t>​</w:t>
            </w:r>
          </w:p>
        </w:tc>
        <w:tc>
          <w:tcPr>
            <w:tcW w:w="1718"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866" w:type="dxa"/>
            <w:tcBorders/>
            <w:shd w:fill="auto" w:val="clear"/>
            <w:vAlign w:val="center"/>
          </w:tcPr>
          <w:p>
            <w:pPr>
              <w:pStyle w:val="TableContents"/>
              <w:spacing w:lineRule="auto" w:line="285"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lineRule="auto" w:line="285"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4,405</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3,882</w:t>
            </w:r>
          </w:p>
        </w:tc>
      </w:tr>
      <w:tr>
        <w:trPr/>
        <w:tc>
          <w:tcPr>
            <w:tcW w:w="58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211" w:type="dxa"/>
            <w:tcBorders/>
            <w:shd w:fill="auto" w:val="clear"/>
            <w:vAlign w:val="center"/>
          </w:tcPr>
          <w:p>
            <w:pPr>
              <w:pStyle w:val="TableContents"/>
              <w:spacing w:lineRule="auto" w:line="285" w:before="0" w:after="0"/>
              <w:ind w:left="0" w:right="0" w:hanging="0"/>
              <w:rPr/>
            </w:pPr>
            <w:r>
              <w:rPr/>
              <w:t>​</w:t>
            </w:r>
          </w:p>
        </w:tc>
        <w:tc>
          <w:tcPr>
            <w:tcW w:w="57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rPr/>
            </w:pPr>
            <w:r>
              <w:rPr/>
              <w:t>​</w:t>
            </w:r>
          </w:p>
        </w:tc>
        <w:tc>
          <w:tcPr>
            <w:tcW w:w="616" w:type="dxa"/>
            <w:tcBorders/>
            <w:shd w:fill="auto" w:val="clear"/>
            <w:vAlign w:val="center"/>
          </w:tcPr>
          <w:p>
            <w:pPr>
              <w:pStyle w:val="TableContents"/>
              <w:spacing w:lineRule="auto" w:line="285" w:before="0" w:after="0"/>
              <w:ind w:left="0" w:right="0" w:hanging="0"/>
              <w:rPr/>
            </w:pPr>
            <w:r>
              <w:rPr/>
              <w:t>​</w:t>
            </w:r>
          </w:p>
        </w:tc>
      </w:tr>
      <w:tr>
        <w:trPr/>
        <w:tc>
          <w:tcPr>
            <w:tcW w:w="58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lineRule="auto" w:line="285" w:before="0" w:after="0"/>
              <w:ind w:left="0" w:right="60" w:hanging="0"/>
              <w:jc w:val="right"/>
              <w:rPr/>
            </w:pPr>
            <w:r>
              <w:rPr/>
              <w:t>—</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spacing w:lineRule="auto" w:line="285" w:before="0" w:after="0"/>
        <w:ind w:left="0" w:right="0" w:hanging="0"/>
        <w:rPr/>
      </w:pPr>
      <w:r>
        <w:rPr/>
        <w:t>​</w:t>
      </w:r>
    </w:p>
    <w:tbl>
      <w:tblPr>
        <w:tblW w:w="5913" w:type="dxa"/>
        <w:jc w:val="left"/>
        <w:tblInd w:w="0" w:type="dxa"/>
        <w:tblCellMar>
          <w:top w:w="0" w:type="dxa"/>
          <w:left w:w="0" w:type="dxa"/>
          <w:bottom w:w="0" w:type="dxa"/>
          <w:right w:w="0" w:type="dxa"/>
        </w:tblCellMar>
      </w:tblPr>
      <w:tblGrid>
        <w:gridCol w:w="3991"/>
        <w:gridCol w:w="109"/>
        <w:gridCol w:w="109"/>
        <w:gridCol w:w="109"/>
        <w:gridCol w:w="109"/>
        <w:gridCol w:w="1486"/>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534285" cy="175260"/>
                      <wp:effectExtent l="0" t="0" r="0" b="0"/>
                      <wp:wrapNone/>
                      <wp:docPr id="298" name="Frame298"/>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43610" cy="175260"/>
                      <wp:effectExtent l="0" t="0" r="0" b="0"/>
                      <wp:wrapNone/>
                      <wp:docPr id="303" name="Frame303"/>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spacing w:lineRule="auto" w:line="285" w:before="0" w:after="0"/>
              <w:ind w:left="0" w:right="0" w:hanging="0"/>
              <w:rPr/>
            </w:pPr>
            <w:r>
              <w:rPr/>
              <w:t>​</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jc w:val="right"/>
              <w:rPr/>
            </w:pPr>
            <w:r>
              <w:rPr/>
              <w:t>​</w:t>
            </w:r>
          </w:p>
        </w:tc>
        <w:tc>
          <w:tcPr>
            <w:tcW w:w="109" w:type="dxa"/>
            <w:tcBorders/>
            <w:shd w:fill="CCEEFF" w:val="clear"/>
            <w:vAlign w:val="center"/>
          </w:tcPr>
          <w:p>
            <w:pPr>
              <w:pStyle w:val="TableContents"/>
              <w:spacing w:lineRule="auto" w:line="285" w:before="0" w:after="0"/>
              <w:ind w:left="0" w:right="0" w:hanging="0"/>
              <w:rPr/>
            </w:pPr>
            <w:r>
              <w:rPr/>
              <w:t>​</w:t>
            </w:r>
          </w:p>
        </w:tc>
        <w:tc>
          <w:tcPr>
            <w:tcW w:w="148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99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486" w:type="dxa"/>
            <w:tcBorders/>
            <w:shd w:fill="auto" w:val="clear"/>
            <w:vAlign w:val="center"/>
          </w:tcPr>
          <w:p>
            <w:pPr>
              <w:pStyle w:val="TableContents"/>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 </w:t>
      </w:r>
    </w:p>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15. Commitments and Contingencies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Purchase Commitments Associated with Commercial Supply Agreements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color w:val="212529"/>
          <w:sz w:val="20"/>
          <w:highlight w:val="white"/>
        </w:rPr>
        <w:t>In connection with the commercialization of AYVAKIT/AYVAKYT and GAVRETO, the Company has negotiated manufacturing agreements with certain vendors that require the Company to meet minimum purchase obligations on an annual basis. During the three months ended March 31, 2023, there was a decrease of $7.3 million in the Company’s contractual obligations described</w:t>
      </w:r>
      <w:r>
        <w:rPr>
          <w:rFonts w:ascii="Times New Roman;Times;serif" w:hAnsi="Times New Roman;Times;serif"/>
          <w:sz w:val="20"/>
        </w:rPr>
        <w:t xml:space="preserve"> in Note 18 to the consolidated financial statements in the Company’s Annual Report on Form 10-K for the fiscal year ended December 31, 2022</w:t>
      </w:r>
      <w:r>
        <w:rPr>
          <w:rFonts w:ascii="Times New Roman;Times;serif" w:hAnsi="Times New Roman;Times;serif"/>
          <w:color w:val="212529"/>
          <w:sz w:val="20"/>
          <w:highlight w:val="white"/>
        </w:rPr>
        <w:t xml:space="preserve">. </w:t>
      </w:r>
    </w:p>
    <w:p>
      <w:pPr>
        <w:pStyle w:val="TextBody"/>
        <w:spacing w:lineRule="auto" w:line="285" w:before="0" w:after="240"/>
        <w:ind w:left="0" w:right="0" w:hanging="0"/>
        <w:rPr>
          <w:rFonts w:ascii="Times New Roman;Times;serif" w:hAnsi="Times New Roman;Times;serif"/>
          <w:b/>
          <w:i/>
          <w:color w:val="212529"/>
          <w:sz w:val="20"/>
          <w:highlight w:val="white"/>
        </w:rPr>
      </w:pPr>
      <w:r>
        <w:rPr>
          <w:rFonts w:ascii="Times New Roman;Times;serif" w:hAnsi="Times New Roman;Times;serif"/>
          <w:b/>
          <w:i/>
          <w:color w:val="212529"/>
          <w:sz w:val="20"/>
          <w:highlight w:val="white"/>
        </w:rPr>
        <w:t>Legal Proceedings</w:t>
      </w:r>
    </w:p>
    <w:p>
      <w:pPr>
        <w:pStyle w:val="TextBody"/>
        <w:spacing w:lineRule="auto" w:line="285" w:before="0" w:after="240"/>
        <w:ind w:left="0" w:right="0" w:hanging="0"/>
        <w:rPr>
          <w:rFonts w:ascii="Times New Roman;Times;serif" w:hAnsi="Times New Roman;Times;serif"/>
          <w:color w:val="212529"/>
          <w:sz w:val="20"/>
          <w:highlight w:val="white"/>
        </w:rPr>
      </w:pPr>
      <w:r>
        <w:rPr>
          <w:rFonts w:ascii="Times New Roman;Times;serif" w:hAnsi="Times New Roman;Times;serif"/>
          <w:color w:val="212529"/>
          <w:sz w:val="20"/>
          <w:highlight w:val="white"/>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color w:val="212529"/>
          <w:sz w:val="20"/>
          <w:highlight w:val="white"/>
        </w:rPr>
      </w:pPr>
      <w:r>
        <w:rPr>
          <w:rFonts w:ascii="Times New Roman;Times;serif" w:hAnsi="Times New Roman;Times;serif"/>
          <w:b/>
          <w:i/>
          <w:color w:val="212529"/>
          <w:sz w:val="20"/>
          <w:highlight w:val="white"/>
        </w:rPr>
        <w:t>Indemnification Agreements</w:t>
      </w:r>
    </w:p>
    <w:p>
      <w:pPr>
        <w:pStyle w:val="TextBody"/>
        <w:spacing w:lineRule="auto" w:line="285" w:before="0" w:after="240"/>
        <w:ind w:left="0" w:right="0" w:hanging="0"/>
        <w:rPr>
          <w:rFonts w:ascii="Times New Roman;Times;serif" w:hAnsi="Times New Roman;Times;serif"/>
          <w:color w:val="212529"/>
          <w:sz w:val="20"/>
          <w:highlight w:val="white"/>
        </w:rPr>
      </w:pPr>
      <w:r>
        <w:rPr>
          <w:rFonts w:ascii="Times New Roman;Times;serif" w:hAnsi="Times New Roman;Times;serif"/>
          <w:color w:val="212529"/>
          <w:sz w:val="20"/>
          <w:highlight w:val="white"/>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March 31, 2023 or December 31, 2022.</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16. Subsequent Events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Effective April 30, 2023, the Company entered into a Mutual Termination Agreement with Roche, pursuant to which the parties mutually agreed to terminate the Roche immunotherapy agreement. Pursuant to the Termination Agreement, the rights and licenses granted by the Company to Roche related to MAP4K1 have terminated in their entirety. Certain licenses granted by Roche to the Company survived and became exclusive, worldwide, perpetual, royalty-free and irrevocable. Further, the Company retained ownership of the collaboration compounds directed to MAP4K1 and all other previously terminated kinase targets developed under the collaboration. </w:t>
      </w:r>
    </w:p>
    <w:p>
      <w:pPr>
        <w:pStyle w:val="TextBody"/>
        <w:spacing w:lineRule="auto" w:line="285" w:before="0" w:after="0"/>
        <w:ind w:left="0" w:right="0" w:hanging="0"/>
        <w:rPr/>
      </w:pPr>
      <w:bookmarkStart w:id="969" w:name="_e7402705_ab90_4d4b_ab04_b4708d71655e"/>
      <w:bookmarkEnd w:id="969"/>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7" w:before="0" w:after="240"/>
        <w:ind w:left="0" w:right="0" w:hanging="0"/>
        <w:rPr>
          <w:rFonts w:ascii="Times New Roman;Times;serif" w:hAnsi="Times New Roman;Times;serif"/>
          <w:sz w:val="20"/>
        </w:rPr>
      </w:pPr>
      <w:bookmarkStart w:id="970" w:name="MANAGEMENTSDISCUSSION_129894"/>
      <w:bookmarkEnd w:id="970"/>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spacing w:lineRule="auto" w:line="285" w:before="0" w:after="240"/>
        <w:ind w:left="0" w:right="0" w:firstLine="720"/>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2022, filed with the Securities and Exchange Commission (the SEC) on February 16,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spacing w:lineRule="auto" w:line="285" w:before="28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have brought our approved medicines, AYVAKIT®/AYVAKYT® (avapritinib) and GAVRETO® (pralsetinib), to patients in the U.S. and Europe, and we are globally advancing multiple programs for mast cell disorders, including systemic mastocytosis, or SM, EGFR-mutant lung cancer and CDK2-vulnerable breast and other cancers.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hematology, and allergy and immunology to create a cycle of innovation.</w:t>
      </w:r>
    </w:p>
    <w:p>
      <w:pPr>
        <w:pStyle w:val="TextBody"/>
        <w:spacing w:lineRule="auto" w:line="240" w:before="280" w:after="0"/>
        <w:ind w:left="0" w:right="0" w:hanging="0"/>
        <w:rPr>
          <w:rFonts w:ascii="Times New Roman;Times;serif" w:hAnsi="Times New Roman;Times;serif"/>
          <w:sz w:val="20"/>
        </w:rPr>
      </w:pPr>
      <w:r>
        <w:rPr>
          <w:rFonts w:ascii="Times New Roman;Times;serif" w:hAnsi="Times New Roman;Times;serif"/>
          <w:b/>
          <w:i/>
          <w:sz w:val="20"/>
        </w:rPr>
        <w:t>Systemic Mastocytosis and other Mast Cell Disorders — AYVAKIT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 and Elenestinib (BLU-263)</w:t>
      </w:r>
    </w:p>
    <w:p>
      <w:pPr>
        <w:pStyle w:val="TextBody"/>
        <w:pBdr/>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AYVAKIT®/AYVAKYT® (avapritinib)</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We are commercializing avapritinib for the treatment of advanced SM and developing avapritinib for the treatment of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pStyle w:val="TextBody"/>
        <w:pBdr/>
        <w:shd w:fill="FFFFFF" w:val="clear"/>
        <w:spacing w:lineRule="auto" w:line="285" w:before="0" w:after="0"/>
        <w:ind w:left="0" w:right="0" w:firstLine="720"/>
        <w:rPr>
          <w:rFonts w:ascii="Times New Roman;Times;serif" w:hAnsi="Times New Roman;Times;serif"/>
          <w:sz w:val="20"/>
        </w:rPr>
      </w:pPr>
      <w:bookmarkStart w:id="971" w:name="_cp_change_8273"/>
      <w:bookmarkEnd w:id="971"/>
      <w:r>
        <w:rPr>
          <w:rFonts w:ascii="Times New Roman;Times;serif" w:hAnsi="Times New Roman;Times;serif"/>
          <w:sz w:val="20"/>
        </w:rPr>
        <w:t xml:space="preserve">Avapritinib is approved in the U.S. under the brand name AYVAKIT for the treatment of adult patients with advanced SM, including ASM, SM-AHN, and MCL). In March 2022, the European Commission expanded the marketing authorization for AYVAKYT to include the treatment of adult patients with ASM, SM-AHN, or MCL, after at least one systemic therapy. After receiving the European Commission’s approval, we launched AYVAKYT in Europe. These approvals were supported by our ongoing Phase 1 clinical trial in advanced SM, which we refer to as our EXPLORER trial, and our ongoing Phase 2 clinical trial in advanced SM, which we refer to as our PATHFINDER trial. </w:t>
      </w:r>
    </w:p>
    <w:p>
      <w:pPr>
        <w:pStyle w:val="TextBody"/>
        <w:shd w:fill="FFFFFF" w:val="clear"/>
        <w:spacing w:lineRule="auto" w:line="285" w:before="0" w:after="0"/>
        <w:ind w:left="0" w:right="0" w:firstLine="720"/>
        <w:rPr>
          <w:rFonts w:ascii="Times New Roman;Times;serif" w:hAnsi="Times New Roman;Times;serif"/>
          <w:sz w:val="20"/>
        </w:rPr>
      </w:pPr>
      <w:bookmarkStart w:id="972" w:name="_cp_change_8282"/>
      <w:bookmarkStart w:id="973" w:name="_cp_change_8278"/>
      <w:bookmarkStart w:id="974" w:name="_cp_change_8274"/>
      <w:bookmarkEnd w:id="972"/>
      <w:bookmarkEnd w:id="973"/>
      <w:bookmarkEnd w:id="974"/>
      <w:r>
        <w:rPr>
          <w:rFonts w:ascii="Times New Roman;Times;serif" w:hAnsi="Times New Roman;Times;serif"/>
          <w:sz w:val="20"/>
        </w:rPr>
        <w:t>At the European Hematology Association (EHA) Annual Meeting in June 2022, we presented data showing that AYVAKIT improved overall survival (OS) and other clinical outcomes in EXPLORER and PATHFINDER trial patients with advanced SM, when indirectly compared to real-world data for prior best available therapies.</w:t>
      </w:r>
    </w:p>
    <w:p>
      <w:pPr>
        <w:pStyle w:val="TextBody"/>
        <w:spacing w:lineRule="auto" w:line="285" w:before="280" w:after="0"/>
        <w:ind w:left="0" w:right="0" w:firstLine="720"/>
        <w:rPr>
          <w:rFonts w:ascii="Times New Roman;Times;serif" w:hAnsi="Times New Roman;Times;serif"/>
          <w:sz w:val="20"/>
        </w:rPr>
      </w:pPr>
      <w:bookmarkStart w:id="975" w:name="_cp_change_8284"/>
      <w:bookmarkEnd w:id="975"/>
      <w:r>
        <w:rPr>
          <w:rFonts w:ascii="Times New Roman;Times;serif" w:hAnsi="Times New Roman;Times;serif"/>
          <w:sz w:val="20"/>
        </w:rPr>
        <w:t xml:space="preserve">At the American Society of Hematology, or ASH, Annual Meeting in December 2022, we reported EXPLORER and PATHFINDER trial data showing high, durable response rates and prolonged OS in patients with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advanced SM. Safety data were consistent with previously reported results and the FDA approved labeling of AYVAKIT and reinforced the favorable benefit-risk profile of AYVAKIT at the 200 mg once-daily recommended dose. </w:t>
      </w:r>
    </w:p>
    <w:p>
      <w:pPr>
        <w:pStyle w:val="TextBody"/>
        <w:spacing w:lineRule="auto" w:line="285" w:before="280" w:after="0"/>
        <w:ind w:left="0" w:right="0" w:firstLine="720"/>
        <w:rPr>
          <w:rFonts w:ascii="Times New Roman;Times;serif" w:hAnsi="Times New Roman;Times;serif"/>
          <w:sz w:val="20"/>
        </w:rPr>
      </w:pPr>
      <w:bookmarkStart w:id="976" w:name="_cp_change_8305"/>
      <w:bookmarkStart w:id="977" w:name="_cp_change_8303"/>
      <w:bookmarkStart w:id="978" w:name="_cp_change_8298"/>
      <w:bookmarkEnd w:id="976"/>
      <w:bookmarkEnd w:id="977"/>
      <w:bookmarkEnd w:id="978"/>
      <w:r>
        <w:rPr>
          <w:rFonts w:ascii="Times New Roman;Times;serif" w:hAnsi="Times New Roman;Times;serif"/>
          <w:sz w:val="20"/>
        </w:rPr>
        <w:t xml:space="preserve">In addition, we are evaluating avapritinib in an ongoing registration-enabling Phase 2 clinical trial in indolent SM, which we refer to as our PIONEER trial. In August 2022, we reported positive top-line data for Part 2 of the PIONEER trial of AYVAKIT plus best available care versus placebo plus best available care. Based on these positive results and a strong safety profile, we submitted a supplemental new drug application (sNDA) to the FDA for AYVAKIT in indolent SM in November 2022. The FDA accepted this sNDA and granted priority review, with an action date of May 22, 2023 under the Prescription Drug User Fee Act, or PDUFA. In addition, the European Medicines Agency, or EMA, validated a type II variation marketing authorization application (MAA) for AYVAKYT in indolent SM with a start of procedure date of January 27, 2023. In February 2023, we presented registrational PIONEER trial data for AYVAKIT in indolent SM at the American Academy of Allergy, Asthma and Immunology, or AAAAI, Annual Meeting. Consistent with the top-line data, we showed that AYVAKIT achieved a statistically significant and clinically meaningful improvement in total symptom score that deepened over time, with improvements shown across all individual symptoms, as well as a statistically significant and clinically meaningful improvement on the Mastocytosis Quality of Life Questionnaire (MC-QoL). AYVAKIT had a favorable safety profile compared to placebo, supporting potential for chronic treatment.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 </w:t>
      </w:r>
    </w:p>
    <w:p>
      <w:pPr>
        <w:pStyle w:val="TextBody"/>
        <w:spacing w:lineRule="auto" w:line="285" w:before="280" w:after="0"/>
        <w:ind w:left="0" w:right="0" w:hanging="0"/>
        <w:rPr>
          <w:rFonts w:ascii="Times New Roman;Times;serif" w:hAnsi="Times New Roman;Times;serif"/>
          <w:i/>
          <w:sz w:val="20"/>
        </w:rPr>
      </w:pPr>
      <w:bookmarkStart w:id="979" w:name="_cp_change_8307"/>
      <w:bookmarkStart w:id="980" w:name="_cp_change_8306"/>
      <w:bookmarkEnd w:id="979"/>
      <w:bookmarkEnd w:id="980"/>
      <w:r>
        <w:rPr>
          <w:rFonts w:ascii="Times New Roman;Times;serif" w:hAnsi="Times New Roman;Times;serif"/>
          <w:i/>
          <w:sz w:val="20"/>
        </w:rPr>
        <w:t>Elenestinib (BLU-263)</w:t>
      </w:r>
    </w:p>
    <w:p>
      <w:pPr>
        <w:pStyle w:val="TextBody"/>
        <w:spacing w:lineRule="auto" w:line="285" w:before="280" w:after="0"/>
        <w:ind w:left="0" w:right="0" w:firstLine="720"/>
        <w:rPr>
          <w:rFonts w:ascii="Times New Roman;Times;serif" w:hAnsi="Times New Roman;Times;serif"/>
          <w:sz w:val="20"/>
        </w:rPr>
      </w:pPr>
      <w:bookmarkStart w:id="981" w:name="_cp_change_8323"/>
      <w:bookmarkStart w:id="982" w:name="_cp_change_8319"/>
      <w:bookmarkStart w:id="983" w:name="_cp_change_8313"/>
      <w:bookmarkStart w:id="984" w:name="_cp_change_8308"/>
      <w:bookmarkEnd w:id="981"/>
      <w:bookmarkEnd w:id="982"/>
      <w:bookmarkEnd w:id="983"/>
      <w:bookmarkEnd w:id="984"/>
      <w:r>
        <w:rPr>
          <w:rFonts w:ascii="Times New Roman;Times;serif" w:hAnsi="Times New Roman;Times;serif"/>
          <w:sz w:val="20"/>
        </w:rPr>
        <w:t>We are developing elenestinib, or BLU-263,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 which we believe will enable development of elenestinib for the treatment of indolent SM.</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sz w:val="20"/>
        </w:rPr>
        <w:t>We are evaluating elenestinib in an ongoing Phase 2/3 clinical trial in indolent SM, which we refer to as our HARBOR trial. In December 2022, we announced top-line, 12-week data from the dose-finding Part 1 of the HARBOR trial. Elenestinib showed improved measures of mast cell burden and patient-reported symptoms, and safety data were consistent with the preclinical profile of elenestinib and a completed Phase 1 healthy volunteer trial. We plan to present HARBOR Part 1 trial data for elenestinib in indolent SM at a medical conference in the second half of 2023.</w:t>
      </w:r>
    </w:p>
    <w:p>
      <w:pPr>
        <w:pStyle w:val="TextBody"/>
        <w:pBdr/>
        <w:spacing w:lineRule="auto" w:line="240" w:before="280" w:after="0"/>
        <w:ind w:left="0" w:right="0" w:hanging="0"/>
        <w:rPr>
          <w:rFonts w:ascii="Times New Roman;Times;serif" w:hAnsi="Times New Roman;Times;serif"/>
          <w:sz w:val="20"/>
        </w:rPr>
      </w:pPr>
      <w:r>
        <w:rPr>
          <w:rFonts w:ascii="Times New Roman;Times;serif" w:hAnsi="Times New Roman;Times;serif"/>
          <w:b/>
          <w:i/>
          <w:sz w:val="20"/>
        </w:rPr>
        <w:t>PDGFRA-Driven Gastrointestinal Stromal Tumors — AYVAKIT</w:t>
      </w:r>
      <w:r>
        <w:rPr>
          <w:rFonts w:ascii="Times New Roman;Times;serif" w:hAnsi="Times New Roman;Times;serif"/>
          <w:b/>
          <w:i/>
          <w:sz w:val="15"/>
        </w:rPr>
        <w:t>®</w:t>
      </w:r>
      <w:r>
        <w:rPr>
          <w:rFonts w:ascii="Times New Roman;Times;serif" w:hAnsi="Times New Roman;Times;serif"/>
          <w:sz w:val="20"/>
        </w:rPr>
        <w:t> </w:t>
      </w:r>
      <w:r>
        <w:rPr>
          <w:rFonts w:ascii="Times New Roman;Times;serif" w:hAnsi="Times New Roman;Times;serif"/>
          <w:b/>
          <w:i/>
          <w:sz w:val="20"/>
        </w:rPr>
        <w:t>/ AYVAKYT</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(avapritinib)</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We are commercializing avapritinib for the treatment of patients with PDGFRA exon 18 mutant gastrointestinal stromal tumors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pStyle w:val="TextBody"/>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Through our collaboration with CStone, China’s NMPA approved AYVAKIT for the treatment of adults with unresectable or metastatic GIST harboring a PDGFRA exon 18 mutation, including PDGFRA D842V mutations, and also received accelerated approval from the TFDA and approval in Hong Kong, both for adults with unresectable or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lineRule="auto" w:line="285" w:before="0" w:after="0"/>
        <w:ind w:left="0" w:right="0" w:hanging="0"/>
        <w:rPr>
          <w:rFonts w:ascii="Times New Roman;Times;serif" w:hAnsi="Times New Roman;Times;serif"/>
          <w:sz w:val="20"/>
        </w:rPr>
      </w:pPr>
      <w:r>
        <w:rPr>
          <w:rFonts w:ascii="Times New Roman;Times;serif" w:hAnsi="Times New Roman;Times;serif"/>
          <w:sz w:val="20"/>
        </w:rPr>
        <w:t>metastatic GIST harboring PDGFRA D842V mutations.</w:t>
      </w:r>
    </w:p>
    <w:p>
      <w:pPr>
        <w:pStyle w:val="TextBody"/>
        <w:spacing w:lineRule="auto" w:line="285" w:before="280" w:after="0"/>
        <w:ind w:left="0" w:right="0" w:hanging="0"/>
        <w:rPr>
          <w:rFonts w:ascii="Times New Roman;Times;serif" w:hAnsi="Times New Roman;Times;serif"/>
          <w:sz w:val="20"/>
          <w:highlight w:val="white"/>
        </w:rPr>
      </w:pPr>
      <w:r>
        <w:rPr>
          <w:rFonts w:ascii="Times New Roman;Times;serif" w:hAnsi="Times New Roman;Times;serif"/>
          <w:sz w:val="20"/>
          <w:highlight w:val="white"/>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spacing w:lineRule="auto" w:line="240" w:before="280" w:after="0"/>
        <w:ind w:left="0" w:right="0" w:hanging="0"/>
        <w:rPr>
          <w:rFonts w:ascii="Times New Roman;Times;serif" w:hAnsi="Times New Roman;Times;serif"/>
          <w:sz w:val="20"/>
        </w:rPr>
      </w:pPr>
      <w:r>
        <w:rPr>
          <w:rFonts w:ascii="Times New Roman;Times;serif" w:hAnsi="Times New Roman;Times;serif"/>
          <w:b/>
          <w:i/>
          <w:sz w:val="20"/>
        </w:rPr>
        <w:t>RET-altered Cancers — GAVRETO</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(pralsetinib)</w:t>
      </w:r>
    </w:p>
    <w:p>
      <w:pPr>
        <w:pStyle w:val="TextBody"/>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are developing and commercializing pralsetinib for the treatment of RET fusion-positive non-small cell lung cancer (NSCLC), and for the treatment of RET-altered thyroid carcinoma, including medullary thyroid cancer (MTC). We are also developing pralsetinib for the treatment of other RET-altered solid tumors. We have granted exclusive licenses to F. Hoffmann-La Roche Ltd and Genentech, Inc., a member of the Roche Group (which we refer to together as Roche) and CStone Pharmaceuticals (CStone), to develop and commercialize pralsetinib in their respective territories.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and will explore options to re-partner the assets for future development. See “—Collaborations and Licenses Summary” below. </w:t>
      </w:r>
    </w:p>
    <w:p>
      <w:pPr>
        <w:pStyle w:val="TextBody"/>
        <w:spacing w:lineRule="auto" w:line="285" w:before="28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 </w:t>
      </w:r>
    </w:p>
    <w:p>
      <w:pPr>
        <w:pStyle w:val="TextBody"/>
        <w:pBdr/>
        <w:shd w:fill="FFFFFF" w:val="clear"/>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Through our collaboration with Roche, the European Commission granted conditional marketing authorization for GAVRETO as a monotherapy for the treatment of adults with RET fusion-positive advanced NSCLC not previously treated with a RET inhibitor. In November 2022, Roche withdrew its type II variation MAA to the EMA for pralsetinib for RET-altered thyroid cancers in the second-line. Roche stated a change in strategy as the reason for the withdrawal, and that it was unrelated to product quality, efficacy or safety.</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Through our collaboration with CStone, China’s National Medicinal Products Administration (NMPA) approved GAVRETO for the treatment of patients with RET fusion-positive NSCLC patients previously treated with platinum-based chemotherapy. In March 2022, China’s NMPA approved GAVRETO for the treatment of RET-mutant MTC and RET fusion-positive thyroid cancer. GAVRETO was approved in Hong Kong in July 2022 for the treatment of RET fusion-positive NSCLC. In January 2023, the Taiwan Food and Drug Administration (TFDA) approved GAVRETO for the treatment of patients with RET fusion-positive locally advanced or metastatic NSCLC, RET-mutant MTC and RET fusion-positive thyroid cancer. </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are currently evaluating pralsetinib in an ongoing Phase 1/2 clinical trial in patients with RET-altered NSCLC, MTC and other advanced solid tumors, which we refer to as the ARROW trial. The ARROW trial was fully enrolled in December 2021 and was subsequently transferred to Roche in May 2022. </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r>
        <w:rPr>
          <w:rFonts w:ascii="Arial;Helvetica;sans-serif" w:hAnsi="Arial;Helvetica;sans-serif"/>
          <w:sz w:val="20"/>
        </w:rPr>
        <w:t>.</w:t>
      </w:r>
      <w:r>
        <w:rPr>
          <w:rFonts w:ascii="Times New Roman;Times;serif" w:hAnsi="Times New Roman;Times;serif"/>
          <w:sz w:val="20"/>
        </w:rPr>
        <w:t xml:space="preserve"> </w:t>
      </w:r>
    </w:p>
    <w:p>
      <w:pPr>
        <w:pStyle w:val="TextBody"/>
        <w:shd w:fill="FFFFFF" w:val="clear"/>
        <w:spacing w:lineRule="auto" w:line="285" w:before="0" w:after="0"/>
        <w:ind w:left="0" w:right="0" w:hanging="0"/>
        <w:rPr>
          <w:rFonts w:ascii="Times New Roman;Times;serif" w:hAnsi="Times New Roman;Times;serif"/>
          <w:sz w:val="20"/>
        </w:rPr>
      </w:pPr>
      <w:r>
        <w:rPr>
          <w:rFonts w:ascii="Times New Roman;Times;serif" w:hAnsi="Times New Roman;Times;serif"/>
          <w:b/>
          <w:i/>
          <w:sz w:val="20"/>
        </w:rPr>
        <w:t>EGFR-Mutated NSCLC — BLU-945, BLU-525 and BLU-451</w:t>
      </w:r>
      <w:r>
        <w:rPr>
          <w:rFonts w:ascii="Times New Roman;Times;serif" w:hAnsi="Times New Roman;Times;serif"/>
          <w:sz w:val="20"/>
        </w:rPr>
        <w:t>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We are developing a portfolio of investigational epidermal growth factor receptor (EGFR) inhibitors with the potential to address a spectrum of common and uncommon EGFR activating mutations, including exon 19 deletions,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L858R mutation and exon 20 insertions. Patients with EGFR-driven NSCLC have high medical needs despite current standards of care. First, osimertinib has demonstrated shorter overall survival and progression-free survival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these challenges and prolong patient benefit by advancing development of rational combinations with our investigational EGFR therapies. Ultimately, we are seeking to address the significant medical needs in EGFR-mutant NSCLC that affect approximately 60,000 patients in major markets, including the U.S., European Union (EU), the UK, and Japan. </w:t>
      </w:r>
    </w:p>
    <w:p>
      <w:pPr>
        <w:pStyle w:val="TextBody"/>
        <w:spacing w:lineRule="auto" w:line="285" w:before="0" w:after="0"/>
        <w:ind w:left="0" w:right="0" w:hanging="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EGFR-Positive NSCLC — BLU-945</w:t>
      </w:r>
      <w:r>
        <w:rPr>
          <w:rFonts w:ascii="Times New Roman;Times;serif" w:hAnsi="Times New Roman;Times;serif"/>
          <w:sz w:val="20"/>
        </w:rPr>
        <w:t> </w:t>
      </w:r>
    </w:p>
    <w:p>
      <w:pPr>
        <w:pStyle w:val="TextBody"/>
        <w:spacing w:lineRule="auto" w:line="285" w:before="0" w:after="0"/>
        <w:ind w:left="0" w:right="0" w:hanging="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BLU-945 is a selective and potent investigational inhibitor of the activating EGFR L858R mutation and on-target T790M and C797X resistance mutations. Early data from the ongoing dose escalation part of the Phase 1/2 trial of BLU-945, which we refer to as our SYMPHONY trial, were presented at the American Association for Cancer Research (AACR) Annual Meeting in April 2022. BLU-945 demonstrated dose-dependent decreases in EGFR variant allele fractions via circulating tumor DNA (ctDNA) analysis and radiographic tumor reductions. BLU-945 was generally well-tolerated, with no significant adverse events (AEs) associated with wild-type EGFR inhibition. In the second quarter of 2022, we initiated a BLU-945 and osimertinib combination dose-escalation cohort in the ongoing Phase 1/2 SYMPHONY trial. In October 2022, preclinical data presented at the EORTC-NCI-AACR Molecular Targets and Cancer Therapeutics Symposium showed that BLU-945 in combination with osimertinib prolonged tumor regression and survival in EGFR L858R-driven, treatment-naïve, patient-derived xenograft models.  </w:t>
      </w:r>
    </w:p>
    <w:p>
      <w:pPr>
        <w:pStyle w:val="TextBody"/>
        <w:spacing w:lineRule="auto" w:line="285" w:before="0" w:after="0"/>
        <w:ind w:left="0" w:right="0" w:hanging="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In November 2022, at our Investor Day, we reported updated monotherapy dose escalation data from the SYMPHONY trial showing BLU-945 was generally well-tolerated and led to target ctDNA responses and tumor shrinkage. In the late-line setting, significant off-target resistance was identified at baseline and end-of-treatment by ctDNA analysis, leading us to prioritize clinical development of BLU-945 in combination with osimertinib in the first line, where we do not expect multiple overlapping driver mutations. Additionally, at our Investor Day we reported early SYMPHONY trial dose escalation data showing BLU-945 in combination with osimertinib has been generally well-tolerated to-date. We plan to provide an initial clinical data update on SYMPHONY trial expansion for the combination of BLU-945 and osimertinib in first-line EGFR L858-positive NSCLC in the second half of 2023. </w:t>
      </w:r>
    </w:p>
    <w:p>
      <w:pPr>
        <w:pStyle w:val="TextBody"/>
        <w:spacing w:lineRule="auto" w:line="285" w:before="0" w:after="0"/>
        <w:ind w:left="0" w:right="0" w:hanging="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EGFR-Positive NSCLC — BLU-525</w:t>
      </w:r>
      <w:r>
        <w:rPr>
          <w:rFonts w:ascii="Times New Roman;Times;serif" w:hAnsi="Times New Roman;Times;serif"/>
          <w:sz w:val="20"/>
        </w:rPr>
        <w:t> </w:t>
      </w:r>
    </w:p>
    <w:p>
      <w:pPr>
        <w:pStyle w:val="TextBody"/>
        <w:spacing w:lineRule="auto" w:line="285" w:before="0" w:after="0"/>
        <w:ind w:left="0" w:right="0" w:hanging="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BLU-525 is a next-generation EGFR inhibitor that, based on preclinical data, has a distinct chemical structure with improved kinome selectivity and differentiated metabolism, and equivalent EGFR mutation coverage, wild-type EGFR selectivity, and CNS penetration compared to BLU-701, which was previously in development for EGFR-positive NSCLC. Data supporting the preclinical profile of BLU-525 were reported at the EORTC-NCI-AACR Molecular Targets and Cancer Therapeutics Symposium in October 2022. In March 2023, the FDA accepted our investigational new drug application, or IND, for BLU-525. </w:t>
      </w:r>
    </w:p>
    <w:p>
      <w:pPr>
        <w:pStyle w:val="TextBody"/>
        <w:spacing w:lineRule="auto" w:line="285" w:before="0" w:after="0"/>
        <w:ind w:left="0" w:right="0" w:firstLine="720"/>
        <w:rPr/>
      </w:pPr>
      <w:r>
        <w:rPr/>
        <w:t>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EGFR Exon 20 Insertion-Positive NSCLC — BLU-451</w:t>
      </w:r>
      <w:r>
        <w:rPr>
          <w:rFonts w:ascii="Times New Roman;Times;serif" w:hAnsi="Times New Roman;Times;serif"/>
          <w:sz w:val="20"/>
        </w:rPr>
        <w:t> </w:t>
      </w:r>
    </w:p>
    <w:p>
      <w:pPr>
        <w:pStyle w:val="TextBody"/>
        <w:spacing w:lineRule="auto" w:line="285" w:before="100" w:after="10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BLU-451 is a selective and potent investigational inhibitor under development for the treatment of EGFR exon 20 insertion-positive NSCLC that we acquired in December 2021, through our acquisition of Lengo Therapeutics, Inc.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We plan to present initial dose escalation data from the CONCERTO trial of BLU-451 at the American Society of Clinical Oncology (ASCO) Annual Meeting in June 2023. </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b/>
          <w:i/>
          <w:sz w:val="20"/>
        </w:rPr>
        <w:t>CDK2-Vulnerable Cancers — BLU-222</w:t>
      </w:r>
      <w:r>
        <w:rPr>
          <w:rFonts w:ascii="Times New Roman;Times;serif" w:hAnsi="Times New Roman;Times;serif"/>
          <w:sz w:val="20"/>
        </w:rPr>
        <w:t> </w:t>
      </w:r>
      <w:r>
        <w:rPr>
          <w:rFonts w:ascii="Times New Roman;Times;serif" w:hAnsi="Times New Roman;Times;serif"/>
          <w:sz w:val="20"/>
          <w:highlight w:val="white"/>
        </w:rPr>
        <w:t xml:space="preserv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highlight w:val="white"/>
        </w:rPr>
        <w:t>We are developing an investigational inhibitor, BLU-222, targeting CDK2 for the treatment of patients with CDK2-vulnerable cancers. CDK2 is a cell cycle regulator and an important cancer target, with relevance across multiple malignancies, including hormone-receptor-positive breast cancer and other CDK2-vulnerable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r>
        <w:rPr>
          <w:rFonts w:ascii="Times New Roman;Times;serif" w:hAnsi="Times New Roman;Times;serif"/>
          <w:sz w:val="20"/>
        </w:rPr>
        <w:t xml:space="preserve"> </w:t>
      </w:r>
    </w:p>
    <w:p>
      <w:pPr>
        <w:pStyle w:val="TextBody"/>
        <w:spacing w:lineRule="auto" w:line="285" w:before="28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highlight w:val="white"/>
        </w:rPr>
        <w:t>In the first quarter of 2022, we initiated the Phase 1/2 trial of BLU-222 in CDK2-vulnerable cancers, which we refer to as our VELA trial. BLU-222 is being developed as monotherapy and in combination with other agents, including CDK4/6 inhibitors and estrogen receptors, antagonists, in hormone-receptor-positive, HER2-negative breast cancer (HR+/HER- BC), and as a single agent and in combination in CCNE1-amplified tumor types</w:t>
      </w:r>
      <w:r>
        <w:rPr>
          <w:rFonts w:ascii="Times New Roman;Times;serif" w:hAnsi="Times New Roman;Times;serif"/>
          <w:sz w:val="20"/>
        </w:rPr>
        <w:t xml:space="preserve">. We plan to present VELA trial dose escalation data for BLU-222 at the ASCO Annual Meeting in June 2023. </w:t>
      </w:r>
    </w:p>
    <w:p>
      <w:pPr>
        <w:pStyle w:val="TextBody"/>
        <w:spacing w:lineRule="auto" w:line="285" w:before="280" w:after="0"/>
        <w:ind w:left="0" w:right="0" w:firstLine="720"/>
        <w:rPr>
          <w:rFonts w:ascii="Times New Roman;Times;serif" w:hAnsi="Times New Roman;Times;serif"/>
          <w:i/>
          <w:sz w:val="20"/>
          <w:highlight w:val="white"/>
        </w:rPr>
      </w:pPr>
      <w:r>
        <w:rPr>
          <w:rFonts w:ascii="Times New Roman;Times;serif" w:hAnsi="Times New Roman;Times;serif"/>
          <w:i/>
          <w:sz w:val="20"/>
          <w:highlight w:val="white"/>
        </w:rPr>
        <w:t>Advanced Cancers — BLU-852</w:t>
      </w:r>
    </w:p>
    <w:p>
      <w:pPr>
        <w:pStyle w:val="TextBody"/>
        <w:spacing w:lineRule="auto" w:line="285" w:before="28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BLU-852 is a selective and potent investigational inhibitor of MAP4K1, a well-characterized immunokinase that is believed to play a role in T cell regulation. Preclinical data presented at the virtual AACR Annual Meeting in April 2021 show that MAP4K1 inhibition enhanced intratumoral immune cell activation, overcame regulatory T cell mediated T cell suppression, and reduced tumor burden both as a monotherapy and in combination with checkpoint inhibition. These preclinical data support our exploration of opportunities for continued clinical development of BLU-852.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Discovery Platform</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nominated two development candidates from our discovery programs: BLU-525 and IDRX-73, a KIT exon 13 inhibitor, that we licensed to IDRx.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In 2022, we started several degrader research programs, including three internal programs and two programs under our targeted protein degradation collaboration with Proteovant. Through the Proteovant collaboration, we plan to research and advance up to two novel protein degrader programs into development, with the option to expand to two additional programs. See “—</w:t>
      </w:r>
      <w:r>
        <w:rPr>
          <w:rFonts w:ascii="Times New Roman;Times;serif" w:hAnsi="Times New Roman;Times;serif"/>
          <w:i/>
          <w:sz w:val="20"/>
        </w:rPr>
        <w:t>Collaborations and Licenses</w:t>
      </w:r>
      <w:r>
        <w:rPr>
          <w:rFonts w:ascii="Times New Roman;Times;serif" w:hAnsi="Times New Roman;Times;serif"/>
          <w:sz w:val="20"/>
        </w:rPr>
        <w:t xml:space="preserve">” Summary below. </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b/>
          <w:i/>
          <w:sz w:val="20"/>
        </w:rPr>
        <w:t>Mast Cell Disorders – Wild-Type KIT Inhibition</w:t>
      </w:r>
      <w:r>
        <w:rPr>
          <w:rFonts w:ascii="Times New Roman;Times;serif" w:hAnsi="Times New Roman;Times;serif"/>
          <w:sz w:val="20"/>
        </w:rPr>
        <w:t> </w:t>
      </w:r>
    </w:p>
    <w:p>
      <w:pPr>
        <w:pStyle w:val="TextBody"/>
        <w:spacing w:lineRule="auto" w:line="285" w:before="100" w:after="10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are pursuing a research program targeting wild-type KIT, which aims to build on our KIT target leadership to design a best-in-class oral precision therapy for prevalent mast cell diseases, including chronic urticaria. Wild-type KIT plays a central role in mast cell survival, proliferation and activation. In addition, mast cells are the primary effector cells in several allergic-inflammatory diseases, including both inducible and spontaneous chronic urticaria. Chronic urticaria is a debilitating inflammatory skin disorder characterized by wheals (hives), and sleep disruption, stress and anxiety due to severe itching are major contributors to disease burden. We have identified multiple examples of compounds meeting our target product profile, which includes potent and selective inhibition of wild-type KIT, low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potential for drug/drug interactions, and activity that is peripherally restricted. In the middle of 2023, we plan to nominate a development candidate targeting wild-type KIT for the treatment of chronic urticaria.</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Development and Commercialization Rights</w:t>
      </w:r>
    </w:p>
    <w:p>
      <w:pPr>
        <w:pStyle w:val="TextBody"/>
        <w:spacing w:lineRule="auto" w:line="285" w:before="28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We currently have worldwide development and commercialization rights to avapritinib, other than the rights licensed to CStone in Mainland China, Hong Kong, Macau and Taiwan (the CStone Territory). We have entered into distribution agreements for certain European countries in which we do not have our own infrastructure, and we plan to pursue additional regulatory approvals and commercialization of avapritinib in additional countries, including through additional distribution agreements. We have granted CStone an exclusive license to develop and commercialize pralsetinib in the CStone Territory. </w:t>
      </w:r>
    </w:p>
    <w:p>
      <w:pPr>
        <w:pStyle w:val="TextBody"/>
        <w:spacing w:lineRule="auto" w:line="285" w:before="28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We granted Roche an exclusive license to develop and commercialize pralsetinib worldwide, excluding the CStone Territory and the U.S., and a co-exclusive license in the U.S. to develop and commercialize pralsetinib.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and will look for opportunities to re-partner the assets for future development. We will not be entitled to receive payment for milestones, if any, achieved after the receipt of the notice of termination but before the effective date of termination.</w:t>
      </w:r>
    </w:p>
    <w:p>
      <w:pPr>
        <w:pStyle w:val="TextBody"/>
        <w:pBdr/>
        <w:shd w:fill="FFFFFF" w:val="clear"/>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currently have worldwide development and commercialization rights to BLU-945 and BLU-525, and any back-up forms thereof, other than the rights licensed to Zai Lab for these drug candidates in Mainland China, Hong Kong, Macau, and Taiwan (collectively, the Zai territory).</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We have worldwide development and commercialization rights to all of our development and discovery programs, including BLU-451, BLU-222 and BLU-263.</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have granted an exclusive worldwide license to Clementia to develop and commercialize BLU-782. </w:t>
      </w:r>
    </w:p>
    <w:p>
      <w:pPr>
        <w:pStyle w:val="TextBody"/>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We have granted an exclusive worldwide license to IDRx for a development candidate-stage KIT exon 13 inhibitor, IDRX-73.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Collaborations and Licenses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 xml:space="preserve">Roche—Immunotherapy Collaboration. </w:t>
      </w:r>
      <w:r>
        <w:rPr>
          <w:rFonts w:ascii="Times New Roman;Times;serif" w:hAnsi="Times New Roman;Times;serif"/>
          <w:sz w:val="20"/>
        </w:rPr>
        <w:t>In March 2016, we entered into a collaboration with Roche to discover, develop and commercialize small molecule therapeutics targeting kinases believed to be important in cancer immunotherapy, including the kinase target MAP4K1, as single products or possibly in combination with other therapeutics. I</w:t>
      </w:r>
      <w:r>
        <w:rPr>
          <w:rFonts w:ascii="Times New Roman;Times;serif" w:hAnsi="Times New Roman;Times;serif"/>
          <w:sz w:val="20"/>
          <w:highlight w:val="white"/>
        </w:rPr>
        <w:t>n 2022, under our ongoing cancer immunotherapy collaboration, Roche endorsed a clinical development plan for IND-enabling activities for BLU-852, as a single agent and in combination with atezolizumab, in advanced cancers.</w:t>
      </w:r>
      <w:r>
        <w:rPr>
          <w:rFonts w:ascii="Times New Roman;Times;serif" w:hAnsi="Times New Roman;Times;serif"/>
          <w:sz w:val="20"/>
        </w:rPr>
        <w:t xml:space="preserve"> On April 30, 2023, we entered into a mutual termination agreement with Roche, which we refer to as the Termination Agreement, pursuant to which the parties mutually agreed to terminate the Roche immunotherapy agreement such that the rights and licenses granted to Roche related to MAP4K1 have terminated in their entirety and we retained the rights to any and all compounds developed under the collaboration. Further, we retain the flexibility to research, develop, manufacture, commercialize and otherwise exploit the assets developed under the collaboration. We plan to deprioritize advancement of the program and will explore opportunities to re-partner the assets for future development.</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 xml:space="preserve">In July 2020, we entered into a collaboration with Roche to develop and commercialize pralsetinib for the treatment of RET-altered cancers. Under the collaboration, we and Genentech are co-commercializing GAVRETO in the U.S., and Roche was granted exclusive commercialization rights for pralsetinib outside of the U.S., excluding the CStone Territory, which consists of Mainland China, Hong Kong, Macau and Taiwan. In February 2023, we received written notice from Roche of their election to terminate for convenience the Roche pralsetinib collaboration agreement. The termination will become effective in February 2024, at which time we will regain commercialization and development rights for GAVRETO from Roche in the U.S. and Roche Territory. Until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termination of the collaboration agreement is effective, the parties will continue to perform their respective obligations under the collaboration agreement, including with respect to the development and commercialization of GAVRETO. The parties will enter into a transition plan to facilitate the reversion of the product, including reasonable allocation of costs and expenses. </w:t>
      </w:r>
      <w:r>
        <w:rPr>
          <w:rFonts w:ascii="Times New Roman;Times;serif" w:hAnsi="Times New Roman;Times;serif"/>
          <w:sz w:val="20"/>
          <w:highlight w:val="white"/>
        </w:rPr>
        <w:t xml:space="preserve">We will not be entitled to receive payment for milestones, if any, achieved after the receipt of the notice of termination but before the effective date of termination. </w:t>
      </w:r>
      <w:r>
        <w:rPr>
          <w:rFonts w:ascii="Times New Roman;Times;serif" w:hAnsi="Times New Roman;Times;serif"/>
          <w:sz w:val="20"/>
        </w:rPr>
        <w:t>Upon the termination becoming effective, our exclusivity obligations under the collaboration agreement will terminate and we will look for opportunities to re-partner the assets for future development.</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back-up forms and certain other forms, in the CStone Territory either as a monotherapy or as part of a combination therapy.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Clementia.</w:t>
      </w:r>
      <w:r>
        <w:rPr>
          <w:rFonts w:ascii="Times New Roman;Times;serif" w:hAnsi="Times New Roman;Times;serif"/>
          <w:sz w:val="20"/>
        </w:rPr>
        <w:t xml:space="preserve"> In October 2019, we entered into a license agreement with Clementia. Under the collaboration,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collaboration with Zai Lab to develop and commercialize certain licensed products for the treatment of EGFR-driven NSCLC in Greater China, including Mainland China, Hong Kong, Macau and Taiwan. The collaboration aims to accelerate and expand global development of the licensed products, which currently includes BLU-945 and BLU-525 (which served as a back-up candidate for BLU-701).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Proteovant</w:t>
      </w:r>
      <w:r>
        <w:rPr>
          <w:rFonts w:ascii="Times New Roman;Times;serif" w:hAnsi="Times New Roman;Times;serif"/>
          <w:sz w:val="20"/>
        </w:rPr>
        <w:t>. In February 2022, we entered into an exclusive collaboration with Proteovant to jointly research and 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we option, and, if we expand to additional target programs, Proteovant will have the same opt-in right for the fourth target program that we option.</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 xml:space="preserve">In August 2022, we entered into a license agreement with IDRx, Inc., or IDRx, which we refer to as the IDRx License Agreement. Pursuant to the IDRx License Agreement, we granted IDRx an exclusive, worldwide, royalty-bearing license to exploit our internally discovered development candidate-stage KIT exon 13 inhibitor, IDRX-73. </w:t>
      </w:r>
    </w:p>
    <w:p>
      <w:pPr>
        <w:pStyle w:val="TextBody"/>
        <w:spacing w:lineRule="auto" w:line="285" w:before="280" w:after="0"/>
        <w:ind w:left="0" w:right="0" w:firstLine="720"/>
        <w:rPr>
          <w:rFonts w:ascii="Times New Roman;Times;serif" w:hAnsi="Times New Roman;Times;serif"/>
          <w:sz w:val="20"/>
        </w:rPr>
      </w:pPr>
      <w:bookmarkStart w:id="985" w:name="_cp_change_8521"/>
      <w:bookmarkEnd w:id="985"/>
      <w:r>
        <w:rPr>
          <w:rFonts w:ascii="Times New Roman;Times;serif" w:hAnsi="Times New Roman;Times;serif"/>
          <w:sz w:val="20"/>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as noncash consideration and the eligibility to receive up to $217.5 million in contingent cash payments, i</w:t>
      </w:r>
      <w:r>
        <w:rPr>
          <w:rFonts w:ascii="Times New Roman;Times;serif" w:hAnsi="Times New Roman;Times;serif"/>
          <w:sz w:val="20"/>
          <w:highlight w:val="white"/>
        </w:rPr>
        <w:t xml:space="preserve">ncluding specified development, regulatory and sales-based milestone payments and tiered royalty payments.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Mergers &amp; Acquisitions Summary</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Lengo Therapeutics</w:t>
      </w:r>
      <w:r>
        <w:rPr>
          <w:rFonts w:ascii="Times New Roman;Times;serif" w:hAnsi="Times New Roman;Times;serif"/>
          <w:sz w:val="20"/>
        </w:rPr>
        <w:t>. In December 2021, we completed our acquisition of Lengo Therapeutics, Inc., along with its lead compound LNG-451, now known as BLU-451, which is in development for the treatment of NSCLC in patients with EGFR exon 20 insertion mutations. The acquisition also included additional undisclosed preclinical precision oncology programs and research tools, including a catalog of covalent, highly brain penetrant kinase inhibitors that we plan to add to our proprietary compound library to further enable future drug discovery efforts.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We will continue to evaluate additional collaborations, acquisitions, partnerships and licenses that could maximize the value of our programs and allow us to leverage the expertise of strategic collaborators, partners and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licensors, including in additional geographies where we may not have current operations or expertise. We are also focused on engaging in collaborations, acquisitions, partnerships and license agreements to capitalize on or expand our discovery platform.</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Financing Arrangements Summary</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i/>
          <w:sz w:val="20"/>
        </w:rPr>
        <w:t xml:space="preserve">Royalty Purchase Agreement. </w:t>
      </w:r>
      <w:r>
        <w:rPr>
          <w:rFonts w:ascii="Times New Roman;Times;serif" w:hAnsi="Times New Roman;Times;serif"/>
          <w:sz w:val="20"/>
        </w:rPr>
        <w:t xml:space="preserve">In June 2022, we entered into a purchase and sale agreement, which we refer to as the Royalty Purchase Agreement, with Royalty Pharma. Pursuant to this Royalty Purchase Agreement, we received an upfront cash payment of $175.0 million and the right to receive up to $165.0 million in certain milestone payments, </w:t>
      </w:r>
      <w:r>
        <w:rPr>
          <w:rFonts w:ascii="Times New Roman;Times;serif" w:hAnsi="Times New Roman;Times;serif"/>
          <w:sz w:val="20"/>
          <w:highlight w:val="white"/>
        </w:rPr>
        <w:t xml:space="preserve">subject to the achievement of specified net sales milestones by Roche, in exchange for </w:t>
      </w:r>
      <w:r>
        <w:rPr>
          <w:rFonts w:ascii="Times New Roman;Times;serif" w:hAnsi="Times New Roman;Times;serif"/>
          <w:sz w:val="20"/>
        </w:rPr>
        <w:t xml:space="preserve">all of our existing rights to receive royalty payments on the net sales of GAVRETO worldwide excluding the CStone Territory and U.S. territory under the terms of the Roche pralsetinib collaboration agreement. However, in February 2023, Roche provided written notice of its election to terminate the Roche pralsetinib collaboration agreement for convenience. Following the termination of the Roche pralsetinib collaboration agreement, if the specified net sales milestone thresholds under the Royalty Purchase Agreement with Royalty Pharma are not otherwise met, we may no longer be eligible to receive any of the contingent milestone payments under the Royalty Purchase Agreement. </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which we refer to as the Future Revenue Purchase Agreement with Sixth Street 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i/>
          <w:sz w:val="20"/>
        </w:rPr>
        <w:t xml:space="preserve">Debt Facility. </w:t>
      </w:r>
      <w:r>
        <w:rPr>
          <w:rFonts w:ascii="Times New Roman;Times;serif" w:hAnsi="Times New Roman;Times;serif"/>
          <w:sz w:val="20"/>
        </w:rPr>
        <w:t>In June 2022, we entered into a Financing Agreement for up to $660.0 million with Sixth Street 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Note on the COVID-19 Pandemic</w:t>
      </w:r>
    </w:p>
    <w:p>
      <w:pPr>
        <w:pStyle w:val="TextBody"/>
        <w:spacing w:lineRule="auto" w:line="285" w:before="280" w:after="0"/>
        <w:ind w:left="0" w:right="0" w:firstLine="734"/>
        <w:rPr>
          <w:rFonts w:ascii="Times New Roman;Times;serif" w:hAnsi="Times New Roman;Times;serif"/>
          <w:sz w:val="20"/>
        </w:rPr>
      </w:pPr>
      <w:r>
        <w:rPr>
          <w:rFonts w:ascii="Times New Roman;Times;serif" w:hAnsi="Times New Roman;Times;serif"/>
          <w:sz w:val="20"/>
        </w:rPr>
        <w:t>The COVID-19 pandemic has had widespread, rapidly evolving, and unpredictable impacts on global societies, economies, financial markets, and business practices. We continue to closely monitor the evolution and global impact of the COVID-19 pandemic, the identification of new variants of the COVID-19 virus and related developments, and our focus remains on promoting employee health and safety while continuing to advance the research and development of our drug candidates and to deliver our approved drugs to patients in need. Please refer to our Risk Factors in Part II, Item IA of this Quarterly Report on Form 10-Q for further discussion of risks related to the COVID-19 pandemic.</w:t>
      </w:r>
    </w:p>
    <w:p>
      <w:pPr>
        <w:pStyle w:val="TextBody"/>
        <w:spacing w:lineRule="auto" w:line="285" w:before="280" w:after="0"/>
        <w:ind w:left="0" w:right="0" w:hanging="0"/>
        <w:rPr>
          <w:rFonts w:ascii="Times New Roman;Times;serif" w:hAnsi="Times New Roman;Times;serif"/>
          <w:b/>
          <w:sz w:val="20"/>
        </w:rPr>
      </w:pPr>
      <w:r>
        <w:rPr>
          <w:rFonts w:ascii="Times New Roman;Times;serif" w:hAnsi="Times New Roman;Times;serif"/>
          <w:b/>
          <w:sz w:val="20"/>
        </w:rPr>
        <w:t>Financial Operations Overview</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March 31, 2023, we have received an aggregate of $3.6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collaboration with Alexion Pharma Holding, or Alexion, and $150.0 million in gross proceeds from a term loan from Sixth Street Partners. In addition, since January 2020, we have also generated revenue through the sales of our approved drug products.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Since inception, we have incurred significant operating losses. Our net loss was $129.6 million for the three months ended March 31, 2023. Our net losses were $557.5 million and $644.1 million for the years ended December 31, 2022 and 2021, respectively. As of March 31, 2023, we had an accumulated deficit of $1,962.5 million. We expect to continue to incur significant expenses and operating losses over the next few years. We anticipate that our expenses will continue to increase in connection with our ongoing activities, particularly as we: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our drug and any current or future drug candidates for which we may obtain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seek marketing approval for our drug candidates, including avapritinib and pralsetinib in additional indications or avapritinib in additional geographies;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clinical development activities for avapritinib and pralsetinib and initiate or advance clinical development activities for other current or future drug candidates as monotherapies or in combination with other agents;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BLU-945, BLU-525, BLU-451, elenestinib (BLU-263) and BLU-222;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development and commercialization activities for companion diagnostic tests for our drugs and drug candidates;</w:t>
            </w:r>
          </w:p>
        </w:tc>
      </w:tr>
    </w:tbl>
    <w:tbl>
      <w:tblPr>
        <w:tblW w:w="9291" w:type="dxa"/>
        <w:jc w:val="left"/>
        <w:tblInd w:w="0" w:type="dxa"/>
        <w:tblCellMar>
          <w:top w:w="28" w:type="dxa"/>
          <w:left w:w="28" w:type="dxa"/>
          <w:bottom w:w="28" w:type="dxa"/>
          <w:right w:w="28" w:type="dxa"/>
        </w:tblCellMar>
      </w:tblPr>
      <w:tblGrid>
        <w:gridCol w:w="124"/>
        <w:gridCol w:w="256"/>
        <w:gridCol w:w="8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our collaborations with CStone, Zai Lab and Proteovant;</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Revenue</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ASM, SM-AHN and MCL. In March 2022, the European Commission expanded the marketing authorization for AYVAKYT to include the treatment of adult patients with ASM, SM-AHN, or MCL, after at least one systemic therapy.</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In September 2020, the FDA granted accelerated approval to pralsetinib under the brand name GAVRETO for the treatment of adult patients with metastatic RET fusion-positive NSCLC as detected by an FDA approved test. In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For the three months ended March 31, 2023, our revenue primarily consisted of product sales of AYVAKIT/ AYVAKYT as well as collaboration and license revenue under our immunotherapy collaboration with Roche and our collaboration with CStone. Collaboration and license revenue for the three months ended March 31, 2023 primarily includes amounts due to us for research and development services and royalties earned under these collaboration agreements.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Cost of Sales</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three months ended March 31, 2023 and 2022. We estimate our cost of goods sold related to product revenue as a percentage of net product revenue will continue to be positively impacted as we sell through certain inventory that was previously expensed prior to FDA approval. We expect to sell through our pre-launch inventory in the near term. Once the low-cost inventory balances are sold through, we estimate our costs of goods sold related to product sales to remain in the mid-single digit percentage range. Cost of goods sold related to sales of drug products to our collaboration partners are at lower margins and will partially offset the positive impact of the previously expensed inventory.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Expenses</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Collaboration Loss Sharing</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sz w:val="20"/>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10</w:t>
      </w:r>
      <w:r>
        <w:rPr>
          <w:rFonts w:ascii="Times New Roman;Times;serif" w:hAnsi="Times New Roman;Times;serif"/>
          <w:i/>
          <w:sz w:val="20"/>
        </w:rPr>
        <w:t>, Collaboration and License Agreements</w:t>
      </w:r>
      <w:r>
        <w:rPr>
          <w:rFonts w:ascii="Times New Roman;Times;serif" w:hAnsi="Times New Roman;Times;serif"/>
          <w:sz w:val="20"/>
        </w:rPr>
        <w:t xml:space="preserve">, to our unaudited condensed consolidated financial statements. We expect collaboration loss sharing will fluctuate from quarter to quarter as a result of the timing and amount of GAVRETO sales. </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781" w:type="dxa"/>
        <w:jc w:val="left"/>
        <w:tblInd w:w="0" w:type="dxa"/>
        <w:tblCellMar>
          <w:top w:w="28" w:type="dxa"/>
          <w:left w:w="28" w:type="dxa"/>
          <w:bottom w:w="28" w:type="dxa"/>
          <w:right w:w="28" w:type="dxa"/>
        </w:tblCellMar>
      </w:tblPr>
      <w:tblGrid>
        <w:gridCol w:w="124"/>
        <w:gridCol w:w="256"/>
        <w:gridCol w:w="8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acquire in-process research and development asset with no alternative future use;</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for the development and commercialization of companion diagnostic tests;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research and development activities under our immunotherapy collaboration with Roche, development activities under our collaboration for pralsetinib with Roche, and research and development activities under our collaboration with Proteovant;</w:t>
            </w:r>
          </w:p>
        </w:tc>
      </w:tr>
    </w:tbl>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highlight w:val="white"/>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CellMar>
          <w:top w:w="28" w:type="dxa"/>
          <w:left w:w="28" w:type="dxa"/>
          <w:bottom w:w="28" w:type="dxa"/>
          <w:right w:w="28" w:type="dxa"/>
        </w:tblCellMar>
      </w:tblPr>
      <w:tblGrid>
        <w:gridCol w:w="124"/>
        <w:gridCol w:w="256"/>
        <w:gridCol w:w="6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commercial supply materials;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insurance, and other operating costs in support of research and development activities.</w:t>
            </w:r>
          </w:p>
        </w:tc>
      </w:tr>
    </w:tbl>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CellMar>
          <w:top w:w="28" w:type="dxa"/>
          <w:left w:w="28" w:type="dxa"/>
          <w:bottom w:w="28" w:type="dxa"/>
          <w:right w:w="28" w:type="dxa"/>
        </w:tblCellMar>
      </w:tblPr>
      <w:tblGrid>
        <w:gridCol w:w="124"/>
        <w:gridCol w:w="256"/>
        <w:gridCol w:w="6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tbl>
      <w:tblPr>
        <w:tblW w:w="6096" w:type="dxa"/>
        <w:jc w:val="left"/>
        <w:tblInd w:w="0" w:type="dxa"/>
        <w:tblCellMar>
          <w:top w:w="28" w:type="dxa"/>
          <w:left w:w="28" w:type="dxa"/>
          <w:bottom w:w="28" w:type="dxa"/>
          <w:right w:w="28" w:type="dxa"/>
        </w:tblCellMar>
      </w:tblPr>
      <w:tblGrid>
        <w:gridCol w:w="124"/>
        <w:gridCol w:w="256"/>
        <w:gridCol w:w="5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CellMar>
          <w:top w:w="28" w:type="dxa"/>
          <w:left w:w="28" w:type="dxa"/>
          <w:bottom w:w="28" w:type="dxa"/>
          <w:right w:w="28" w:type="dxa"/>
        </w:tblCellMar>
      </w:tblPr>
      <w:tblGrid>
        <w:gridCol w:w="124"/>
        <w:gridCol w:w="256"/>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AYVAKIT/AYVAKYT, GAVRETO and our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AYVAKIT/AYVAKYT, GAVRETO and our drug candidates, if and when approved, whether alone or in collaboration with others; </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GAVRETO and any future drug we may commercialize; and</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036" w:type="dxa"/>
        <w:jc w:val="left"/>
        <w:tblInd w:w="0" w:type="dxa"/>
        <w:tblCellMar>
          <w:top w:w="28" w:type="dxa"/>
          <w:left w:w="28" w:type="dxa"/>
          <w:bottom w:w="28" w:type="dxa"/>
          <w:right w:w="28" w:type="dxa"/>
        </w:tblCellMar>
      </w:tblPr>
      <w:tblGrid>
        <w:gridCol w:w="124"/>
        <w:gridCol w:w="256"/>
        <w:gridCol w:w="5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our research and development expenses by program for the three months ended March 31, 2023 and 2022. Other development and pre-development candidate expenses, unallocated expenses and internal research and development expenses have been classified separately. </w:t>
      </w:r>
    </w:p>
    <w:tbl>
      <w:tblPr>
        <w:tblW w:w="10205" w:type="dxa"/>
        <w:jc w:val="left"/>
        <w:tblInd w:w="0" w:type="dxa"/>
        <w:tblCellMar>
          <w:top w:w="0" w:type="dxa"/>
          <w:left w:w="0" w:type="dxa"/>
          <w:bottom w:w="0" w:type="dxa"/>
          <w:right w:w="0" w:type="dxa"/>
        </w:tblCellMar>
      </w:tblPr>
      <w:tblGrid>
        <w:gridCol w:w="4717"/>
        <w:gridCol w:w="386"/>
        <w:gridCol w:w="214"/>
        <w:gridCol w:w="795"/>
        <w:gridCol w:w="392"/>
        <w:gridCol w:w="214"/>
        <w:gridCol w:w="795"/>
        <w:gridCol w:w="386"/>
        <w:gridCol w:w="240"/>
        <w:gridCol w:w="761"/>
        <w:gridCol w:w="386"/>
        <w:gridCol w:w="483"/>
        <w:gridCol w:w="436"/>
      </w:tblGrid>
      <w:tr>
        <w:trPr/>
        <w:tc>
          <w:tcPr>
            <w:tcW w:w="47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995295" cy="175260"/>
                      <wp:effectExtent l="0" t="0" r="0" b="0"/>
                      <wp:wrapNone/>
                      <wp:docPr id="304" name="Frame304"/>
                      <a:graphic xmlns:a="http://schemas.openxmlformats.org/drawingml/2006/main">
                        <a:graphicData uri="http://schemas.microsoft.com/office/word/2010/wordprocessingShape">
                          <wps:wsp>
                            <wps:cNvSpPr txBox="1"/>
                            <wps:spPr>
                              <a:xfrm>
                                <a:off x="0" y="0"/>
                                <a:ext cx="29952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45110" cy="175260"/>
                      <wp:effectExtent l="0" t="0" r="0" b="0"/>
                      <wp:wrapNone/>
                      <wp:docPr id="305" name="Frame305"/>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5890" cy="175260"/>
                      <wp:effectExtent l="0" t="0" r="0" b="0"/>
                      <wp:wrapNone/>
                      <wp:docPr id="306" name="Frame30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4825" cy="175260"/>
                      <wp:effectExtent l="0" t="0" r="0" b="0"/>
                      <wp:wrapNone/>
                      <wp:docPr id="307" name="Frame307"/>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48920" cy="175260"/>
                      <wp:effectExtent l="0" t="0" r="0" b="0"/>
                      <wp:wrapNone/>
                      <wp:docPr id="308" name="Frame308"/>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5890" cy="175260"/>
                      <wp:effectExtent l="0" t="0" r="0" b="0"/>
                      <wp:wrapNone/>
                      <wp:docPr id="309" name="Frame309"/>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04825" cy="175260"/>
                      <wp:effectExtent l="0" t="0" r="0" b="0"/>
                      <wp:wrapNone/>
                      <wp:docPr id="310" name="Frame310"/>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45110" cy="175260"/>
                      <wp:effectExtent l="0" t="0" r="0" b="0"/>
                      <wp:wrapNone/>
                      <wp:docPr id="311" name="Frame311"/>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52400" cy="175260"/>
                      <wp:effectExtent l="0" t="0" r="0" b="0"/>
                      <wp:wrapNone/>
                      <wp:docPr id="312" name="Frame312"/>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83235" cy="175260"/>
                      <wp:effectExtent l="0" t="0" r="0" b="0"/>
                      <wp:wrapNone/>
                      <wp:docPr id="313" name="Frame313"/>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45110" cy="175260"/>
                      <wp:effectExtent l="0" t="0" r="0" b="0"/>
                      <wp:wrapNone/>
                      <wp:docPr id="314" name="Frame314"/>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06705" cy="175260"/>
                      <wp:effectExtent l="0" t="0" r="0" b="0"/>
                      <wp:wrapNone/>
                      <wp:docPr id="315" name="Frame315"/>
                      <a:graphic xmlns:a="http://schemas.openxmlformats.org/drawingml/2006/main">
                        <a:graphicData uri="http://schemas.microsoft.com/office/word/2010/wordprocessingShape">
                          <wps:wsp>
                            <wps:cNvSpPr txBox="1"/>
                            <wps:spPr>
                              <a:xfrm>
                                <a:off x="0" y="0"/>
                                <a:ext cx="3067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76860" cy="175260"/>
                      <wp:effectExtent l="0" t="0" r="0" b="0"/>
                      <wp:wrapNone/>
                      <wp:docPr id="316" name="Frame316"/>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717" w:type="dxa"/>
            <w:tcBorders/>
            <w:shd w:fill="auto" w:val="clear"/>
            <w:vAlign w:val="center"/>
          </w:tcPr>
          <w:p>
            <w:pPr>
              <w:pStyle w:val="TableContents"/>
              <w:spacing w:lineRule="auto" w:line="285" w:before="0" w:after="0"/>
              <w:ind w:left="0" w:right="0" w:hanging="0"/>
              <w:rPr/>
            </w:pPr>
            <w:r>
              <w:rPr/>
              <w:t>​</w:t>
            </w:r>
          </w:p>
        </w:tc>
        <w:tc>
          <w:tcPr>
            <w:tcW w:w="386" w:type="dxa"/>
            <w:tcBorders/>
            <w:shd w:fill="auto" w:val="clear"/>
            <w:vAlign w:val="center"/>
          </w:tcPr>
          <w:p>
            <w:pPr>
              <w:pStyle w:val="TableContents"/>
              <w:spacing w:lineRule="auto" w:line="285" w:before="0" w:after="0"/>
              <w:ind w:left="0" w:right="0" w:hanging="0"/>
              <w:rPr/>
            </w:pPr>
            <w:r>
              <w:rPr/>
              <w:t>​</w:t>
            </w:r>
          </w:p>
        </w:tc>
        <w:tc>
          <w:tcPr>
            <w:tcW w:w="2410" w:type="dxa"/>
            <w:gridSpan w:val="5"/>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shd w:fill="auto" w:val="clear"/>
            <w:vAlign w:val="center"/>
          </w:tcPr>
          <w:p>
            <w:pPr>
              <w:pStyle w:val="TableContents"/>
              <w:spacing w:lineRule="auto" w:line="285" w:before="0" w:after="0"/>
              <w:ind w:left="0" w:right="0" w:hanging="0"/>
              <w:jc w:val="center"/>
              <w:rPr/>
            </w:pPr>
            <w:r>
              <w:rPr/>
              <w:t>​</w:t>
            </w:r>
          </w:p>
        </w:tc>
        <w:tc>
          <w:tcPr>
            <w:tcW w:w="1870" w:type="dxa"/>
            <w:gridSpan w:val="4"/>
            <w:tcBorders/>
            <w:shd w:fill="auto" w:val="clear"/>
            <w:vAlign w:val="center"/>
          </w:tcPr>
          <w:p>
            <w:pPr>
              <w:pStyle w:val="TableContents"/>
              <w:spacing w:lineRule="auto" w:line="285" w:before="0" w:after="0"/>
              <w:ind w:left="0" w:right="0" w:hanging="0"/>
              <w:jc w:val="center"/>
              <w:rPr/>
            </w:pPr>
            <w:r>
              <w:rPr/>
              <w:t>​</w:t>
            </w:r>
          </w:p>
        </w:tc>
        <w:tc>
          <w:tcPr>
            <w:tcW w:w="436" w:type="dxa"/>
            <w:tcBorders/>
            <w:shd w:fill="auto" w:val="clear"/>
            <w:vAlign w:val="center"/>
          </w:tcPr>
          <w:p>
            <w:pPr>
              <w:pStyle w:val="TableContents"/>
              <w:spacing w:lineRule="auto" w:line="285" w:before="0" w:after="0"/>
              <w:ind w:left="0" w:right="0" w:hanging="0"/>
              <w:jc w:val="center"/>
              <w:rPr/>
            </w:pPr>
            <w:r>
              <w:rPr/>
              <w:t>​</w:t>
            </w:r>
          </w:p>
        </w:tc>
      </w:tr>
      <w:tr>
        <w:trPr/>
        <w:tc>
          <w:tcPr>
            <w:tcW w:w="4717" w:type="dxa"/>
            <w:tcBorders/>
            <w:shd w:fill="auto" w:val="clear"/>
            <w:vAlign w:val="center"/>
          </w:tcPr>
          <w:p>
            <w:pPr>
              <w:pStyle w:val="TableContents"/>
              <w:spacing w:lineRule="auto" w:line="285" w:before="0" w:after="0"/>
              <w:ind w:left="0" w:right="0" w:hanging="0"/>
              <w:rPr/>
            </w:pPr>
            <w:r>
              <w:rPr/>
              <w:t>​</w:t>
            </w:r>
          </w:p>
        </w:tc>
        <w:tc>
          <w:tcPr>
            <w:tcW w:w="386" w:type="dxa"/>
            <w:tcBorders/>
            <w:shd w:fill="auto" w:val="clear"/>
            <w:vAlign w:val="center"/>
          </w:tcPr>
          <w:p>
            <w:pPr>
              <w:pStyle w:val="TableContents"/>
              <w:spacing w:lineRule="auto" w:line="285" w:before="0" w:after="1"/>
              <w:ind w:left="0" w:right="0" w:hanging="0"/>
              <w:rPr/>
            </w:pPr>
            <w:r>
              <w:rPr/>
              <w:t>     </w:t>
            </w:r>
          </w:p>
        </w:tc>
        <w:tc>
          <w:tcPr>
            <w:tcW w:w="1009" w:type="dxa"/>
            <w:gridSpan w:val="2"/>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2" w:type="dxa"/>
            <w:tcBorders/>
            <w:shd w:fill="auto" w:val="clear"/>
            <w:vAlign w:val="center"/>
          </w:tcPr>
          <w:p>
            <w:pPr>
              <w:pStyle w:val="TableContents"/>
              <w:spacing w:lineRule="auto" w:line="285" w:before="0" w:after="1"/>
              <w:ind w:left="0" w:right="0" w:hanging="0"/>
              <w:rPr/>
            </w:pPr>
            <w:r>
              <w:rPr/>
              <w:t>     </w:t>
            </w:r>
          </w:p>
        </w:tc>
        <w:tc>
          <w:tcPr>
            <w:tcW w:w="1009" w:type="dxa"/>
            <w:gridSpan w:val="2"/>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shd w:fill="auto" w:val="clear"/>
            <w:vAlign w:val="center"/>
          </w:tcPr>
          <w:p>
            <w:pPr>
              <w:pStyle w:val="TableContents"/>
              <w:spacing w:lineRule="auto" w:line="285" w:before="0" w:after="1"/>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shd w:fill="auto" w:val="clear"/>
            <w:vAlign w:val="center"/>
          </w:tcPr>
          <w:p>
            <w:pPr>
              <w:pStyle w:val="TableContents"/>
              <w:spacing w:lineRule="auto" w:line="285" w:before="0" w:after="1"/>
              <w:ind w:left="0" w:right="0" w:hanging="0"/>
              <w:rPr/>
            </w:pPr>
            <w:r>
              <w:rPr/>
              <w:t>     </w:t>
            </w:r>
          </w:p>
        </w:tc>
        <w:tc>
          <w:tcPr>
            <w:tcW w:w="919" w:type="dxa"/>
            <w:gridSpan w:val="2"/>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717"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11,332</w:t>
            </w:r>
          </w:p>
        </w:tc>
        <w:tc>
          <w:tcPr>
            <w:tcW w:w="392"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9,973</w:t>
            </w:r>
          </w:p>
        </w:tc>
        <w:tc>
          <w:tcPr>
            <w:tcW w:w="386" w:type="dxa"/>
            <w:tcBorders/>
            <w:shd w:fill="CCEEFF" w:val="clear"/>
            <w:vAlign w:val="center"/>
          </w:tcPr>
          <w:p>
            <w:pPr>
              <w:pStyle w:val="TableContents"/>
              <w:spacing w:lineRule="auto" w:line="285" w:before="0" w:after="1"/>
              <w:ind w:left="0" w:right="0" w:hanging="0"/>
              <w:rPr/>
            </w:pPr>
            <w:r>
              <w:rPr/>
              <w:t>     </w:t>
            </w:r>
          </w:p>
        </w:tc>
        <w:tc>
          <w:tcPr>
            <w:tcW w:w="240"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386" w:type="dxa"/>
            <w:tcBorders/>
            <w:shd w:fill="CCEEFF" w:val="clear"/>
            <w:vAlign w:val="center"/>
          </w:tcPr>
          <w:p>
            <w:pPr>
              <w:pStyle w:val="TableContents"/>
              <w:spacing w:lineRule="auto" w:line="285" w:before="0" w:after="1"/>
              <w:ind w:left="0" w:right="0" w:hanging="0"/>
              <w:rPr/>
            </w:pPr>
            <w:r>
              <w:rPr/>
              <w:t>     </w:t>
            </w:r>
          </w:p>
        </w:tc>
        <w:tc>
          <w:tcPr>
            <w:tcW w:w="483"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36"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17" w:type="dxa"/>
            <w:tcBorders/>
            <w:shd w:fill="auto"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4,299</w:t>
            </w:r>
          </w:p>
        </w:tc>
        <w:tc>
          <w:tcPr>
            <w:tcW w:w="392"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10,956</w:t>
            </w:r>
          </w:p>
        </w:tc>
        <w:tc>
          <w:tcPr>
            <w:tcW w:w="386" w:type="dxa"/>
            <w:tcBorders/>
            <w:shd w:fill="auto" w:val="clear"/>
            <w:vAlign w:val="center"/>
          </w:tcPr>
          <w:p>
            <w:pPr>
              <w:pStyle w:val="TableContents"/>
              <w:spacing w:lineRule="auto" w:line="285" w:before="0" w:after="1"/>
              <w:ind w:left="0" w:right="0" w:hanging="0"/>
              <w:rPr/>
            </w:pPr>
            <w:r>
              <w:rPr/>
              <w:t>     </w:t>
            </w:r>
          </w:p>
        </w:tc>
        <w:tc>
          <w:tcPr>
            <w:tcW w:w="240" w:type="dxa"/>
            <w:tcBorders/>
            <w:shd w:fill="auto" w:val="clear"/>
            <w:vAlign w:val="center"/>
          </w:tcPr>
          <w:p>
            <w:pPr>
              <w:pStyle w:val="TableContents"/>
              <w:spacing w:lineRule="auto" w:line="285" w:before="0" w:after="0"/>
              <w:ind w:left="0" w:right="0" w:hanging="0"/>
              <w:jc w:val="right"/>
              <w:rPr/>
            </w:pPr>
            <w:r>
              <w:rPr/>
              <w:t>​</w:t>
            </w:r>
          </w:p>
        </w:tc>
        <w:tc>
          <w:tcPr>
            <w:tcW w:w="761"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(6,657)</w:t>
            </w:r>
          </w:p>
        </w:tc>
        <w:tc>
          <w:tcPr>
            <w:tcW w:w="386" w:type="dxa"/>
            <w:tcBorders/>
            <w:shd w:fill="auto" w:val="clear"/>
            <w:vAlign w:val="center"/>
          </w:tcPr>
          <w:p>
            <w:pPr>
              <w:pStyle w:val="TableContents"/>
              <w:spacing w:lineRule="auto" w:line="285" w:before="0" w:after="1"/>
              <w:ind w:left="0" w:right="0" w:hanging="0"/>
              <w:rPr/>
            </w:pPr>
            <w:r>
              <w:rPr/>
              <w:t>     </w:t>
            </w:r>
          </w:p>
        </w:tc>
        <w:tc>
          <w:tcPr>
            <w:tcW w:w="483"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36" w:type="dxa"/>
            <w:tcBorders/>
            <w:shd w:fill="auto" w:val="clear"/>
            <w:vAlign w:val="center"/>
          </w:tcPr>
          <w:p>
            <w:pPr>
              <w:pStyle w:val="TableContents"/>
              <w:spacing w:lineRule="auto" w:line="285" w:before="0" w:after="0"/>
              <w:ind w:left="0" w:right="0" w:hanging="0"/>
              <w:rPr/>
            </w:pPr>
            <w:r>
              <w:rPr/>
              <w:t>​</w:t>
            </w:r>
          </w:p>
        </w:tc>
      </w:tr>
      <w:tr>
        <w:trPr/>
        <w:tc>
          <w:tcPr>
            <w:tcW w:w="4717"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BLU-263 external expenses</w:t>
            </w:r>
          </w:p>
        </w:tc>
        <w:tc>
          <w:tcPr>
            <w:tcW w:w="386"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7,397</w:t>
            </w:r>
          </w:p>
        </w:tc>
        <w:tc>
          <w:tcPr>
            <w:tcW w:w="392"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9,096</w:t>
            </w:r>
          </w:p>
        </w:tc>
        <w:tc>
          <w:tcPr>
            <w:tcW w:w="386" w:type="dxa"/>
            <w:tcBorders/>
            <w:shd w:fill="CCEEFF" w:val="clear"/>
            <w:vAlign w:val="center"/>
          </w:tcPr>
          <w:p>
            <w:pPr>
              <w:pStyle w:val="TableContents"/>
              <w:spacing w:lineRule="auto" w:line="285" w:before="0" w:after="1"/>
              <w:ind w:left="0" w:right="0" w:hanging="0"/>
              <w:rPr/>
            </w:pPr>
            <w:r>
              <w:rPr/>
              <w:t>     </w:t>
            </w:r>
          </w:p>
        </w:tc>
        <w:tc>
          <w:tcPr>
            <w:tcW w:w="240" w:type="dxa"/>
            <w:tcBorders/>
            <w:shd w:fill="CCEEFF" w:val="clear"/>
            <w:vAlign w:val="center"/>
          </w:tcPr>
          <w:p>
            <w:pPr>
              <w:pStyle w:val="TableContents"/>
              <w:spacing w:lineRule="auto" w:line="285" w:before="0" w:after="0"/>
              <w:ind w:left="0" w:right="0" w:hanging="0"/>
              <w:jc w:val="right"/>
              <w:rPr/>
            </w:pPr>
            <w:r>
              <w:rPr/>
              <w:t>​</w:t>
            </w:r>
          </w:p>
        </w:tc>
        <w:tc>
          <w:tcPr>
            <w:tcW w:w="761"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86" w:type="dxa"/>
            <w:tcBorders/>
            <w:shd w:fill="CCEEFF" w:val="clear"/>
            <w:vAlign w:val="center"/>
          </w:tcPr>
          <w:p>
            <w:pPr>
              <w:pStyle w:val="TableContents"/>
              <w:spacing w:lineRule="auto" w:line="285" w:before="0" w:after="1"/>
              <w:ind w:left="0" w:right="0" w:hanging="0"/>
              <w:rPr/>
            </w:pPr>
            <w:r>
              <w:rPr/>
              <w:t>     </w:t>
            </w:r>
          </w:p>
        </w:tc>
        <w:tc>
          <w:tcPr>
            <w:tcW w:w="483"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36" w:type="dxa"/>
            <w:tcBorders/>
            <w:shd w:fill="CCEEFF" w:val="clear"/>
            <w:vAlign w:val="center"/>
          </w:tcPr>
          <w:p>
            <w:pPr>
              <w:pStyle w:val="TableContents"/>
              <w:spacing w:lineRule="auto" w:line="285" w:before="0" w:after="0"/>
              <w:ind w:left="0" w:right="0" w:hanging="0"/>
              <w:rPr/>
            </w:pPr>
            <w:r>
              <w:rPr/>
              <w:t>​</w:t>
            </w:r>
          </w:p>
        </w:tc>
      </w:tr>
      <w:tr>
        <w:trPr/>
        <w:tc>
          <w:tcPr>
            <w:tcW w:w="4717" w:type="dxa"/>
            <w:tcBorders/>
            <w:shd w:fill="auto"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EFGR franchise (BLU-525/701/945) expenses</w:t>
            </w:r>
          </w:p>
        </w:tc>
        <w:tc>
          <w:tcPr>
            <w:tcW w:w="386"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11,769</w:t>
            </w:r>
          </w:p>
        </w:tc>
        <w:tc>
          <w:tcPr>
            <w:tcW w:w="392"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14,477</w:t>
            </w:r>
          </w:p>
        </w:tc>
        <w:tc>
          <w:tcPr>
            <w:tcW w:w="386" w:type="dxa"/>
            <w:tcBorders/>
            <w:shd w:fill="auto" w:val="clear"/>
            <w:vAlign w:val="center"/>
          </w:tcPr>
          <w:p>
            <w:pPr>
              <w:pStyle w:val="TableContents"/>
              <w:spacing w:lineRule="auto" w:line="285" w:before="0" w:after="1"/>
              <w:ind w:left="0" w:right="0" w:hanging="0"/>
              <w:rPr/>
            </w:pPr>
            <w:r>
              <w:rPr/>
              <w:t>     </w:t>
            </w:r>
          </w:p>
        </w:tc>
        <w:tc>
          <w:tcPr>
            <w:tcW w:w="240" w:type="dxa"/>
            <w:tcBorders/>
            <w:shd w:fill="auto" w:val="clear"/>
            <w:vAlign w:val="center"/>
          </w:tcPr>
          <w:p>
            <w:pPr>
              <w:pStyle w:val="TableContents"/>
              <w:spacing w:lineRule="auto" w:line="285" w:before="0" w:after="0"/>
              <w:ind w:left="0" w:right="0" w:hanging="0"/>
              <w:jc w:val="right"/>
              <w:rPr/>
            </w:pPr>
            <w:r>
              <w:rPr/>
              <w:t>​</w:t>
            </w:r>
          </w:p>
        </w:tc>
        <w:tc>
          <w:tcPr>
            <w:tcW w:w="761"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(2,708)</w:t>
            </w:r>
          </w:p>
        </w:tc>
        <w:tc>
          <w:tcPr>
            <w:tcW w:w="386" w:type="dxa"/>
            <w:tcBorders/>
            <w:shd w:fill="auto" w:val="clear"/>
            <w:vAlign w:val="center"/>
          </w:tcPr>
          <w:p>
            <w:pPr>
              <w:pStyle w:val="TableContents"/>
              <w:spacing w:lineRule="auto" w:line="285" w:before="0" w:after="1"/>
              <w:ind w:left="0" w:right="0" w:hanging="0"/>
              <w:rPr/>
            </w:pPr>
            <w:r>
              <w:rPr/>
              <w:t>     </w:t>
            </w:r>
          </w:p>
        </w:tc>
        <w:tc>
          <w:tcPr>
            <w:tcW w:w="483"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36" w:type="dxa"/>
            <w:tcBorders/>
            <w:shd w:fill="auto" w:val="clear"/>
            <w:vAlign w:val="center"/>
          </w:tcPr>
          <w:p>
            <w:pPr>
              <w:pStyle w:val="TableContents"/>
              <w:spacing w:lineRule="auto" w:line="285" w:before="0" w:after="0"/>
              <w:ind w:left="0" w:right="0" w:hanging="0"/>
              <w:rPr/>
            </w:pPr>
            <w:r>
              <w:rPr/>
              <w:t>​</w:t>
            </w:r>
          </w:p>
        </w:tc>
      </w:tr>
      <w:tr>
        <w:trPr/>
        <w:tc>
          <w:tcPr>
            <w:tcW w:w="4717"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9,367</w:t>
            </w:r>
          </w:p>
        </w:tc>
        <w:tc>
          <w:tcPr>
            <w:tcW w:w="392"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6,079</w:t>
            </w:r>
          </w:p>
        </w:tc>
        <w:tc>
          <w:tcPr>
            <w:tcW w:w="386" w:type="dxa"/>
            <w:tcBorders/>
            <w:shd w:fill="CCEEFF" w:val="clear"/>
            <w:vAlign w:val="center"/>
          </w:tcPr>
          <w:p>
            <w:pPr>
              <w:pStyle w:val="TableContents"/>
              <w:spacing w:lineRule="auto" w:line="285" w:before="0" w:after="1"/>
              <w:ind w:left="0" w:right="0" w:hanging="0"/>
              <w:rPr/>
            </w:pPr>
            <w:r>
              <w:rPr/>
              <w:t>     </w:t>
            </w:r>
          </w:p>
        </w:tc>
        <w:tc>
          <w:tcPr>
            <w:tcW w:w="240" w:type="dxa"/>
            <w:tcBorders/>
            <w:shd w:fill="CCEEFF" w:val="clear"/>
            <w:vAlign w:val="center"/>
          </w:tcPr>
          <w:p>
            <w:pPr>
              <w:pStyle w:val="TableContents"/>
              <w:spacing w:lineRule="auto" w:line="285" w:before="0" w:after="0"/>
              <w:ind w:left="0" w:right="0" w:hanging="0"/>
              <w:jc w:val="right"/>
              <w:rPr/>
            </w:pPr>
            <w:r>
              <w:rPr/>
              <w:t>​</w:t>
            </w:r>
          </w:p>
        </w:tc>
        <w:tc>
          <w:tcPr>
            <w:tcW w:w="761"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86" w:type="dxa"/>
            <w:tcBorders/>
            <w:shd w:fill="CCEEFF" w:val="clear"/>
            <w:vAlign w:val="center"/>
          </w:tcPr>
          <w:p>
            <w:pPr>
              <w:pStyle w:val="TableContents"/>
              <w:spacing w:lineRule="auto" w:line="285" w:before="0" w:after="1"/>
              <w:ind w:left="0" w:right="0" w:hanging="0"/>
              <w:rPr/>
            </w:pPr>
            <w:r>
              <w:rPr/>
              <w:t>     </w:t>
            </w:r>
          </w:p>
        </w:tc>
        <w:tc>
          <w:tcPr>
            <w:tcW w:w="483"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436" w:type="dxa"/>
            <w:tcBorders/>
            <w:shd w:fill="CCEEFF" w:val="clear"/>
            <w:vAlign w:val="center"/>
          </w:tcPr>
          <w:p>
            <w:pPr>
              <w:pStyle w:val="TableContents"/>
              <w:spacing w:lineRule="auto" w:line="285" w:before="0" w:after="0"/>
              <w:ind w:left="0" w:right="0" w:hanging="0"/>
              <w:rPr/>
            </w:pPr>
            <w:r>
              <w:rPr/>
              <w:t>​</w:t>
            </w:r>
          </w:p>
        </w:tc>
      </w:tr>
      <w:tr>
        <w:trPr/>
        <w:tc>
          <w:tcPr>
            <w:tcW w:w="4717" w:type="dxa"/>
            <w:tcBorders/>
            <w:shd w:fill="auto"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BLU-451 external expenses</w:t>
            </w:r>
          </w:p>
        </w:tc>
        <w:tc>
          <w:tcPr>
            <w:tcW w:w="386"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9,724</w:t>
            </w:r>
          </w:p>
        </w:tc>
        <w:tc>
          <w:tcPr>
            <w:tcW w:w="392" w:type="dxa"/>
            <w:tcBorders/>
            <w:shd w:fill="auto" w:val="clear"/>
            <w:vAlign w:val="center"/>
          </w:tcPr>
          <w:p>
            <w:pPr>
              <w:pStyle w:val="TableContents"/>
              <w:spacing w:lineRule="auto" w:line="285" w:before="0" w:after="1"/>
              <w:ind w:left="0" w:right="0" w:hanging="0"/>
              <w:rPr/>
            </w:pPr>
            <w:r>
              <w:rPr/>
              <w:t>     </w:t>
            </w:r>
          </w:p>
        </w:tc>
        <w:tc>
          <w:tcPr>
            <w:tcW w:w="214" w:type="dxa"/>
            <w:tcBorders/>
            <w:shd w:fill="auto" w:val="clear"/>
            <w:vAlign w:val="center"/>
          </w:tcPr>
          <w:p>
            <w:pPr>
              <w:pStyle w:val="TableContents"/>
              <w:spacing w:lineRule="auto" w:line="285" w:before="0" w:after="0"/>
              <w:ind w:left="0" w:right="0" w:hanging="0"/>
              <w:jc w:val="right"/>
              <w:rPr/>
            </w:pPr>
            <w:r>
              <w:rPr/>
              <w:t>​</w:t>
            </w:r>
          </w:p>
        </w:tc>
        <w:tc>
          <w:tcPr>
            <w:tcW w:w="795"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2,135</w:t>
            </w:r>
          </w:p>
        </w:tc>
        <w:tc>
          <w:tcPr>
            <w:tcW w:w="386" w:type="dxa"/>
            <w:tcBorders/>
            <w:shd w:fill="auto" w:val="clear"/>
            <w:vAlign w:val="center"/>
          </w:tcPr>
          <w:p>
            <w:pPr>
              <w:pStyle w:val="TableContents"/>
              <w:spacing w:lineRule="auto" w:line="285" w:before="0" w:after="1"/>
              <w:ind w:left="0" w:right="0" w:hanging="0"/>
              <w:rPr/>
            </w:pPr>
            <w:r>
              <w:rPr/>
              <w:t>     </w:t>
            </w:r>
          </w:p>
        </w:tc>
        <w:tc>
          <w:tcPr>
            <w:tcW w:w="240" w:type="dxa"/>
            <w:tcBorders/>
            <w:shd w:fill="auto" w:val="clear"/>
            <w:vAlign w:val="center"/>
          </w:tcPr>
          <w:p>
            <w:pPr>
              <w:pStyle w:val="TableContents"/>
              <w:spacing w:lineRule="auto" w:line="285" w:before="0" w:after="0"/>
              <w:ind w:left="0" w:right="0" w:hanging="0"/>
              <w:jc w:val="right"/>
              <w:rPr/>
            </w:pPr>
            <w:r>
              <w:rPr/>
              <w:t>​</w:t>
            </w:r>
          </w:p>
        </w:tc>
        <w:tc>
          <w:tcPr>
            <w:tcW w:w="761"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7,589</w:t>
            </w:r>
          </w:p>
        </w:tc>
        <w:tc>
          <w:tcPr>
            <w:tcW w:w="386" w:type="dxa"/>
            <w:tcBorders/>
            <w:shd w:fill="auto" w:val="clear"/>
            <w:vAlign w:val="center"/>
          </w:tcPr>
          <w:p>
            <w:pPr>
              <w:pStyle w:val="TableContents"/>
              <w:spacing w:lineRule="auto" w:line="285" w:before="0" w:after="1"/>
              <w:ind w:left="0" w:right="0" w:hanging="0"/>
              <w:rPr/>
            </w:pPr>
            <w:r>
              <w:rPr/>
              <w:t>     </w:t>
            </w:r>
          </w:p>
        </w:tc>
        <w:tc>
          <w:tcPr>
            <w:tcW w:w="483" w:type="dxa"/>
            <w:tcBorders/>
            <w:shd w:fill="auto"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436" w:type="dxa"/>
            <w:tcBorders/>
            <w:shd w:fill="auto" w:val="clear"/>
            <w:vAlign w:val="center"/>
          </w:tcPr>
          <w:p>
            <w:pPr>
              <w:pStyle w:val="TableContents"/>
              <w:spacing w:lineRule="auto" w:line="285" w:before="0" w:after="0"/>
              <w:ind w:left="0" w:right="0" w:hanging="0"/>
              <w:rPr/>
            </w:pPr>
            <w:r>
              <w:rPr/>
              <w:t>​</w:t>
            </w:r>
          </w:p>
        </w:tc>
      </w:tr>
      <w:tr>
        <w:trPr/>
        <w:tc>
          <w:tcPr>
            <w:tcW w:w="4717"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20,325</w:t>
            </w:r>
          </w:p>
        </w:tc>
        <w:tc>
          <w:tcPr>
            <w:tcW w:w="392" w:type="dxa"/>
            <w:tcBorders/>
            <w:shd w:fill="CCEEFF" w:val="clear"/>
            <w:vAlign w:val="center"/>
          </w:tcPr>
          <w:p>
            <w:pPr>
              <w:pStyle w:val="TableContents"/>
              <w:spacing w:lineRule="auto" w:line="285" w:before="0" w:after="1"/>
              <w:ind w:left="0" w:right="0" w:hanging="0"/>
              <w:rPr/>
            </w:pPr>
            <w:r>
              <w:rPr/>
              <w:t>     </w:t>
            </w:r>
          </w:p>
        </w:tc>
        <w:tc>
          <w:tcPr>
            <w:tcW w:w="214" w:type="dxa"/>
            <w:tcBorders/>
            <w:shd w:fill="CCEEFF" w:val="clear"/>
            <w:vAlign w:val="center"/>
          </w:tcPr>
          <w:p>
            <w:pPr>
              <w:pStyle w:val="TableContents"/>
              <w:spacing w:lineRule="auto" w:line="285" w:before="0" w:after="0"/>
              <w:ind w:left="0" w:right="0" w:hanging="0"/>
              <w:jc w:val="right"/>
              <w:rPr/>
            </w:pPr>
            <w:r>
              <w:rPr/>
              <w:t>​</w:t>
            </w:r>
          </w:p>
        </w:tc>
        <w:tc>
          <w:tcPr>
            <w:tcW w:w="795"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18,338</w:t>
            </w:r>
          </w:p>
        </w:tc>
        <w:tc>
          <w:tcPr>
            <w:tcW w:w="386" w:type="dxa"/>
            <w:tcBorders/>
            <w:shd w:fill="CCEEFF" w:val="clear"/>
            <w:vAlign w:val="center"/>
          </w:tcPr>
          <w:p>
            <w:pPr>
              <w:pStyle w:val="TableContents"/>
              <w:spacing w:lineRule="auto" w:line="285" w:before="0" w:after="1"/>
              <w:ind w:left="0" w:right="0" w:hanging="0"/>
              <w:rPr/>
            </w:pPr>
            <w:r>
              <w:rPr/>
              <w:t>     </w:t>
            </w:r>
          </w:p>
        </w:tc>
        <w:tc>
          <w:tcPr>
            <w:tcW w:w="240" w:type="dxa"/>
            <w:tcBorders/>
            <w:shd w:fill="CCEEFF" w:val="clear"/>
            <w:vAlign w:val="center"/>
          </w:tcPr>
          <w:p>
            <w:pPr>
              <w:pStyle w:val="TableContents"/>
              <w:spacing w:lineRule="auto" w:line="285" w:before="0" w:after="0"/>
              <w:ind w:left="0" w:right="0" w:hanging="0"/>
              <w:jc w:val="right"/>
              <w:rPr/>
            </w:pPr>
            <w:r>
              <w:rPr/>
              <w:t>​</w:t>
            </w:r>
          </w:p>
        </w:tc>
        <w:tc>
          <w:tcPr>
            <w:tcW w:w="761"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1,987</w:t>
            </w:r>
          </w:p>
        </w:tc>
        <w:tc>
          <w:tcPr>
            <w:tcW w:w="386" w:type="dxa"/>
            <w:tcBorders/>
            <w:shd w:fill="CCEEFF" w:val="clear"/>
            <w:vAlign w:val="center"/>
          </w:tcPr>
          <w:p>
            <w:pPr>
              <w:pStyle w:val="TableContents"/>
              <w:spacing w:lineRule="auto" w:line="285" w:before="0" w:after="1"/>
              <w:ind w:left="0" w:right="0" w:hanging="0"/>
              <w:rPr/>
            </w:pPr>
            <w:r>
              <w:rPr/>
              <w:t>     </w:t>
            </w:r>
          </w:p>
        </w:tc>
        <w:tc>
          <w:tcPr>
            <w:tcW w:w="483"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36" w:type="dxa"/>
            <w:tcBorders/>
            <w:shd w:fill="CCEEFF" w:val="clear"/>
            <w:vAlign w:val="center"/>
          </w:tcPr>
          <w:p>
            <w:pPr>
              <w:pStyle w:val="TableContents"/>
              <w:spacing w:lineRule="auto" w:line="285" w:before="0" w:after="0"/>
              <w:ind w:left="0" w:right="0" w:hanging="0"/>
              <w:rPr/>
            </w:pPr>
            <w:r>
              <w:rPr/>
              <w:t>​</w:t>
            </w:r>
          </w:p>
        </w:tc>
      </w:tr>
      <w:tr>
        <w:trPr/>
        <w:tc>
          <w:tcPr>
            <w:tcW w:w="4717" w:type="dxa"/>
            <w:tcBorders/>
            <w:shd w:fill="auto"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shd w:fill="auto" w:val="clear"/>
            <w:vAlign w:val="center"/>
          </w:tcPr>
          <w:p>
            <w:pPr>
              <w:pStyle w:val="TableContents"/>
              <w:spacing w:lineRule="auto" w:line="285" w:before="0" w:after="1"/>
              <w:ind w:left="0" w:right="0" w:hanging="0"/>
              <w:rPr/>
            </w:pPr>
            <w:r>
              <w:rPr/>
              <w:t>     </w:t>
            </w:r>
          </w:p>
        </w:tc>
        <w:tc>
          <w:tcPr>
            <w:tcW w:w="214"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pPr>
            <w:r>
              <w:rPr/>
              <w:t> </w:t>
            </w:r>
          </w:p>
        </w:tc>
        <w:tc>
          <w:tcPr>
            <w:tcW w:w="795"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37,860</w:t>
            </w:r>
          </w:p>
        </w:tc>
        <w:tc>
          <w:tcPr>
            <w:tcW w:w="392" w:type="dxa"/>
            <w:tcBorders/>
            <w:shd w:fill="auto" w:val="clear"/>
            <w:vAlign w:val="center"/>
          </w:tcPr>
          <w:p>
            <w:pPr>
              <w:pStyle w:val="TableContents"/>
              <w:spacing w:lineRule="auto" w:line="285" w:before="0" w:after="1"/>
              <w:ind w:left="0" w:right="0" w:hanging="0"/>
              <w:rPr/>
            </w:pPr>
            <w:r>
              <w:rPr/>
              <w:t>     </w:t>
            </w:r>
          </w:p>
        </w:tc>
        <w:tc>
          <w:tcPr>
            <w:tcW w:w="214"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pPr>
            <w:r>
              <w:rPr/>
              <w:t> </w:t>
            </w:r>
          </w:p>
        </w:tc>
        <w:tc>
          <w:tcPr>
            <w:tcW w:w="795"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32,079</w:t>
            </w:r>
          </w:p>
        </w:tc>
        <w:tc>
          <w:tcPr>
            <w:tcW w:w="386" w:type="dxa"/>
            <w:tcBorders/>
            <w:shd w:fill="auto" w:val="clear"/>
            <w:vAlign w:val="center"/>
          </w:tcPr>
          <w:p>
            <w:pPr>
              <w:pStyle w:val="TableContents"/>
              <w:spacing w:lineRule="auto" w:line="285" w:before="0" w:after="1"/>
              <w:ind w:left="0" w:right="0" w:hanging="0"/>
              <w:rPr/>
            </w:pPr>
            <w:r>
              <w:rPr/>
              <w:t>     </w:t>
            </w:r>
          </w:p>
        </w:tc>
        <w:tc>
          <w:tcPr>
            <w:tcW w:w="240"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pPr>
            <w:r>
              <w:rPr/>
              <w:t> </w:t>
            </w:r>
          </w:p>
        </w:tc>
        <w:tc>
          <w:tcPr>
            <w:tcW w:w="761"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5,781</w:t>
            </w:r>
          </w:p>
        </w:tc>
        <w:tc>
          <w:tcPr>
            <w:tcW w:w="386" w:type="dxa"/>
            <w:tcBorders/>
            <w:shd w:fill="auto" w:val="clear"/>
            <w:vAlign w:val="center"/>
          </w:tcPr>
          <w:p>
            <w:pPr>
              <w:pStyle w:val="TableContents"/>
              <w:spacing w:lineRule="auto" w:line="285" w:before="0" w:after="1"/>
              <w:ind w:left="0" w:right="0" w:hanging="0"/>
              <w:rPr/>
            </w:pPr>
            <w:r>
              <w:rPr/>
              <w:t>     </w:t>
            </w:r>
          </w:p>
        </w:tc>
        <w:tc>
          <w:tcPr>
            <w:tcW w:w="483"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3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r>
      <w:tr>
        <w:trPr/>
        <w:tc>
          <w:tcPr>
            <w:tcW w:w="4717" w:type="dxa"/>
            <w:tcBorders/>
            <w:shd w:fill="CCEEFF" w:val="cle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spacing w:lineRule="auto" w:line="285" w:before="0" w:after="1"/>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112,073</w:t>
            </w:r>
          </w:p>
        </w:tc>
        <w:tc>
          <w:tcPr>
            <w:tcW w:w="392" w:type="dxa"/>
            <w:tcBorders/>
            <w:shd w:fill="CCEEFF" w:val="clear"/>
            <w:vAlign w:val="center"/>
          </w:tcPr>
          <w:p>
            <w:pPr>
              <w:pStyle w:val="TableContents"/>
              <w:spacing w:lineRule="auto" w:line="285" w:before="0" w:after="1"/>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103,133</w:t>
            </w:r>
          </w:p>
        </w:tc>
        <w:tc>
          <w:tcPr>
            <w:tcW w:w="386" w:type="dxa"/>
            <w:tcBorders/>
            <w:shd w:fill="CCEEFF" w:val="clear"/>
            <w:vAlign w:val="center"/>
          </w:tcPr>
          <w:p>
            <w:pPr>
              <w:pStyle w:val="TableContents"/>
              <w:spacing w:lineRule="auto" w:line="285" w:before="0" w:after="1"/>
              <w:ind w:left="0" w:right="0" w:hanging="0"/>
              <w:rPr/>
            </w:pPr>
            <w:r>
              <w:rPr/>
              <w:t>     </w:t>
            </w:r>
          </w:p>
        </w:tc>
        <w:tc>
          <w:tcPr>
            <w:tcW w:w="240" w:type="dxa"/>
            <w:tcBorders>
              <w:bottom w:val="double" w:sz="6" w:space="0" w:color="000000"/>
            </w:tcBorders>
            <w:shd w:fill="CCEEFF" w:val="clear"/>
            <w:tcMar>
              <w:bottom w:w="28" w:type="dxa"/>
            </w:tcMar>
            <w:vAlign w:val="center"/>
          </w:tcPr>
          <w:p>
            <w:pPr>
              <w:pStyle w:val="TableContents"/>
              <w:spacing w:lineRule="auto" w:line="285" w:before="0" w:after="1"/>
              <w:ind w:left="0" w:right="0" w:hanging="0"/>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8,940</w:t>
            </w:r>
          </w:p>
        </w:tc>
        <w:tc>
          <w:tcPr>
            <w:tcW w:w="386" w:type="dxa"/>
            <w:tcBorders/>
            <w:shd w:fill="CCEEFF" w:val="clear"/>
            <w:vAlign w:val="center"/>
          </w:tcPr>
          <w:p>
            <w:pPr>
              <w:pStyle w:val="TableContents"/>
              <w:spacing w:lineRule="auto" w:line="285" w:before="0" w:after="1"/>
              <w:ind w:left="0" w:right="0" w:hanging="0"/>
              <w:rPr/>
            </w:pPr>
            <w:r>
              <w:rPr/>
              <w:t>     </w:t>
            </w:r>
          </w:p>
        </w:tc>
        <w:tc>
          <w:tcPr>
            <w:tcW w:w="483"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36" w:type="dxa"/>
            <w:tcBorders>
              <w:bottom w:val="double" w:sz="6" w:space="0" w:color="000000"/>
            </w:tcBorders>
            <w:shd w:fill="CCEEFF" w:val="clear"/>
            <w:tcMar>
              <w:bottom w:w="28" w:type="dxa"/>
            </w:tcMar>
            <w:vAlign w:val="center"/>
          </w:tcPr>
          <w:p>
            <w:pPr>
              <w:pStyle w:val="TableContents"/>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124"/>
        <w:gridCol w:w="230"/>
        <w:gridCol w:w="9851"/>
      </w:tblGrid>
      <w:tr>
        <w:trPr/>
        <w:tc>
          <w:tcPr>
            <w:tcW w:w="12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lineRule="auto" w:line="285" w:before="0" w:after="0"/>
              <w:rPr>
                <w:rFonts w:ascii="Times New Roman;Times;serif" w:hAnsi="Times New Roman;Times;serif"/>
                <w:sz w:val="20"/>
              </w:rPr>
            </w:pPr>
            <w:r>
              <w:rPr>
                <w:rFonts w:ascii="Times New Roman;Times;serif" w:hAnsi="Times New Roman;Times;serif"/>
                <w:sz w:val="20"/>
              </w:rPr>
              <w:t xml:space="preserve">* </w:t>
            </w:r>
          </w:p>
        </w:tc>
        <w:tc>
          <w:tcPr>
            <w:tcW w:w="9851" w:type="dxa"/>
            <w:tcBorders/>
            <w:shd w:fill="auto" w:val="clear"/>
            <w:vAlign w:val="center"/>
          </w:tcPr>
          <w:p>
            <w:pPr>
              <w:pStyle w:val="TableContents"/>
              <w:spacing w:lineRule="auto" w:line="285" w:before="0" w:after="0"/>
              <w:rPr>
                <w:rFonts w:ascii="Times New Roman;Times;serif" w:hAnsi="Times New Roman;Times;serif"/>
                <w:sz w:val="20"/>
              </w:rPr>
            </w:pPr>
            <w:r>
              <w:rPr>
                <w:rFonts w:ascii="Times New Roman;Times;serif" w:hAnsi="Times New Roman;Times;serif"/>
                <w:sz w:val="20"/>
              </w:rPr>
              <w:t>Pralsetinib external expenses include reimbursable expenses under our collaboration for pralsetinib with Roche, and other development and pre-development candidate expenses include reimbursable expenses under our other collaboration agreements.</w:t>
            </w:r>
          </w:p>
        </w:tc>
      </w:tr>
    </w:tbl>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In addition, we expect that our research and development expenses will increase in future periods as we incur additional costs in connection with research and development activities under our collaboration with Proteovant and development activities for companion diagnostic tests for any current and future drug candidates. Our research and development expenses may further increase with potential new collaborations and future acquisitions.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Interest Income (Expense), net</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 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We expect that the interest expense will fluctuate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Interest income (expense), net also includes income earned on cash equivalents and marketable securities. Our interest income may fluctuate depending on the movement of interest rates and our total amount of cash equivalents and marketable securities. </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Other Income (Expense), net</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Other income (expense), net consists of miscellaneous income and expenses unrelated to our core operations, including the impacts of foreign currency exchange differences. </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Income Tax Expense</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sz w:val="20"/>
        </w:rPr>
        <w:t xml:space="preserve">Income tax expense consists of federal, state and foreign income taxes incurred. </w:t>
      </w:r>
    </w:p>
    <w:p>
      <w:pPr>
        <w:pStyle w:val="TextBody"/>
        <w:spacing w:lineRule="auto" w:line="285" w:before="280" w:after="0"/>
        <w:ind w:left="0" w:right="0" w:hanging="0"/>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2022. There have been no significant changes to our critical accounting policies and estimates since December 31, 2022 with the exception of the below new policy and estimate.</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Performance-Based Restricted Stock Unit Awards</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sz w:val="20"/>
        </w:rPr>
        <w:t xml:space="preserve">Fair value of performance-based restricted stock unit awards (PSUs) at the grant date are estimated using a lattice model with a Monte Carlo simulation. This valuation methodology utilizes several key assumptions, the defined consecutive trading day average closing stock price on the date of grant for PSUs, expected volatility of our stock price,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risk-free rates of return and expected dividend yield. The probability of actual shares expected to be earned is considered in the grant date valuation and the expense is not adjusted to reflect the actual units earned. The PSUs cliff vest at the end of the service period and therefore the compensation expense for PSUs is recognized straight-line over the applicable service period.</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Comparison of Three Months Ended March 31, 2023 and 2022</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March 31, 2023 and 2022, together with the changes in those items in dollars and as a percentage: </w:t>
      </w:r>
    </w:p>
    <w:tbl>
      <w:tblPr>
        <w:tblW w:w="8496" w:type="dxa"/>
        <w:jc w:val="left"/>
        <w:tblInd w:w="0" w:type="dxa"/>
        <w:tblCellMar>
          <w:top w:w="0" w:type="dxa"/>
          <w:left w:w="0" w:type="dxa"/>
          <w:bottom w:w="0" w:type="dxa"/>
          <w:right w:w="0" w:type="dxa"/>
        </w:tblCellMar>
      </w:tblPr>
      <w:tblGrid>
        <w:gridCol w:w="2881"/>
        <w:gridCol w:w="326"/>
        <w:gridCol w:w="211"/>
        <w:gridCol w:w="901"/>
        <w:gridCol w:w="326"/>
        <w:gridCol w:w="211"/>
        <w:gridCol w:w="901"/>
        <w:gridCol w:w="326"/>
        <w:gridCol w:w="260"/>
        <w:gridCol w:w="911"/>
        <w:gridCol w:w="326"/>
        <w:gridCol w:w="523"/>
        <w:gridCol w:w="393"/>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829435" cy="175260"/>
                      <wp:effectExtent l="0" t="0" r="0" b="0"/>
                      <wp:wrapNone/>
                      <wp:docPr id="317" name="Frame317"/>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72135" cy="175260"/>
                      <wp:effectExtent l="0" t="0" r="0" b="0"/>
                      <wp:wrapNone/>
                      <wp:docPr id="320" name="Frame32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72135" cy="175260"/>
                      <wp:effectExtent l="0" t="0" r="0" b="0"/>
                      <wp:wrapNone/>
                      <wp:docPr id="323" name="Frame32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65100" cy="175260"/>
                      <wp:effectExtent l="0" t="0" r="0" b="0"/>
                      <wp:wrapNone/>
                      <wp:docPr id="325" name="Frame32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78485" cy="175260"/>
                      <wp:effectExtent l="0" t="0" r="0" b="0"/>
                      <wp:wrapNone/>
                      <wp:docPr id="326" name="Frame326"/>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32105" cy="175260"/>
                      <wp:effectExtent l="0" t="0" r="0" b="0"/>
                      <wp:wrapNone/>
                      <wp:docPr id="328" name="Frame328"/>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49555" cy="175260"/>
                      <wp:effectExtent l="0" t="0" r="0" b="0"/>
                      <wp:wrapNone/>
                      <wp:docPr id="329" name="Frame329"/>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550"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60" w:type="dxa"/>
            <w:tcBorders/>
            <w:shd w:fill="auto" w:val="clear"/>
            <w:vAlign w:val="center"/>
          </w:tcPr>
          <w:p>
            <w:pPr>
              <w:pStyle w:val="TableContents"/>
              <w:spacing w:lineRule="auto" w:line="285" w:before="0" w:after="0"/>
              <w:ind w:left="0" w:right="0" w:hanging="0"/>
              <w:rPr/>
            </w:pPr>
            <w:r>
              <w:rPr/>
              <w:t>​</w:t>
            </w:r>
          </w:p>
        </w:tc>
        <w:tc>
          <w:tcPr>
            <w:tcW w:w="91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523" w:type="dxa"/>
            <w:tcBorders/>
            <w:shd w:fill="auto" w:val="clear"/>
            <w:vAlign w:val="center"/>
          </w:tcPr>
          <w:p>
            <w:pPr>
              <w:pStyle w:val="TableContents"/>
              <w:spacing w:lineRule="auto" w:line="285" w:before="0" w:after="0"/>
              <w:ind w:left="0" w:right="0" w:hanging="0"/>
              <w:rPr/>
            </w:pPr>
            <w:r>
              <w:rPr/>
              <w:t>​</w:t>
            </w:r>
          </w:p>
        </w:tc>
        <w:tc>
          <w:tcPr>
            <w:tcW w:w="393" w:type="dxa"/>
            <w:tcBorders/>
            <w:shd w:fill="auto" w:val="clear"/>
            <w:vAlign w:val="center"/>
          </w:tcPr>
          <w:p>
            <w:pPr>
              <w:pStyle w:val="TableContents"/>
              <w:spacing w:lineRule="auto" w:line="285" w:before="0" w:after="0"/>
              <w:ind w:left="0" w:right="0" w:hanging="0"/>
              <w:rPr/>
            </w:pPr>
            <w:r>
              <w:rPr/>
              <w:t>​</w:t>
            </w:r>
          </w:p>
        </w:tc>
      </w:tr>
      <w:tr>
        <w:trPr/>
        <w:tc>
          <w:tcPr>
            <w:tcW w:w="288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62,731</w:t>
            </w:r>
          </w:p>
        </w:tc>
        <w:tc>
          <w:tcPr>
            <w:tcW w:w="326" w:type="dxa"/>
            <w:tcBorders/>
            <w:shd w:fill="CCEEFF" w:val="clear"/>
            <w:vAlign w:val="center"/>
          </w:tcPr>
          <w:p>
            <w:pPr>
              <w:pStyle w:val="TableContents"/>
              <w:spacing w:lineRule="auto" w:line="285" w:before="0" w:after="0"/>
              <w:ind w:left="0" w:right="0" w:hanging="0"/>
              <w:rPr/>
            </w:pPr>
            <w:r>
              <w:rPr/>
              <w:t>    </w:t>
            </w:r>
          </w:p>
        </w:tc>
        <w:tc>
          <w:tcPr>
            <w:tcW w:w="260"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spacing w:lineRule="auto" w:line="285" w:before="0" w:after="0"/>
              <w:ind w:left="0" w:right="0" w:hanging="0"/>
              <w:rPr/>
            </w:pPr>
            <w:r>
              <w:rPr/>
              <w:t>    </w:t>
            </w:r>
          </w:p>
        </w:tc>
        <w:tc>
          <w:tcPr>
            <w:tcW w:w="5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187,494</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168,535</w:t>
            </w:r>
          </w:p>
        </w:tc>
        <w:tc>
          <w:tcPr>
            <w:tcW w:w="326" w:type="dxa"/>
            <w:tcBorders/>
            <w:shd w:fill="auto" w:val="clear"/>
            <w:vAlign w:val="center"/>
          </w:tcPr>
          <w:p>
            <w:pPr>
              <w:pStyle w:val="TableContents"/>
              <w:spacing w:lineRule="auto" w:line="285" w:before="0" w:after="0"/>
              <w:ind w:left="0" w:right="0" w:hanging="0"/>
              <w:rPr/>
            </w:pPr>
            <w:r>
              <w:rPr/>
              <w:t>    </w:t>
            </w:r>
          </w:p>
        </w:tc>
        <w:tc>
          <w:tcPr>
            <w:tcW w:w="260" w:type="dxa"/>
            <w:tcBorders/>
            <w:shd w:fill="auto" w:val="clear"/>
            <w:vAlign w:val="center"/>
          </w:tcPr>
          <w:p>
            <w:pPr>
              <w:pStyle w:val="TableContents"/>
              <w:spacing w:lineRule="auto" w:line="285" w:before="0" w:after="0"/>
              <w:ind w:left="0" w:right="0" w:hanging="0"/>
              <w:rPr/>
            </w:pPr>
            <w:r>
              <w:rPr/>
              <w:t> </w:t>
            </w:r>
          </w:p>
        </w:tc>
        <w:tc>
          <w:tcPr>
            <w:tcW w:w="9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18,959</w:t>
            </w:r>
          </w:p>
        </w:tc>
        <w:tc>
          <w:tcPr>
            <w:tcW w:w="326" w:type="dxa"/>
            <w:tcBorders/>
            <w:shd w:fill="auto" w:val="clear"/>
            <w:vAlign w:val="center"/>
          </w:tcPr>
          <w:p>
            <w:pPr>
              <w:pStyle w:val="TableContents"/>
              <w:spacing w:lineRule="auto" w:line="285" w:before="0" w:after="0"/>
              <w:ind w:left="0" w:right="0" w:hanging="0"/>
              <w:rPr/>
            </w:pPr>
            <w:r>
              <w:rPr/>
              <w:t>    </w:t>
            </w:r>
          </w:p>
        </w:tc>
        <w:tc>
          <w:tcPr>
            <w:tcW w:w="52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3" w:type="dxa"/>
            <w:tcBorders/>
            <w:shd w:fill="auto" w:val="clear"/>
            <w:vAlign w:val="center"/>
          </w:tcPr>
          <w:p>
            <w:pPr>
              <w:pStyle w:val="TableContents"/>
              <w:spacing w:lineRule="auto" w:line="285" w:before="0" w:after="0"/>
              <w:ind w:left="0" w:right="0" w:hanging="0"/>
              <w:jc w:val="center"/>
              <w:rPr/>
            </w:pPr>
            <w:r>
              <w:rPr/>
              <w:t>​</w:t>
            </w:r>
          </w:p>
        </w:tc>
      </w:tr>
      <w:tr>
        <w:trPr/>
        <w:tc>
          <w:tcPr>
            <w:tcW w:w="28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(4,833)</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lineRule="auto" w:line="285" w:before="0" w:after="0"/>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(4,822)</w:t>
            </w:r>
          </w:p>
        </w:tc>
        <w:tc>
          <w:tcPr>
            <w:tcW w:w="326" w:type="dxa"/>
            <w:tcBorders/>
            <w:shd w:fill="CCEEFF" w:val="clear"/>
            <w:vAlign w:val="center"/>
          </w:tcPr>
          <w:p>
            <w:pPr>
              <w:pStyle w:val="TableContents"/>
              <w:spacing w:lineRule="auto" w:line="285" w:before="0" w:after="0"/>
              <w:ind w:left="0" w:right="0" w:hanging="0"/>
              <w:rPr/>
            </w:pPr>
            <w:r>
              <w:rPr/>
              <w:t>    </w:t>
            </w:r>
          </w:p>
        </w:tc>
        <w:tc>
          <w:tcPr>
            <w:tcW w:w="52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9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center"/>
              <w:rPr/>
            </w:pPr>
            <w:r>
              <w:rPr/>
              <w:t>​</w:t>
            </w:r>
          </w:p>
        </w:tc>
      </w:tr>
      <w:tr>
        <w:trPr/>
        <w:tc>
          <w:tcPr>
            <w:tcW w:w="28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(129,040)</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shd w:fill="auto" w:val="clear"/>
            <w:vAlign w:val="center"/>
          </w:tcPr>
          <w:p>
            <w:pPr>
              <w:pStyle w:val="TableContents"/>
              <w:spacing w:lineRule="auto" w:line="285" w:before="0" w:after="0"/>
              <w:ind w:left="0" w:right="0" w:hanging="0"/>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(105,815)</w:t>
            </w:r>
          </w:p>
        </w:tc>
        <w:tc>
          <w:tcPr>
            <w:tcW w:w="326" w:type="dxa"/>
            <w:tcBorders/>
            <w:shd w:fill="auto" w:val="clear"/>
            <w:vAlign w:val="center"/>
          </w:tcPr>
          <w:p>
            <w:pPr>
              <w:pStyle w:val="TableContents"/>
              <w:spacing w:lineRule="auto" w:line="285" w:before="0" w:after="0"/>
              <w:ind w:left="0" w:right="0" w:hanging="0"/>
              <w:rPr/>
            </w:pPr>
            <w:r>
              <w:rPr/>
              <w:t>    </w:t>
            </w:r>
          </w:p>
        </w:tc>
        <w:tc>
          <w:tcPr>
            <w:tcW w:w="260" w:type="dxa"/>
            <w:tcBorders/>
            <w:shd w:fill="auto" w:val="clear"/>
            <w:vAlign w:val="center"/>
          </w:tcPr>
          <w:p>
            <w:pPr>
              <w:pStyle w:val="TableContents"/>
              <w:spacing w:lineRule="auto" w:line="285" w:before="0" w:after="0"/>
              <w:ind w:left="0" w:right="0" w:hanging="0"/>
              <w:rPr/>
            </w:pPr>
            <w:r>
              <w:rPr/>
              <w:t> </w:t>
            </w:r>
          </w:p>
        </w:tc>
        <w:tc>
          <w:tcPr>
            <w:tcW w:w="91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(23,225)</w:t>
            </w:r>
          </w:p>
        </w:tc>
        <w:tc>
          <w:tcPr>
            <w:tcW w:w="326" w:type="dxa"/>
            <w:tcBorders/>
            <w:shd w:fill="auto" w:val="clear"/>
            <w:vAlign w:val="center"/>
          </w:tcPr>
          <w:p>
            <w:pPr>
              <w:pStyle w:val="TableContents"/>
              <w:spacing w:lineRule="auto" w:line="285" w:before="0" w:after="0"/>
              <w:ind w:left="0" w:right="0" w:hanging="0"/>
              <w:rPr/>
            </w:pPr>
            <w:r>
              <w:rPr/>
              <w:t>    </w:t>
            </w:r>
          </w:p>
        </w:tc>
        <w:tc>
          <w:tcPr>
            <w:tcW w:w="52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3" w:type="dxa"/>
            <w:tcBorders/>
            <w:shd w:fill="auto" w:val="clear"/>
            <w:vAlign w:val="center"/>
          </w:tcPr>
          <w:p>
            <w:pPr>
              <w:pStyle w:val="TableContents"/>
              <w:spacing w:lineRule="auto" w:line="285" w:before="0" w:after="0"/>
              <w:ind w:left="0" w:right="0" w:hanging="0"/>
              <w:jc w:val="center"/>
              <w:rPr/>
            </w:pPr>
            <w:r>
              <w:rPr/>
              <w:t>​</w:t>
            </w:r>
          </w:p>
        </w:tc>
      </w:tr>
      <w:tr>
        <w:trPr/>
        <w:tc>
          <w:tcPr>
            <w:tcW w:w="28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spacing w:lineRule="auto" w:line="285"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spacing w:lineRule="auto" w:line="285" w:before="0" w:after="0"/>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9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spacing w:lineRule="auto" w:line="285" w:before="0" w:after="0"/>
              <w:ind w:left="0" w:right="0" w:hanging="0"/>
              <w:rPr/>
            </w:pPr>
            <w:r>
              <w:rPr/>
              <w:t>    </w:t>
            </w:r>
          </w:p>
        </w:tc>
        <w:tc>
          <w:tcPr>
            <w:tcW w:w="52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9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center"/>
              <w:rPr/>
            </w:pPr>
            <w:r>
              <w:rPr/>
              <w:t>​</w:t>
            </w:r>
          </w:p>
        </w:tc>
      </w:tr>
      <w:tr>
        <w:trPr/>
        <w:tc>
          <w:tcPr>
            <w:tcW w:w="28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c>
          <w:tcPr>
            <w:tcW w:w="326" w:type="dxa"/>
            <w:tcBorders/>
            <w:shd w:fill="auto" w:val="clear"/>
            <w:vAlign w:val="center"/>
          </w:tcPr>
          <w:p>
            <w:pPr>
              <w:pStyle w:val="TableContents"/>
              <w:spacing w:lineRule="auto" w:line="285"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(105,999)</w:t>
            </w:r>
          </w:p>
        </w:tc>
        <w:tc>
          <w:tcPr>
            <w:tcW w:w="326" w:type="dxa"/>
            <w:tcBorders/>
            <w:shd w:fill="auto" w:val="clear"/>
            <w:vAlign w:val="center"/>
          </w:tcPr>
          <w:p>
            <w:pPr>
              <w:pStyle w:val="TableContents"/>
              <w:spacing w:lineRule="auto" w:line="285" w:before="0" w:after="0"/>
              <w:ind w:left="0" w:right="0" w:hanging="0"/>
              <w:rPr/>
            </w:pPr>
            <w:r>
              <w:rPr/>
              <w:t>    </w:t>
            </w:r>
          </w:p>
        </w:tc>
        <w:tc>
          <w:tcPr>
            <w:tcW w:w="260"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(23,561)</w:t>
            </w:r>
          </w:p>
        </w:tc>
        <w:tc>
          <w:tcPr>
            <w:tcW w:w="326" w:type="dxa"/>
            <w:tcBorders/>
            <w:shd w:fill="auto" w:val="clear"/>
            <w:vAlign w:val="center"/>
          </w:tcPr>
          <w:p>
            <w:pPr>
              <w:pStyle w:val="TableContents"/>
              <w:spacing w:lineRule="auto" w:line="285" w:before="0" w:after="0"/>
              <w:ind w:left="0" w:right="0" w:hanging="0"/>
              <w:rPr/>
            </w:pPr>
            <w:r>
              <w:rPr/>
              <w:t>    </w:t>
            </w:r>
          </w:p>
        </w:tc>
        <w:tc>
          <w:tcPr>
            <w:tcW w:w="52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Total Revenues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Total revenues consist of the following:</w:t>
      </w:r>
    </w:p>
    <w:tbl>
      <w:tblPr>
        <w:tblW w:w="8599" w:type="dxa"/>
        <w:jc w:val="left"/>
        <w:tblInd w:w="0" w:type="dxa"/>
        <w:tblCellMar>
          <w:top w:w="0" w:type="dxa"/>
          <w:left w:w="0" w:type="dxa"/>
          <w:bottom w:w="0" w:type="dxa"/>
          <w:right w:w="0" w:type="dxa"/>
        </w:tblCellMar>
      </w:tblPr>
      <w:tblGrid>
        <w:gridCol w:w="2911"/>
        <w:gridCol w:w="386"/>
        <w:gridCol w:w="238"/>
        <w:gridCol w:w="765"/>
        <w:gridCol w:w="437"/>
        <w:gridCol w:w="238"/>
        <w:gridCol w:w="765"/>
        <w:gridCol w:w="386"/>
        <w:gridCol w:w="260"/>
        <w:gridCol w:w="911"/>
        <w:gridCol w:w="386"/>
        <w:gridCol w:w="497"/>
        <w:gridCol w:w="419"/>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848485" cy="175260"/>
                      <wp:effectExtent l="0" t="0" r="0" b="0"/>
                      <wp:wrapNone/>
                      <wp:docPr id="330" name="Frame330"/>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45110" cy="175260"/>
                      <wp:effectExtent l="0" t="0" r="0" b="0"/>
                      <wp:wrapNone/>
                      <wp:docPr id="331" name="Frame331"/>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51130" cy="175260"/>
                      <wp:effectExtent l="0" t="0" r="0" b="0"/>
                      <wp:wrapNone/>
                      <wp:docPr id="332" name="Frame332"/>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85775" cy="175260"/>
                      <wp:effectExtent l="0" t="0" r="0" b="0"/>
                      <wp:wrapNone/>
                      <wp:docPr id="333" name="Frame333"/>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77495" cy="175260"/>
                      <wp:effectExtent l="0" t="0" r="0" b="0"/>
                      <wp:wrapNone/>
                      <wp:docPr id="334" name="Frame334"/>
                      <a:graphic xmlns:a="http://schemas.openxmlformats.org/drawingml/2006/main">
                        <a:graphicData uri="http://schemas.microsoft.com/office/word/2010/wordprocessingShape">
                          <wps:wsp>
                            <wps:cNvSpPr txBox="1"/>
                            <wps:spPr>
                              <a:xfrm>
                                <a:off x="0" y="0"/>
                                <a:ext cx="2774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51130" cy="175260"/>
                      <wp:effectExtent l="0" t="0" r="0" b="0"/>
                      <wp:wrapNone/>
                      <wp:docPr id="335" name="Frame335"/>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85775" cy="175260"/>
                      <wp:effectExtent l="0" t="0" r="0" b="0"/>
                      <wp:wrapNone/>
                      <wp:docPr id="336" name="Frame336"/>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45110" cy="175260"/>
                      <wp:effectExtent l="0" t="0" r="0" b="0"/>
                      <wp:wrapNone/>
                      <wp:docPr id="337" name="Frame337"/>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65100" cy="175260"/>
                      <wp:effectExtent l="0" t="0" r="0" b="0"/>
                      <wp:wrapNone/>
                      <wp:docPr id="338" name="Frame338"/>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78485" cy="175260"/>
                      <wp:effectExtent l="0" t="0" r="0" b="0"/>
                      <wp:wrapNone/>
                      <wp:docPr id="339" name="Frame339"/>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45110" cy="175260"/>
                      <wp:effectExtent l="0" t="0" r="0" b="0"/>
                      <wp:wrapNone/>
                      <wp:docPr id="340" name="Frame340"/>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15595" cy="175260"/>
                      <wp:effectExtent l="0" t="0" r="0" b="0"/>
                      <wp:wrapNone/>
                      <wp:docPr id="341" name="Frame341"/>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66065" cy="175260"/>
                      <wp:effectExtent l="0" t="0" r="0" b="0"/>
                      <wp:wrapNone/>
                      <wp:docPr id="342" name="Frame342"/>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lineRule="auto" w:line="285" w:before="0" w:after="0"/>
              <w:ind w:left="0" w:right="0" w:hanging="0"/>
              <w:rPr/>
            </w:pPr>
            <w:r>
              <w:rPr/>
              <w:t>​</w:t>
            </w:r>
          </w:p>
        </w:tc>
        <w:tc>
          <w:tcPr>
            <w:tcW w:w="386" w:type="dxa"/>
            <w:tcBorders/>
            <w:shd w:fill="auto" w:val="clear"/>
            <w:vAlign w:val="center"/>
          </w:tcPr>
          <w:p>
            <w:pPr>
              <w:pStyle w:val="TableContents"/>
              <w:spacing w:lineRule="auto" w:line="285" w:before="0" w:after="0"/>
              <w:ind w:left="0" w:right="0" w:hanging="0"/>
              <w:rPr/>
            </w:pPr>
            <w:r>
              <w:rPr/>
              <w:t>     </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shd w:fill="auto" w:val="clear"/>
            <w:vAlign w:val="center"/>
          </w:tcPr>
          <w:p>
            <w:pPr>
              <w:pStyle w:val="TableContents"/>
              <w:spacing w:lineRule="auto" w:line="285" w:before="0" w:after="0"/>
              <w:ind w:left="0" w:right="0" w:hanging="0"/>
              <w:rPr/>
            </w:pPr>
            <w:r>
              <w:rPr/>
              <w:t>     </w:t>
            </w:r>
          </w:p>
        </w:tc>
        <w:tc>
          <w:tcPr>
            <w:tcW w:w="260" w:type="dxa"/>
            <w:tcBorders/>
            <w:shd w:fill="auto" w:val="clear"/>
            <w:vAlign w:val="center"/>
          </w:tcPr>
          <w:p>
            <w:pPr>
              <w:pStyle w:val="TableContents"/>
              <w:spacing w:lineRule="auto" w:line="285" w:before="0" w:after="0"/>
              <w:ind w:left="0" w:right="0" w:hanging="0"/>
              <w:rPr/>
            </w:pPr>
            <w:r>
              <w:rPr/>
              <w:t>​</w:t>
            </w:r>
          </w:p>
        </w:tc>
        <w:tc>
          <w:tcPr>
            <w:tcW w:w="911" w:type="dxa"/>
            <w:tcBorders/>
            <w:shd w:fill="auto" w:val="clear"/>
            <w:vAlign w:val="center"/>
          </w:tcPr>
          <w:p>
            <w:pPr>
              <w:pStyle w:val="TableContents"/>
              <w:spacing w:lineRule="auto" w:line="285" w:before="0" w:after="0"/>
              <w:ind w:left="0" w:right="0" w:hanging="0"/>
              <w:rPr/>
            </w:pPr>
            <w:r>
              <w:rPr/>
              <w:t>​</w:t>
            </w:r>
          </w:p>
        </w:tc>
        <w:tc>
          <w:tcPr>
            <w:tcW w:w="386" w:type="dxa"/>
            <w:tcBorders/>
            <w:shd w:fill="auto" w:val="clear"/>
            <w:vAlign w:val="center"/>
          </w:tcPr>
          <w:p>
            <w:pPr>
              <w:pStyle w:val="TableContents"/>
              <w:spacing w:lineRule="auto" w:line="285" w:before="0" w:after="0"/>
              <w:ind w:left="0" w:right="0" w:hanging="0"/>
              <w:rPr/>
            </w:pPr>
            <w:r>
              <w:rPr/>
              <w:t>     </w:t>
            </w:r>
          </w:p>
        </w:tc>
        <w:tc>
          <w:tcPr>
            <w:tcW w:w="497" w:type="dxa"/>
            <w:tcBorders/>
            <w:shd w:fill="auto" w:val="clear"/>
            <w:vAlign w:val="center"/>
          </w:tcPr>
          <w:p>
            <w:pPr>
              <w:pStyle w:val="TableContents"/>
              <w:spacing w:lineRule="auto" w:line="285" w:before="0" w:after="0"/>
              <w:ind w:left="0" w:right="0" w:hanging="0"/>
              <w:rPr/>
            </w:pPr>
            <w:r>
              <w:rPr/>
              <w:t>​</w:t>
            </w:r>
          </w:p>
        </w:tc>
        <w:tc>
          <w:tcPr>
            <w:tcW w:w="419" w:type="dxa"/>
            <w:tcBorders/>
            <w:shd w:fill="auto" w:val="clear"/>
            <w:vAlign w:val="center"/>
          </w:tcPr>
          <w:p>
            <w:pPr>
              <w:pStyle w:val="TableContents"/>
              <w:spacing w:lineRule="auto" w:line="285" w:before="0" w:after="0"/>
              <w:ind w:left="0" w:right="0" w:hanging="0"/>
              <w:jc w:val="center"/>
              <w:rPr/>
            </w:pPr>
            <w:r>
              <w:rPr/>
              <w:t>​</w:t>
            </w:r>
          </w:p>
        </w:tc>
      </w:tr>
      <w:tr>
        <w:trPr/>
        <w:tc>
          <w:tcPr>
            <w:tcW w:w="2911" w:type="dxa"/>
            <w:tcBorders/>
            <w:shd w:fill="auto" w:val="clear"/>
            <w:vAlign w:val="center"/>
          </w:tcPr>
          <w:p>
            <w:pPr>
              <w:pStyle w:val="TableContents"/>
              <w:spacing w:lineRule="auto" w:line="285" w:before="0" w:after="0"/>
              <w:ind w:left="0" w:right="0" w:hanging="0"/>
              <w:rPr/>
            </w:pPr>
            <w:r>
              <w:rPr/>
              <w:t>​</w:t>
            </w:r>
          </w:p>
        </w:tc>
        <w:tc>
          <w:tcPr>
            <w:tcW w:w="386" w:type="dxa"/>
            <w:tcBorders/>
            <w:shd w:fill="auto" w:val="clear"/>
            <w:vAlign w:val="center"/>
          </w:tcPr>
          <w:p>
            <w:pPr>
              <w:pStyle w:val="TableContents"/>
              <w:spacing w:lineRule="auto" w:line="285" w:before="0" w:after="0"/>
              <w:ind w:left="0" w:right="0" w:hanging="0"/>
              <w:rPr/>
            </w:pPr>
            <w:r>
              <w:rPr/>
              <w:t>     </w:t>
            </w:r>
          </w:p>
        </w:tc>
        <w:tc>
          <w:tcPr>
            <w:tcW w:w="1003"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7" w:type="dxa"/>
            <w:tcBorders/>
            <w:shd w:fill="auto" w:val="clear"/>
            <w:vAlign w:val="center"/>
          </w:tcPr>
          <w:p>
            <w:pPr>
              <w:pStyle w:val="TableContents"/>
              <w:spacing w:lineRule="auto" w:line="285" w:before="0" w:after="0"/>
              <w:ind w:left="0" w:right="0" w:hanging="0"/>
              <w:jc w:val="center"/>
              <w:rPr/>
            </w:pPr>
            <w:r>
              <w:rPr/>
              <w:t>   </w:t>
            </w:r>
          </w:p>
        </w:tc>
        <w:tc>
          <w:tcPr>
            <w:tcW w:w="1003"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spacing w:lineRule="auto" w:line="285" w:before="0" w:after="0"/>
              <w:ind w:left="0" w:right="0" w:hanging="0"/>
              <w:rPr/>
            </w:pPr>
            <w:r>
              <w:rPr/>
              <w:t>     </w:t>
            </w:r>
          </w:p>
        </w:tc>
        <w:tc>
          <w:tcPr>
            <w:tcW w:w="23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437" w:type="dxa"/>
            <w:tcBorders/>
            <w:shd w:fill="CCEEFF" w:val="clear"/>
            <w:vAlign w:val="center"/>
          </w:tcPr>
          <w:p>
            <w:pPr>
              <w:pStyle w:val="TableContents"/>
              <w:spacing w:lineRule="auto" w:line="285" w:before="0" w:after="0"/>
              <w:ind w:left="0" w:right="0" w:hanging="0"/>
              <w:rPr/>
            </w:pPr>
            <w:r>
              <w:rPr/>
              <w:t>     </w:t>
            </w:r>
          </w:p>
        </w:tc>
        <w:tc>
          <w:tcPr>
            <w:tcW w:w="23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23,841</w:t>
            </w:r>
          </w:p>
        </w:tc>
        <w:tc>
          <w:tcPr>
            <w:tcW w:w="386" w:type="dxa"/>
            <w:tcBorders/>
            <w:shd w:fill="CCEEFF" w:val="clear"/>
            <w:vAlign w:val="center"/>
          </w:tcPr>
          <w:p>
            <w:pPr>
              <w:pStyle w:val="TableContents"/>
              <w:spacing w:lineRule="auto" w:line="285" w:before="0" w:after="0"/>
              <w:ind w:left="0" w:right="0" w:hanging="0"/>
              <w:rPr/>
            </w:pPr>
            <w:r>
              <w:rPr/>
              <w:t>     </w:t>
            </w:r>
          </w:p>
        </w:tc>
        <w:tc>
          <w:tcPr>
            <w:tcW w:w="260"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15,228</w:t>
            </w:r>
          </w:p>
        </w:tc>
        <w:tc>
          <w:tcPr>
            <w:tcW w:w="386" w:type="dxa"/>
            <w:tcBorders/>
            <w:shd w:fill="CCEEFF" w:val="clear"/>
            <w:vAlign w:val="center"/>
          </w:tcPr>
          <w:p>
            <w:pPr>
              <w:pStyle w:val="TableContents"/>
              <w:spacing w:lineRule="auto" w:line="285" w:before="0" w:after="0"/>
              <w:ind w:left="0" w:right="0" w:hanging="0"/>
              <w:rPr/>
            </w:pPr>
            <w:r>
              <w:rPr/>
              <w:t>     </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19"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386" w:type="dxa"/>
            <w:tcBorders/>
            <w:shd w:fill="auto" w:val="clear"/>
            <w:vAlign w:val="center"/>
          </w:tcPr>
          <w:p>
            <w:pPr>
              <w:pStyle w:val="TableContents"/>
              <w:spacing w:lineRule="auto" w:line="285" w:before="0" w:after="0"/>
              <w:ind w:left="0" w:right="0" w:hanging="0"/>
              <w:rPr/>
            </w:pPr>
            <w:r>
              <w:rPr/>
              <w:t>     </w:t>
            </w:r>
          </w:p>
        </w:tc>
        <w:tc>
          <w:tcPr>
            <w:tcW w:w="238"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 </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c>
          <w:tcPr>
            <w:tcW w:w="437" w:type="dxa"/>
            <w:tcBorders/>
            <w:shd w:fill="auto" w:val="clear"/>
            <w:vAlign w:val="center"/>
          </w:tcPr>
          <w:p>
            <w:pPr>
              <w:pStyle w:val="TableContents"/>
              <w:spacing w:lineRule="auto" w:line="285" w:before="0" w:after="0"/>
              <w:ind w:left="0" w:right="0" w:hanging="0"/>
              <w:rPr/>
            </w:pPr>
            <w:r>
              <w:rPr/>
              <w:t>     </w:t>
            </w:r>
          </w:p>
        </w:tc>
        <w:tc>
          <w:tcPr>
            <w:tcW w:w="238"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 </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38,890</w:t>
            </w:r>
          </w:p>
        </w:tc>
        <w:tc>
          <w:tcPr>
            <w:tcW w:w="386" w:type="dxa"/>
            <w:tcBorders/>
            <w:shd w:fill="auto" w:val="clear"/>
            <w:vAlign w:val="center"/>
          </w:tcPr>
          <w:p>
            <w:pPr>
              <w:pStyle w:val="TableContents"/>
              <w:spacing w:lineRule="auto" w:line="285" w:before="0" w:after="0"/>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 </w:t>
            </w:r>
          </w:p>
        </w:tc>
        <w:tc>
          <w:tcPr>
            <w:tcW w:w="9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(14,672)</w:t>
            </w:r>
          </w:p>
        </w:tc>
        <w:tc>
          <w:tcPr>
            <w:tcW w:w="386" w:type="dxa"/>
            <w:tcBorders/>
            <w:shd w:fill="auto" w:val="clear"/>
            <w:vAlign w:val="center"/>
          </w:tcPr>
          <w:p>
            <w:pPr>
              <w:pStyle w:val="TableContents"/>
              <w:spacing w:lineRule="auto" w:line="285" w:before="0" w:after="0"/>
              <w:ind w:left="0" w:right="0" w:hanging="0"/>
              <w:rPr/>
            </w:pPr>
            <w:r>
              <w:rPr/>
              <w:t>     </w:t>
            </w:r>
          </w:p>
        </w:tc>
        <w:tc>
          <w:tcPr>
            <w:tcW w:w="49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9"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29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86" w:type="dxa"/>
            <w:tcBorders/>
            <w:shd w:fill="CCEEFF" w:val="clear"/>
            <w:vAlign w:val="center"/>
          </w:tcPr>
          <w:p>
            <w:pPr>
              <w:pStyle w:val="TableContents"/>
              <w:spacing w:lineRule="auto" w:line="285" w:before="0" w:after="0"/>
              <w:ind w:left="0" w:right="0" w:hanging="0"/>
              <w:rPr/>
            </w:pPr>
            <w:r>
              <w:rPr/>
              <w:t>     </w:t>
            </w:r>
          </w:p>
        </w:tc>
        <w:tc>
          <w:tcPr>
            <w:tcW w:w="23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437" w:type="dxa"/>
            <w:tcBorders/>
            <w:shd w:fill="CCEEFF" w:val="clear"/>
            <w:vAlign w:val="center"/>
          </w:tcPr>
          <w:p>
            <w:pPr>
              <w:pStyle w:val="TableContents"/>
              <w:spacing w:lineRule="auto" w:line="285" w:before="0" w:after="0"/>
              <w:ind w:left="0" w:right="0" w:hanging="0"/>
              <w:rPr/>
            </w:pPr>
            <w:r>
              <w:rPr/>
              <w:t>     </w:t>
            </w:r>
          </w:p>
        </w:tc>
        <w:tc>
          <w:tcPr>
            <w:tcW w:w="23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62,731</w:t>
            </w:r>
          </w:p>
        </w:tc>
        <w:tc>
          <w:tcPr>
            <w:tcW w:w="386" w:type="dxa"/>
            <w:tcBorders/>
            <w:shd w:fill="CCEEFF" w:val="clear"/>
            <w:vAlign w:val="center"/>
          </w:tcPr>
          <w:p>
            <w:pPr>
              <w:pStyle w:val="TableContents"/>
              <w:spacing w:lineRule="auto" w:line="285" w:before="0" w:after="0"/>
              <w:ind w:left="0" w:right="0" w:hanging="0"/>
              <w:rPr/>
            </w:pPr>
            <w:r>
              <w:rPr/>
              <w:t>     </w:t>
            </w:r>
          </w:p>
        </w:tc>
        <w:tc>
          <w:tcPr>
            <w:tcW w:w="260"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86" w:type="dxa"/>
            <w:tcBorders/>
            <w:shd w:fill="CCEEFF" w:val="clear"/>
            <w:vAlign w:val="center"/>
          </w:tcPr>
          <w:p>
            <w:pPr>
              <w:pStyle w:val="TableContents"/>
              <w:spacing w:lineRule="auto" w:line="285" w:before="0" w:after="0"/>
              <w:ind w:left="0" w:right="0" w:hanging="0"/>
              <w:rPr/>
            </w:pPr>
            <w:r>
              <w:rPr/>
              <w:t>     </w:t>
            </w:r>
          </w:p>
        </w:tc>
        <w:tc>
          <w:tcPr>
            <w:tcW w:w="49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 xml:space="preserve">Product Revenue, Net </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 </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March 31, 2023 and 2022 (in thousands): </w:t>
      </w:r>
    </w:p>
    <w:tbl>
      <w:tblPr>
        <w:tblW w:w="6754" w:type="dxa"/>
        <w:jc w:val="left"/>
        <w:tblInd w:w="0" w:type="dxa"/>
        <w:tblCellMar>
          <w:top w:w="0" w:type="dxa"/>
          <w:left w:w="0" w:type="dxa"/>
          <w:bottom w:w="0" w:type="dxa"/>
          <w:right w:w="0" w:type="dxa"/>
        </w:tblCellMar>
      </w:tblPr>
      <w:tblGrid>
        <w:gridCol w:w="1246"/>
        <w:gridCol w:w="326"/>
        <w:gridCol w:w="245"/>
        <w:gridCol w:w="787"/>
        <w:gridCol w:w="379"/>
        <w:gridCol w:w="245"/>
        <w:gridCol w:w="787"/>
        <w:gridCol w:w="326"/>
        <w:gridCol w:w="278"/>
        <w:gridCol w:w="893"/>
        <w:gridCol w:w="326"/>
        <w:gridCol w:w="458"/>
        <w:gridCol w:w="458"/>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91210" cy="175260"/>
                      <wp:effectExtent l="0" t="0" r="0" b="0"/>
                      <wp:wrapNone/>
                      <wp:docPr id="343" name="Frame343"/>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55575" cy="175260"/>
                      <wp:effectExtent l="0" t="0" r="0" b="0"/>
                      <wp:wrapNone/>
                      <wp:docPr id="345" name="Frame345"/>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9745" cy="175260"/>
                      <wp:effectExtent l="0" t="0" r="0" b="0"/>
                      <wp:wrapNone/>
                      <wp:docPr id="346" name="Frame346"/>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40665" cy="175260"/>
                      <wp:effectExtent l="0" t="0" r="0" b="0"/>
                      <wp:wrapNone/>
                      <wp:docPr id="347" name="Frame347"/>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5575" cy="175260"/>
                      <wp:effectExtent l="0" t="0" r="0" b="0"/>
                      <wp:wrapNone/>
                      <wp:docPr id="348" name="Frame348"/>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9745" cy="175260"/>
                      <wp:effectExtent l="0" t="0" r="0" b="0"/>
                      <wp:wrapNone/>
                      <wp:docPr id="349" name="Frame349"/>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76530" cy="175260"/>
                      <wp:effectExtent l="0" t="0" r="0" b="0"/>
                      <wp:wrapNone/>
                      <wp:docPr id="351" name="Frame351"/>
                      <a:graphic xmlns:a="http://schemas.openxmlformats.org/drawingml/2006/main">
                        <a:graphicData uri="http://schemas.microsoft.com/office/word/2010/wordprocessingShape">
                          <wps:wsp>
                            <wps:cNvSpPr txBox="1"/>
                            <wps:spPr>
                              <a:xfrm>
                                <a:off x="0" y="0"/>
                                <a:ext cx="1765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67055" cy="175260"/>
                      <wp:effectExtent l="0" t="0" r="0" b="0"/>
                      <wp:wrapNone/>
                      <wp:docPr id="352" name="Frame352"/>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90830" cy="175260"/>
                      <wp:effectExtent l="0" t="0" r="0" b="0"/>
                      <wp:wrapNone/>
                      <wp:docPr id="354" name="Frame354"/>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90830" cy="175260"/>
                      <wp:effectExtent l="0" t="0" r="0" b="0"/>
                      <wp:wrapNone/>
                      <wp:docPr id="355" name="Frame355"/>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78" w:type="dxa"/>
            <w:tcBorders/>
            <w:shd w:fill="auto" w:val="clear"/>
            <w:vAlign w:val="center"/>
          </w:tcPr>
          <w:p>
            <w:pPr>
              <w:pStyle w:val="TableContents"/>
              <w:spacing w:lineRule="auto" w:line="285" w:before="0" w:after="0"/>
              <w:ind w:left="0" w:right="0" w:hanging="0"/>
              <w:jc w:val="center"/>
              <w:rPr/>
            </w:pPr>
            <w:r>
              <w:rPr/>
              <w:t>​</w:t>
            </w:r>
          </w:p>
        </w:tc>
        <w:tc>
          <w:tcPr>
            <w:tcW w:w="893" w:type="dxa"/>
            <w:tcBorders/>
            <w:shd w:fill="auto" w:val="clear"/>
            <w:vAlign w:val="center"/>
          </w:tcPr>
          <w:p>
            <w:pPr>
              <w:pStyle w:val="TableContents"/>
              <w:spacing w:lineRule="auto" w:line="285" w:before="0" w:after="0"/>
              <w:ind w:left="0" w:right="0" w:hanging="0"/>
              <w:jc w:val="center"/>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458" w:type="dxa"/>
            <w:tcBorders/>
            <w:shd w:fill="auto" w:val="clear"/>
            <w:vAlign w:val="center"/>
          </w:tcPr>
          <w:p>
            <w:pPr>
              <w:pStyle w:val="TableContents"/>
              <w:spacing w:lineRule="auto" w:line="285" w:before="0" w:after="0"/>
              <w:ind w:left="0" w:right="0" w:hanging="0"/>
              <w:jc w:val="center"/>
              <w:rPr/>
            </w:pPr>
            <w:r>
              <w:rPr/>
              <w:t>​</w:t>
            </w:r>
          </w:p>
        </w:tc>
        <w:tc>
          <w:tcPr>
            <w:tcW w:w="458" w:type="dxa"/>
            <w:tcBorders/>
            <w:shd w:fill="auto" w:val="clear"/>
            <w:vAlign w:val="center"/>
          </w:tcPr>
          <w:p>
            <w:pPr>
              <w:pStyle w:val="TableContents"/>
              <w:spacing w:lineRule="auto" w:line="285" w:before="0" w:after="0"/>
              <w:ind w:left="0" w:right="0" w:hanging="0"/>
              <w:jc w:val="center"/>
              <w:rPr/>
            </w:pPr>
            <w:r>
              <w:rPr/>
              <w:t> </w:t>
            </w:r>
          </w:p>
        </w:tc>
      </w:tr>
      <w:tr>
        <w:trPr/>
        <w:tc>
          <w:tcPr>
            <w:tcW w:w="124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3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shd w:fill="auto" w:val="clear"/>
            <w:vAlign w:val="center"/>
          </w:tcPr>
          <w:p>
            <w:pPr>
              <w:pStyle w:val="TableContents"/>
              <w:spacing w:lineRule="auto" w:line="285" w:before="0" w:after="0"/>
              <w:ind w:left="0" w:right="0" w:hanging="0"/>
              <w:rPr/>
            </w:pPr>
            <w:r>
              <w:rPr/>
              <w:t>    </w:t>
            </w:r>
          </w:p>
        </w:tc>
        <w:tc>
          <w:tcPr>
            <w:tcW w:w="103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lineRule="auto" w:line="285" w:before="0" w:after="0"/>
              <w:ind w:left="0" w:right="0" w:hanging="0"/>
              <w:jc w:val="center"/>
              <w:rPr/>
            </w:pPr>
            <w:r>
              <w:rPr/>
              <w:t>​</w:t>
            </w:r>
          </w:p>
        </w:tc>
        <w:tc>
          <w:tcPr>
            <w:tcW w:w="24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34,927</w:t>
            </w:r>
          </w:p>
        </w:tc>
        <w:tc>
          <w:tcPr>
            <w:tcW w:w="379" w:type="dxa"/>
            <w:tcBorders/>
            <w:shd w:fill="CCEEFF" w:val="clear"/>
            <w:vAlign w:val="center"/>
          </w:tcPr>
          <w:p>
            <w:pPr>
              <w:pStyle w:val="TableContents"/>
              <w:spacing w:lineRule="auto" w:line="285" w:before="0" w:after="0"/>
              <w:ind w:left="0" w:right="0" w:hanging="0"/>
              <w:jc w:val="center"/>
              <w:rPr/>
            </w:pPr>
            <w:r>
              <w:rPr/>
              <w:t>​</w:t>
            </w:r>
          </w:p>
        </w:tc>
        <w:tc>
          <w:tcPr>
            <w:tcW w:w="24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21,328</w:t>
            </w:r>
          </w:p>
        </w:tc>
        <w:tc>
          <w:tcPr>
            <w:tcW w:w="326" w:type="dxa"/>
            <w:tcBorders/>
            <w:shd w:fill="CCEEFF" w:val="clear"/>
            <w:vAlign w:val="center"/>
          </w:tcPr>
          <w:p>
            <w:pPr>
              <w:pStyle w:val="TableContents"/>
              <w:spacing w:lineRule="auto" w:line="285" w:before="0" w:after="0"/>
              <w:ind w:left="0" w:right="0" w:hanging="0"/>
              <w:jc w:val="center"/>
              <w:rPr/>
            </w:pPr>
            <w:r>
              <w:rPr/>
              <w:t>​</w:t>
            </w:r>
          </w:p>
        </w:tc>
        <w:tc>
          <w:tcPr>
            <w:tcW w:w="278"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13,599</w:t>
            </w:r>
          </w:p>
        </w:tc>
        <w:tc>
          <w:tcPr>
            <w:tcW w:w="326" w:type="dxa"/>
            <w:tcBorders/>
            <w:shd w:fill="CCEEFF" w:val="clear"/>
            <w:vAlign w:val="center"/>
          </w:tcPr>
          <w:p>
            <w:pPr>
              <w:pStyle w:val="TableContents"/>
              <w:spacing w:lineRule="auto" w:line="285" w:before="0" w:after="0"/>
              <w:ind w:left="0" w:right="0" w:hanging="0"/>
              <w:rPr/>
            </w:pPr>
            <w:r>
              <w:rPr/>
              <w:t>​</w:t>
            </w:r>
          </w:p>
        </w:tc>
        <w:tc>
          <w:tcPr>
            <w:tcW w:w="4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58"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Rest of World</w:t>
            </w:r>
          </w:p>
        </w:tc>
        <w:tc>
          <w:tcPr>
            <w:tcW w:w="326" w:type="dxa"/>
            <w:tcBorders/>
            <w:shd w:fill="auto" w:val="clear"/>
            <w:vAlign w:val="center"/>
          </w:tcPr>
          <w:p>
            <w:pPr>
              <w:pStyle w:val="TableContents"/>
              <w:spacing w:lineRule="auto" w:line="285"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79" w:type="dxa"/>
            <w:tcBorders/>
            <w:shd w:fill="auto" w:val="clear"/>
            <w:vAlign w:val="center"/>
          </w:tcPr>
          <w:p>
            <w:pPr>
              <w:pStyle w:val="TableContents"/>
              <w:spacing w:lineRule="auto" w:line="285" w:before="0" w:after="0"/>
              <w:ind w:left="0" w:right="0" w:hanging="0"/>
              <w:rPr/>
            </w:pPr>
            <w:r>
              <w:rPr/>
              <w:t>​</w:t>
            </w:r>
          </w:p>
        </w:tc>
        <w:tc>
          <w:tcPr>
            <w:tcW w:w="245"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2,513</w:t>
            </w:r>
          </w:p>
        </w:tc>
        <w:tc>
          <w:tcPr>
            <w:tcW w:w="326" w:type="dxa"/>
            <w:tcBorders/>
            <w:shd w:fill="auto" w:val="clear"/>
            <w:vAlign w:val="center"/>
          </w:tcPr>
          <w:p>
            <w:pPr>
              <w:pStyle w:val="TableContents"/>
              <w:spacing w:lineRule="auto" w:line="285" w:before="0" w:after="0"/>
              <w:ind w:left="0" w:right="0" w:hanging="0"/>
              <w:rPr/>
            </w:pPr>
            <w:r>
              <w:rPr/>
              <w:t>​</w:t>
            </w:r>
          </w:p>
        </w:tc>
        <w:tc>
          <w:tcPr>
            <w:tcW w:w="278"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shd w:fill="auto" w:val="clear"/>
            <w:vAlign w:val="center"/>
          </w:tcPr>
          <w:p>
            <w:pPr>
              <w:pStyle w:val="TableContents"/>
              <w:spacing w:lineRule="auto" w:line="285" w:before="0" w:after="0"/>
              <w:ind w:left="0" w:right="0" w:hanging="0"/>
              <w:rPr/>
            </w:pPr>
            <w:r>
              <w:rPr/>
              <w:t>​</w:t>
            </w:r>
          </w:p>
        </w:tc>
        <w:tc>
          <w:tcPr>
            <w:tcW w:w="4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124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lineRule="auto" w:line="285" w:before="0" w:after="0"/>
              <w:ind w:left="0" w:right="0" w:hanging="0"/>
              <w:rPr/>
            </w:pPr>
            <w:r>
              <w:rPr/>
              <w:t>​</w:t>
            </w:r>
          </w:p>
        </w:tc>
        <w:tc>
          <w:tcPr>
            <w:tcW w:w="24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379" w:type="dxa"/>
            <w:tcBorders/>
            <w:shd w:fill="CCEEFF" w:val="clear"/>
            <w:vAlign w:val="center"/>
          </w:tcPr>
          <w:p>
            <w:pPr>
              <w:pStyle w:val="TableContents"/>
              <w:spacing w:lineRule="auto" w:line="285" w:before="0" w:after="0"/>
              <w:ind w:left="0" w:right="0" w:hanging="0"/>
              <w:rPr/>
            </w:pPr>
            <w:r>
              <w:rPr/>
              <w:t>​</w:t>
            </w:r>
          </w:p>
        </w:tc>
        <w:tc>
          <w:tcPr>
            <w:tcW w:w="24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78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23,841</w:t>
            </w:r>
          </w:p>
        </w:tc>
        <w:tc>
          <w:tcPr>
            <w:tcW w:w="326" w:type="dxa"/>
            <w:tcBorders/>
            <w:shd w:fill="CCEEFF" w:val="clear"/>
            <w:vAlign w:val="center"/>
          </w:tcPr>
          <w:p>
            <w:pPr>
              <w:pStyle w:val="TableContents"/>
              <w:spacing w:lineRule="auto" w:line="285" w:before="0" w:after="0"/>
              <w:ind w:left="0" w:right="0" w:hanging="0"/>
              <w:rPr/>
            </w:pPr>
            <w:r>
              <w:rPr/>
              <w:t>​</w:t>
            </w:r>
          </w:p>
        </w:tc>
        <w:tc>
          <w:tcPr>
            <w:tcW w:w="27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9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15,228</w:t>
            </w:r>
          </w:p>
        </w:tc>
        <w:tc>
          <w:tcPr>
            <w:tcW w:w="326" w:type="dxa"/>
            <w:tcBorders/>
            <w:shd w:fill="CCEEFF" w:val="clear"/>
            <w:vAlign w:val="center"/>
          </w:tcPr>
          <w:p>
            <w:pPr>
              <w:pStyle w:val="TableContents"/>
              <w:spacing w:lineRule="auto" w:line="285" w:before="0" w:after="0"/>
              <w:ind w:left="0" w:right="0" w:hanging="0"/>
              <w:rPr/>
            </w:pPr>
            <w:r>
              <w:rPr/>
              <w:t>​</w:t>
            </w:r>
          </w:p>
        </w:tc>
        <w:tc>
          <w:tcPr>
            <w:tcW w:w="4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Product revenue, net increased during the three months ended March 31, 2023 as compared to the three months ended March 31, 2022 primarily driven by increases in unit sales volumes.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Collaboration and License Revenue</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three months ended March 31, 2023 and 2022 (in thousands):</w:t>
      </w:r>
    </w:p>
    <w:tbl>
      <w:tblPr>
        <w:tblW w:w="8810" w:type="dxa"/>
        <w:jc w:val="left"/>
        <w:tblInd w:w="0" w:type="dxa"/>
        <w:tblCellMar>
          <w:top w:w="0" w:type="dxa"/>
          <w:left w:w="0" w:type="dxa"/>
          <w:bottom w:w="0" w:type="dxa"/>
          <w:right w:w="0" w:type="dxa"/>
        </w:tblCellMar>
      </w:tblPr>
      <w:tblGrid>
        <w:gridCol w:w="3346"/>
        <w:gridCol w:w="326"/>
        <w:gridCol w:w="244"/>
        <w:gridCol w:w="781"/>
        <w:gridCol w:w="377"/>
        <w:gridCol w:w="244"/>
        <w:gridCol w:w="799"/>
        <w:gridCol w:w="326"/>
        <w:gridCol w:w="235"/>
        <w:gridCol w:w="890"/>
        <w:gridCol w:w="326"/>
        <w:gridCol w:w="552"/>
        <w:gridCol w:w="364"/>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24710" cy="175260"/>
                      <wp:effectExtent l="0" t="0" r="0" b="0"/>
                      <wp:wrapNone/>
                      <wp:docPr id="356" name="Frame356"/>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54940" cy="175260"/>
                      <wp:effectExtent l="0" t="0" r="0" b="0"/>
                      <wp:wrapNone/>
                      <wp:docPr id="358" name="Frame358"/>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95935" cy="175260"/>
                      <wp:effectExtent l="0" t="0" r="0" b="0"/>
                      <wp:wrapNone/>
                      <wp:docPr id="359" name="Frame35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39395" cy="175260"/>
                      <wp:effectExtent l="0" t="0" r="0" b="0"/>
                      <wp:wrapNone/>
                      <wp:docPr id="360" name="Frame360"/>
                      <a:graphic xmlns:a="http://schemas.openxmlformats.org/drawingml/2006/main">
                        <a:graphicData uri="http://schemas.microsoft.com/office/word/2010/wordprocessingShape">
                          <wps:wsp>
                            <wps:cNvSpPr txBox="1"/>
                            <wps:spPr>
                              <a:xfrm>
                                <a:off x="0" y="0"/>
                                <a:ext cx="2393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54940" cy="175260"/>
                      <wp:effectExtent l="0" t="0" r="0" b="0"/>
                      <wp:wrapNone/>
                      <wp:docPr id="361" name="Frame361"/>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7365" cy="175260"/>
                      <wp:effectExtent l="0" t="0" r="0" b="0"/>
                      <wp:wrapNone/>
                      <wp:docPr id="362" name="Frame362"/>
                      <a:graphic xmlns:a="http://schemas.openxmlformats.org/drawingml/2006/main">
                        <a:graphicData uri="http://schemas.microsoft.com/office/word/2010/wordprocessingShape">
                          <wps:wsp>
                            <wps:cNvSpPr txBox="1"/>
                            <wps:spPr>
                              <a:xfrm>
                                <a:off x="0" y="0"/>
                                <a:ext cx="5073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9225" cy="175260"/>
                      <wp:effectExtent l="0" t="0" r="0" b="0"/>
                      <wp:wrapNone/>
                      <wp:docPr id="364" name="Frame364"/>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65150" cy="175260"/>
                      <wp:effectExtent l="0" t="0" r="0" b="0"/>
                      <wp:wrapNone/>
                      <wp:docPr id="365" name="Frame365"/>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50520" cy="175260"/>
                      <wp:effectExtent l="0" t="0" r="0" b="0"/>
                      <wp:wrapNone/>
                      <wp:docPr id="367" name="Frame367"/>
                      <a:graphic xmlns:a="http://schemas.openxmlformats.org/drawingml/2006/main">
                        <a:graphicData uri="http://schemas.microsoft.com/office/word/2010/wordprocessingShape">
                          <wps:wsp>
                            <wps:cNvSpPr txBox="1"/>
                            <wps:spPr>
                              <a:xfrm>
                                <a:off x="0" y="0"/>
                                <a:ext cx="3505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1140" cy="175260"/>
                      <wp:effectExtent l="0" t="0" r="0" b="0"/>
                      <wp:wrapNone/>
                      <wp:docPr id="368" name="Frame368"/>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34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244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35" w:type="dxa"/>
            <w:tcBorders/>
            <w:shd w:fill="auto" w:val="clear"/>
            <w:vAlign w:val="center"/>
          </w:tcPr>
          <w:p>
            <w:pPr>
              <w:pStyle w:val="TableContents"/>
              <w:spacing w:lineRule="auto" w:line="285" w:before="0" w:after="0"/>
              <w:ind w:left="0" w:right="0" w:hanging="0"/>
              <w:rPr/>
            </w:pPr>
            <w:r>
              <w:rPr/>
              <w:t>​</w:t>
            </w:r>
          </w:p>
        </w:tc>
        <w:tc>
          <w:tcPr>
            <w:tcW w:w="890"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552" w:type="dxa"/>
            <w:tcBorders/>
            <w:shd w:fill="auto" w:val="clear"/>
            <w:vAlign w:val="center"/>
          </w:tcPr>
          <w:p>
            <w:pPr>
              <w:pStyle w:val="TableContents"/>
              <w:spacing w:lineRule="auto" w:line="285" w:before="0" w:after="0"/>
              <w:ind w:left="0" w:right="0" w:hanging="0"/>
              <w:rPr/>
            </w:pPr>
            <w:r>
              <w:rPr/>
              <w:t>​</w:t>
            </w:r>
          </w:p>
        </w:tc>
        <w:tc>
          <w:tcPr>
            <w:tcW w:w="364" w:type="dxa"/>
            <w:tcBorders/>
            <w:shd w:fill="auto" w:val="clear"/>
            <w:vAlign w:val="center"/>
          </w:tcPr>
          <w:p>
            <w:pPr>
              <w:pStyle w:val="TableContents"/>
              <w:spacing w:lineRule="auto" w:line="285" w:before="0" w:after="0"/>
              <w:ind w:left="0" w:right="0" w:hanging="0"/>
              <w:rPr/>
            </w:pPr>
            <w:r>
              <w:rPr/>
              <w:t>​</w:t>
            </w:r>
          </w:p>
        </w:tc>
      </w:tr>
      <w:tr>
        <w:trPr/>
        <w:tc>
          <w:tcPr>
            <w:tcW w:w="334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7" w:type="dxa"/>
            <w:tcBorders/>
            <w:shd w:fill="auto" w:val="clear"/>
            <w:vAlign w:val="center"/>
          </w:tcPr>
          <w:p>
            <w:pPr>
              <w:pStyle w:val="TableContents"/>
              <w:spacing w:lineRule="auto" w:line="285" w:before="0" w:after="0"/>
              <w:ind w:left="0" w:right="0" w:hanging="0"/>
              <w:rPr/>
            </w:pPr>
            <w:r>
              <w:rPr/>
              <w:t>    </w:t>
            </w:r>
          </w:p>
        </w:tc>
        <w:tc>
          <w:tcPr>
            <w:tcW w:w="1043"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34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Cancer immunotherapy with Roche</w:t>
            </w:r>
          </w:p>
        </w:tc>
        <w:tc>
          <w:tcPr>
            <w:tcW w:w="326" w:type="dxa"/>
            <w:tcBorders/>
            <w:shd w:fill="CCEEFF" w:val="clear"/>
            <w:vAlign w:val="center"/>
          </w:tcPr>
          <w:p>
            <w:pPr>
              <w:pStyle w:val="TableContents"/>
              <w:spacing w:lineRule="auto" w:line="285" w:before="0" w:after="0"/>
              <w:ind w:left="0" w:right="0" w:hanging="0"/>
              <w:rPr/>
            </w:pPr>
            <w:r>
              <w:rPr/>
              <w:t>​</w:t>
            </w:r>
          </w:p>
        </w:tc>
        <w:tc>
          <w:tcPr>
            <w:tcW w:w="24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21,996</w:t>
            </w:r>
          </w:p>
        </w:tc>
        <w:tc>
          <w:tcPr>
            <w:tcW w:w="377" w:type="dxa"/>
            <w:tcBorders/>
            <w:shd w:fill="CCEEFF" w:val="clear"/>
            <w:vAlign w:val="center"/>
          </w:tcPr>
          <w:p>
            <w:pPr>
              <w:pStyle w:val="TableContents"/>
              <w:spacing w:lineRule="auto" w:line="285" w:before="0" w:after="0"/>
              <w:ind w:left="0" w:right="0" w:hanging="0"/>
              <w:jc w:val="center"/>
              <w:rPr/>
            </w:pPr>
            <w:r>
              <w:rPr/>
              <w:t>​</w:t>
            </w:r>
          </w:p>
        </w:tc>
        <w:tc>
          <w:tcPr>
            <w:tcW w:w="24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326" w:type="dxa"/>
            <w:tcBorders/>
            <w:shd w:fill="CCEEFF" w:val="clear"/>
            <w:vAlign w:val="center"/>
          </w:tcPr>
          <w:p>
            <w:pPr>
              <w:pStyle w:val="TableContents"/>
              <w:spacing w:lineRule="auto" w:line="285" w:before="0" w:after="0"/>
              <w:ind w:left="0" w:right="0" w:hanging="0"/>
              <w:rPr/>
            </w:pPr>
            <w:r>
              <w:rPr/>
              <w:t>    </w:t>
            </w:r>
          </w:p>
        </w:tc>
        <w:tc>
          <w:tcPr>
            <w:tcW w:w="23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23,943</w:t>
            </w:r>
          </w:p>
        </w:tc>
        <w:tc>
          <w:tcPr>
            <w:tcW w:w="326" w:type="dxa"/>
            <w:tcBorders/>
            <w:shd w:fill="CCEEFF" w:val="clear"/>
            <w:vAlign w:val="center"/>
          </w:tcPr>
          <w:p>
            <w:pPr>
              <w:pStyle w:val="TableContents"/>
              <w:spacing w:lineRule="auto" w:line="285" w:before="0" w:after="0"/>
              <w:ind w:left="0" w:right="0" w:hanging="0"/>
              <w:rPr/>
            </w:pPr>
            <w:r>
              <w:rPr/>
              <w:t>    </w:t>
            </w:r>
          </w:p>
        </w:tc>
        <w:tc>
          <w:tcPr>
            <w:tcW w:w="55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64"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34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CStone collaboration</w:t>
            </w:r>
          </w:p>
        </w:tc>
        <w:tc>
          <w:tcPr>
            <w:tcW w:w="326" w:type="dxa"/>
            <w:tcBorders/>
            <w:shd w:fill="auto" w:val="clear"/>
            <w:vAlign w:val="center"/>
          </w:tcPr>
          <w:p>
            <w:pPr>
              <w:pStyle w:val="TableContents"/>
              <w:spacing w:lineRule="auto" w:line="285" w:before="0" w:after="0"/>
              <w:ind w:left="0" w:right="0" w:hanging="0"/>
              <w:rPr/>
            </w:pPr>
            <w:r>
              <w:rPr/>
              <w:t> </w:t>
            </w:r>
          </w:p>
        </w:tc>
        <w:tc>
          <w:tcPr>
            <w:tcW w:w="244" w:type="dxa"/>
            <w:tcBorders/>
            <w:shd w:fill="auto" w:val="clear"/>
            <w:vAlign w:val="center"/>
          </w:tcPr>
          <w:p>
            <w:pPr>
              <w:pStyle w:val="TableContents"/>
              <w:spacing w:lineRule="auto" w:line="285" w:before="0" w:after="0"/>
              <w:ind w:left="0" w:right="0" w:hanging="0"/>
              <w:rPr/>
            </w:pPr>
            <w:r>
              <w:rPr/>
              <w:t> </w:t>
            </w:r>
          </w:p>
        </w:tc>
        <w:tc>
          <w:tcPr>
            <w:tcW w:w="78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77" w:type="dxa"/>
            <w:tcBorders/>
            <w:shd w:fill="auto" w:val="clear"/>
            <w:vAlign w:val="center"/>
          </w:tcPr>
          <w:p>
            <w:pPr>
              <w:pStyle w:val="TableContents"/>
              <w:spacing w:lineRule="auto" w:line="285" w:before="0" w:after="0"/>
              <w:ind w:left="0" w:right="0" w:hanging="0"/>
              <w:rPr/>
            </w:pPr>
            <w:r>
              <w:rPr/>
              <w:t> </w:t>
            </w:r>
          </w:p>
        </w:tc>
        <w:tc>
          <w:tcPr>
            <w:tcW w:w="244" w:type="dxa"/>
            <w:tcBorders/>
            <w:shd w:fill="auto" w:val="clear"/>
            <w:vAlign w:val="center"/>
          </w:tcPr>
          <w:p>
            <w:pPr>
              <w:pStyle w:val="TableContents"/>
              <w:spacing w:lineRule="auto" w:line="285" w:before="0" w:after="0"/>
              <w:ind w:left="0" w:right="0" w:hanging="0"/>
              <w:jc w:val="right"/>
              <w:rPr/>
            </w:pPr>
            <w:r>
              <w:rPr/>
              <w:t>​</w:t>
            </w:r>
          </w:p>
        </w:tc>
        <w:tc>
          <w:tcPr>
            <w:tcW w:w="799"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9,212</w:t>
            </w:r>
          </w:p>
        </w:tc>
        <w:tc>
          <w:tcPr>
            <w:tcW w:w="326" w:type="dxa"/>
            <w:tcBorders/>
            <w:shd w:fill="auto" w:val="clear"/>
            <w:vAlign w:val="center"/>
          </w:tcPr>
          <w:p>
            <w:pPr>
              <w:pStyle w:val="TableContents"/>
              <w:spacing w:lineRule="auto" w:line="285" w:before="0" w:after="0"/>
              <w:ind w:left="0" w:right="0" w:hanging="0"/>
              <w:rPr/>
            </w:pPr>
            <w:r>
              <w:rPr/>
              <w:t>    </w:t>
            </w:r>
          </w:p>
        </w:tc>
        <w:tc>
          <w:tcPr>
            <w:tcW w:w="235" w:type="dxa"/>
            <w:tcBorders/>
            <w:shd w:fill="auto" w:val="clear"/>
            <w:vAlign w:val="center"/>
          </w:tcPr>
          <w:p>
            <w:pPr>
              <w:pStyle w:val="TableContents"/>
              <w:spacing w:lineRule="auto" w:line="285" w:before="0" w:after="0"/>
              <w:ind w:left="0" w:right="0" w:hanging="0"/>
              <w:rPr/>
            </w:pPr>
            <w:r>
              <w:rPr/>
              <w:t>​</w:t>
            </w:r>
          </w:p>
        </w:tc>
        <w:tc>
          <w:tcPr>
            <w:tcW w:w="890"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(7,560)</w:t>
            </w:r>
          </w:p>
        </w:tc>
        <w:tc>
          <w:tcPr>
            <w:tcW w:w="326" w:type="dxa"/>
            <w:tcBorders/>
            <w:shd w:fill="auto" w:val="clear"/>
            <w:vAlign w:val="center"/>
          </w:tcPr>
          <w:p>
            <w:pPr>
              <w:pStyle w:val="TableContents"/>
              <w:spacing w:lineRule="auto" w:line="285" w:before="0" w:after="0"/>
              <w:ind w:left="0" w:right="0" w:hanging="0"/>
              <w:rPr/>
            </w:pPr>
            <w:r>
              <w:rPr/>
              <w:t>    </w:t>
            </w:r>
          </w:p>
        </w:tc>
        <w:tc>
          <w:tcPr>
            <w:tcW w:w="552"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64" w:type="dxa"/>
            <w:tcBorders/>
            <w:shd w:fill="auto" w:val="clear"/>
            <w:vAlign w:val="center"/>
          </w:tcPr>
          <w:p>
            <w:pPr>
              <w:pStyle w:val="TableContents"/>
              <w:spacing w:lineRule="auto" w:line="285" w:before="0" w:after="0"/>
              <w:ind w:left="0" w:right="0" w:hanging="0"/>
              <w:jc w:val="center"/>
              <w:rPr/>
            </w:pPr>
            <w:r>
              <w:rPr/>
              <w:t>​</w:t>
            </w:r>
          </w:p>
        </w:tc>
      </w:tr>
      <w:tr>
        <w:trPr/>
        <w:tc>
          <w:tcPr>
            <w:tcW w:w="334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Clementia license agreement</w:t>
            </w:r>
          </w:p>
        </w:tc>
        <w:tc>
          <w:tcPr>
            <w:tcW w:w="326" w:type="dxa"/>
            <w:tcBorders/>
            <w:shd w:fill="CCEEFF" w:val="clear"/>
            <w:vAlign w:val="center"/>
          </w:tcPr>
          <w:p>
            <w:pPr>
              <w:pStyle w:val="TableContents"/>
              <w:spacing w:lineRule="auto" w:line="285" w:before="0" w:after="0"/>
              <w:ind w:left="0" w:right="0" w:hanging="0"/>
              <w:rPr/>
            </w:pPr>
            <w:r>
              <w:rPr/>
              <w:t>​</w:t>
            </w:r>
          </w:p>
        </w:tc>
        <w:tc>
          <w:tcPr>
            <w:tcW w:w="244" w:type="dxa"/>
            <w:tcBorders/>
            <w:shd w:fill="CCEEFF" w:val="clear"/>
            <w:vAlign w:val="center"/>
          </w:tcPr>
          <w:p>
            <w:pPr>
              <w:pStyle w:val="TableContents"/>
              <w:spacing w:lineRule="auto" w:line="285" w:before="0" w:after="0"/>
              <w:ind w:left="0" w:right="0" w:hanging="0"/>
              <w:rPr/>
            </w:pPr>
            <w:r>
              <w:rPr/>
              <w:t>​</w:t>
            </w:r>
          </w:p>
        </w:tc>
        <w:tc>
          <w:tcPr>
            <w:tcW w:w="781" w:type="dxa"/>
            <w:tcBorders/>
            <w:shd w:fill="CCEEFF" w:val="clear"/>
            <w:vAlign w:val="center"/>
          </w:tcPr>
          <w:p>
            <w:pPr>
              <w:pStyle w:val="TableContents"/>
              <w:spacing w:lineRule="auto" w:line="285" w:before="0" w:after="0"/>
              <w:ind w:left="0" w:right="0" w:hanging="0"/>
              <w:jc w:val="right"/>
              <w:rPr/>
            </w:pPr>
            <w:r>
              <w:rPr/>
              <w:t>—</w:t>
            </w:r>
          </w:p>
        </w:tc>
        <w:tc>
          <w:tcPr>
            <w:tcW w:w="377" w:type="dxa"/>
            <w:tcBorders/>
            <w:shd w:fill="CCEEFF" w:val="clear"/>
            <w:vAlign w:val="center"/>
          </w:tcPr>
          <w:p>
            <w:pPr>
              <w:pStyle w:val="TableContents"/>
              <w:spacing w:lineRule="auto" w:line="285" w:before="0" w:after="0"/>
              <w:ind w:left="0" w:right="0" w:hanging="0"/>
              <w:rPr/>
            </w:pPr>
            <w:r>
              <w:rPr/>
              <w:t>​</w:t>
            </w:r>
          </w:p>
        </w:tc>
        <w:tc>
          <w:tcPr>
            <w:tcW w:w="244" w:type="dxa"/>
            <w:tcBorders/>
            <w:shd w:fill="CCEEFF" w:val="clear"/>
            <w:vAlign w:val="center"/>
          </w:tcPr>
          <w:p>
            <w:pPr>
              <w:pStyle w:val="TableContents"/>
              <w:spacing w:lineRule="auto" w:line="285" w:before="0" w:after="0"/>
              <w:ind w:left="0" w:right="0" w:hanging="0"/>
              <w:jc w:val="right"/>
              <w:rPr/>
            </w:pPr>
            <w:r>
              <w:rPr/>
              <w:t>​</w:t>
            </w:r>
          </w:p>
        </w:tc>
        <w:tc>
          <w:tcPr>
            <w:tcW w:w="799"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spacing w:lineRule="auto" w:line="285" w:before="0" w:after="0"/>
              <w:ind w:left="0" w:right="0" w:hanging="0"/>
              <w:rPr/>
            </w:pPr>
            <w:r>
              <w:rPr/>
              <w:t>    </w:t>
            </w:r>
          </w:p>
        </w:tc>
        <w:tc>
          <w:tcPr>
            <w:tcW w:w="235" w:type="dxa"/>
            <w:tcBorders/>
            <w:shd w:fill="CCEEFF" w:val="clear"/>
            <w:vAlign w:val="center"/>
          </w:tcPr>
          <w:p>
            <w:pPr>
              <w:pStyle w:val="TableContents"/>
              <w:spacing w:lineRule="auto" w:line="285" w:before="0" w:after="0"/>
              <w:ind w:left="0" w:right="0" w:hanging="0"/>
              <w:rPr/>
            </w:pPr>
            <w:r>
              <w:rPr/>
              <w:t>​</w:t>
            </w:r>
          </w:p>
        </w:tc>
        <w:tc>
          <w:tcPr>
            <w:tcW w:w="890"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spacing w:lineRule="auto" w:line="285" w:before="0" w:after="0"/>
              <w:ind w:left="0" w:right="0" w:hanging="0"/>
              <w:rPr/>
            </w:pPr>
            <w:r>
              <w:rPr/>
              <w:t>    </w:t>
            </w:r>
          </w:p>
        </w:tc>
        <w:tc>
          <w:tcPr>
            <w:tcW w:w="55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spacing w:lineRule="auto" w:line="285" w:before="0" w:after="0"/>
              <w:ind w:left="0" w:right="0" w:hanging="0"/>
              <w:jc w:val="center"/>
              <w:rPr/>
            </w:pPr>
            <w:r>
              <w:rPr/>
              <w:t>​</w:t>
            </w:r>
          </w:p>
        </w:tc>
      </w:tr>
      <w:tr>
        <w:trPr/>
        <w:tc>
          <w:tcPr>
            <w:tcW w:w="334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lineRule="auto" w:line="285"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77" w:type="dxa"/>
            <w:tcBorders/>
            <w:shd w:fill="auto" w:val="clear"/>
            <w:vAlign w:val="center"/>
          </w:tcPr>
          <w:p>
            <w:pPr>
              <w:pStyle w:val="TableContents"/>
              <w:spacing w:lineRule="auto" w:line="285"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799"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326" w:type="dxa"/>
            <w:tcBorders/>
            <w:shd w:fill="auto" w:val="clear"/>
            <w:vAlign w:val="center"/>
          </w:tcPr>
          <w:p>
            <w:pPr>
              <w:pStyle w:val="TableContents"/>
              <w:spacing w:lineRule="auto" w:line="285" w:before="0" w:after="0"/>
              <w:ind w:left="0" w:right="0" w:hanging="0"/>
              <w:rPr/>
            </w:pPr>
            <w:r>
              <w:rPr/>
              <w:t>    </w:t>
            </w:r>
          </w:p>
        </w:tc>
        <w:tc>
          <w:tcPr>
            <w:tcW w:w="235"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890"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auto" w:val="clear"/>
            <w:vAlign w:val="center"/>
          </w:tcPr>
          <w:p>
            <w:pPr>
              <w:pStyle w:val="TableContents"/>
              <w:spacing w:lineRule="auto" w:line="285" w:before="0" w:after="0"/>
              <w:ind w:left="0" w:right="0" w:hanging="0"/>
              <w:rPr/>
            </w:pPr>
            <w:r>
              <w:rPr/>
              <w:t>    </w:t>
            </w:r>
          </w:p>
        </w:tc>
        <w:tc>
          <w:tcPr>
            <w:tcW w:w="552"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334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collaboration and license revenue</w:t>
            </w:r>
          </w:p>
        </w:tc>
        <w:tc>
          <w:tcPr>
            <w:tcW w:w="326" w:type="dxa"/>
            <w:tcBorders/>
            <w:shd w:fill="CCEEFF" w:val="clear"/>
            <w:vAlign w:val="center"/>
          </w:tcPr>
          <w:p>
            <w:pPr>
              <w:pStyle w:val="TableContents"/>
              <w:spacing w:lineRule="auto" w:line="285" w:before="0" w:after="0"/>
              <w:ind w:left="0" w:right="0" w:hanging="0"/>
              <w:rPr/>
            </w:pPr>
            <w:r>
              <w:rPr/>
              <w:t> </w:t>
            </w:r>
          </w:p>
        </w:tc>
        <w:tc>
          <w:tcPr>
            <w:tcW w:w="24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c>
          <w:tcPr>
            <w:tcW w:w="377" w:type="dxa"/>
            <w:tcBorders/>
            <w:shd w:fill="CCEEFF" w:val="clear"/>
            <w:vAlign w:val="center"/>
          </w:tcPr>
          <w:p>
            <w:pPr>
              <w:pStyle w:val="TableContents"/>
              <w:spacing w:lineRule="auto" w:line="285" w:before="0" w:after="0"/>
              <w:ind w:left="0" w:right="0" w:hanging="0"/>
              <w:rPr/>
            </w:pPr>
            <w:r>
              <w:rPr/>
              <w:t> </w:t>
            </w:r>
          </w:p>
        </w:tc>
        <w:tc>
          <w:tcPr>
            <w:tcW w:w="24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38,890</w:t>
            </w:r>
          </w:p>
        </w:tc>
        <w:tc>
          <w:tcPr>
            <w:tcW w:w="326" w:type="dxa"/>
            <w:tcBorders/>
            <w:shd w:fill="CCEEFF" w:val="clear"/>
            <w:vAlign w:val="center"/>
          </w:tcPr>
          <w:p>
            <w:pPr>
              <w:pStyle w:val="TableContents"/>
              <w:spacing w:lineRule="auto" w:line="285" w:before="0" w:after="0"/>
              <w:ind w:left="0" w:right="0" w:hanging="0"/>
              <w:rPr/>
            </w:pPr>
            <w:r>
              <w:rPr/>
              <w:t>    </w:t>
            </w:r>
          </w:p>
        </w:tc>
        <w:tc>
          <w:tcPr>
            <w:tcW w:w="23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(14,672)</w:t>
            </w:r>
          </w:p>
        </w:tc>
        <w:tc>
          <w:tcPr>
            <w:tcW w:w="326" w:type="dxa"/>
            <w:tcBorders/>
            <w:shd w:fill="CCEEFF" w:val="clear"/>
            <w:vAlign w:val="center"/>
          </w:tcPr>
          <w:p>
            <w:pPr>
              <w:pStyle w:val="TableContents"/>
              <w:spacing w:lineRule="auto" w:line="285" w:before="0" w:after="0"/>
              <w:ind w:left="0" w:right="0" w:hanging="0"/>
              <w:rPr/>
            </w:pPr>
            <w:r>
              <w:rPr/>
              <w:t>    </w:t>
            </w:r>
          </w:p>
        </w:tc>
        <w:tc>
          <w:tcPr>
            <w:tcW w:w="55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Revenue recognized from our collaboration and license agreements decreased during the three months ended March 31, 2023 as compared to the three months ended March 31, 2022 primarily due to:</w:t>
      </w:r>
    </w:p>
    <w:p>
      <w:pPr>
        <w:pStyle w:val="TextBody"/>
        <w:spacing w:lineRule="auto" w:line="285"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revenue from our license agreement with Clementia due to $30.0 million in development milestone achieved during the three months ended March 31, 2022; and</w:t>
            </w:r>
          </w:p>
        </w:tc>
      </w:tr>
    </w:tbl>
    <w:p>
      <w:pPr>
        <w:pStyle w:val="TextBody"/>
        <w:spacing w:lineRule="auto" w:line="285"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revenue under our CStone collaboration primarily due to $4.0 million in a specified regulatory milestone achieved during the three months ended March 31, 2022 and decreased manufacturing services related to CStone Territory-specific activities during the three months ended March 31, 2023.</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decrease was partially offset by an increase of $23.9 million in revenue recognized under our Roche immunotherapy collaboration during the three months ended March 31, 2023. The increase was primarily due to the end of one of the collaboration programs during the period which resulted in the reduction in the costs expected to be incurred in the future to satisfy our performance obligation under the Roche immunotherapy collaboration, and consequently, increased the percentage of completion of revenue to be recognized under the collaboration agreement. </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Cost of Product Sales</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The following table summarizes the cost of product sales during the three months ended March 31, 2023 and 2022 (in thousands): </w:t>
      </w:r>
    </w:p>
    <w:tbl>
      <w:tblPr>
        <w:tblW w:w="7743" w:type="dxa"/>
        <w:jc w:val="left"/>
        <w:tblInd w:w="0" w:type="dxa"/>
        <w:tblCellMar>
          <w:top w:w="0" w:type="dxa"/>
          <w:left w:w="0" w:type="dxa"/>
          <w:bottom w:w="0" w:type="dxa"/>
          <w:right w:w="0" w:type="dxa"/>
        </w:tblCellMar>
      </w:tblPr>
      <w:tblGrid>
        <w:gridCol w:w="2281"/>
        <w:gridCol w:w="326"/>
        <w:gridCol w:w="273"/>
        <w:gridCol w:w="738"/>
        <w:gridCol w:w="421"/>
        <w:gridCol w:w="273"/>
        <w:gridCol w:w="738"/>
        <w:gridCol w:w="326"/>
        <w:gridCol w:w="263"/>
        <w:gridCol w:w="862"/>
        <w:gridCol w:w="326"/>
        <w:gridCol w:w="497"/>
        <w:gridCol w:w="419"/>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48435" cy="175260"/>
                      <wp:effectExtent l="0" t="0" r="0" b="0"/>
                      <wp:wrapNone/>
                      <wp:docPr id="369" name="Frame369"/>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3355" cy="175260"/>
                      <wp:effectExtent l="0" t="0" r="0" b="0"/>
                      <wp:wrapNone/>
                      <wp:docPr id="371" name="Frame371"/>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68630" cy="175260"/>
                      <wp:effectExtent l="0" t="0" r="0" b="0"/>
                      <wp:wrapNone/>
                      <wp:docPr id="372" name="Frame372"/>
                      <a:graphic xmlns:a="http://schemas.openxmlformats.org/drawingml/2006/main">
                        <a:graphicData uri="http://schemas.microsoft.com/office/word/2010/wordprocessingShape">
                          <wps:wsp>
                            <wps:cNvSpPr txBox="1"/>
                            <wps:spPr>
                              <a:xfrm>
                                <a:off x="0" y="0"/>
                                <a:ext cx="4686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7335" cy="175260"/>
                      <wp:effectExtent l="0" t="0" r="0" b="0"/>
                      <wp:wrapNone/>
                      <wp:docPr id="373" name="Frame373"/>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73355" cy="175260"/>
                      <wp:effectExtent l="0" t="0" r="0" b="0"/>
                      <wp:wrapNone/>
                      <wp:docPr id="374" name="Frame37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68630" cy="175260"/>
                      <wp:effectExtent l="0" t="0" r="0" b="0"/>
                      <wp:wrapNone/>
                      <wp:docPr id="375" name="Frame375"/>
                      <a:graphic xmlns:a="http://schemas.openxmlformats.org/drawingml/2006/main">
                        <a:graphicData uri="http://schemas.microsoft.com/office/word/2010/wordprocessingShape">
                          <wps:wsp>
                            <wps:cNvSpPr txBox="1"/>
                            <wps:spPr>
                              <a:xfrm>
                                <a:off x="0" y="0"/>
                                <a:ext cx="4686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67005" cy="175260"/>
                      <wp:effectExtent l="0" t="0" r="0" b="0"/>
                      <wp:wrapNone/>
                      <wp:docPr id="377" name="Frame377"/>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47370" cy="175260"/>
                      <wp:effectExtent l="0" t="0" r="0" b="0"/>
                      <wp:wrapNone/>
                      <wp:docPr id="378" name="Frame378"/>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15595" cy="175260"/>
                      <wp:effectExtent l="0" t="0" r="0" b="0"/>
                      <wp:wrapNone/>
                      <wp:docPr id="380" name="Frame380"/>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66065" cy="175260"/>
                      <wp:effectExtent l="0" t="0" r="0" b="0"/>
                      <wp:wrapNone/>
                      <wp:docPr id="381" name="Frame381"/>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63" w:type="dxa"/>
            <w:tcBorders/>
            <w:shd w:fill="auto" w:val="clear"/>
            <w:vAlign w:val="center"/>
          </w:tcPr>
          <w:p>
            <w:pPr>
              <w:pStyle w:val="TableContents"/>
              <w:spacing w:lineRule="auto" w:line="285" w:before="0" w:after="0"/>
              <w:ind w:left="0" w:right="0" w:hanging="0"/>
              <w:rPr/>
            </w:pPr>
            <w:r>
              <w:rPr/>
              <w:t>​</w:t>
            </w:r>
          </w:p>
        </w:tc>
        <w:tc>
          <w:tcPr>
            <w:tcW w:w="862"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97" w:type="dxa"/>
            <w:tcBorders/>
            <w:shd w:fill="auto" w:val="clear"/>
            <w:vAlign w:val="center"/>
          </w:tcPr>
          <w:p>
            <w:pPr>
              <w:pStyle w:val="TableContents"/>
              <w:spacing w:lineRule="auto" w:line="285" w:before="0" w:after="0"/>
              <w:ind w:left="0" w:right="0" w:hanging="0"/>
              <w:rPr/>
            </w:pPr>
            <w:r>
              <w:rPr/>
              <w:t>​</w:t>
            </w:r>
          </w:p>
        </w:tc>
        <w:tc>
          <w:tcPr>
            <w:tcW w:w="419" w:type="dxa"/>
            <w:tcBorders/>
            <w:shd w:fill="auto" w:val="clear"/>
            <w:vAlign w:val="center"/>
          </w:tcPr>
          <w:p>
            <w:pPr>
              <w:pStyle w:val="TableContents"/>
              <w:spacing w:lineRule="auto" w:line="285" w:before="0" w:after="0"/>
              <w:ind w:left="0" w:right="0" w:hanging="0"/>
              <w:rPr/>
            </w:pPr>
            <w:r>
              <w:rPr/>
              <w:t>​</w:t>
            </w:r>
          </w:p>
        </w:tc>
      </w:tr>
      <w:tr>
        <w:trPr/>
        <w:tc>
          <w:tcPr>
            <w:tcW w:w="228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1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1" w:type="dxa"/>
            <w:tcBorders/>
            <w:shd w:fill="auto" w:val="clear"/>
            <w:vAlign w:val="center"/>
          </w:tcPr>
          <w:p>
            <w:pPr>
              <w:pStyle w:val="TableContents"/>
              <w:spacing w:lineRule="auto" w:line="285" w:before="0" w:after="0"/>
              <w:ind w:left="0" w:right="0" w:hanging="0"/>
              <w:jc w:val="center"/>
              <w:rPr/>
            </w:pPr>
            <w:r>
              <w:rPr/>
              <w:t>    </w:t>
            </w:r>
          </w:p>
        </w:tc>
        <w:tc>
          <w:tcPr>
            <w:tcW w:w="101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spacing w:lineRule="auto" w:line="285" w:before="0" w:after="0"/>
              <w:ind w:left="0" w:right="0" w:hanging="0"/>
              <w:rPr/>
            </w:pPr>
            <w:r>
              <w:rPr/>
              <w:t> </w:t>
            </w:r>
          </w:p>
        </w:tc>
        <w:tc>
          <w:tcPr>
            <w:tcW w:w="27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421" w:type="dxa"/>
            <w:tcBorders/>
            <w:shd w:fill="CCEEFF" w:val="clear"/>
            <w:vAlign w:val="center"/>
          </w:tcPr>
          <w:p>
            <w:pPr>
              <w:pStyle w:val="TableContents"/>
              <w:spacing w:lineRule="auto" w:line="285" w:before="0" w:after="0"/>
              <w:ind w:left="0" w:right="0" w:hanging="0"/>
              <w:rPr/>
            </w:pPr>
            <w:r>
              <w:rPr/>
              <w:t> </w:t>
            </w:r>
          </w:p>
        </w:tc>
        <w:tc>
          <w:tcPr>
            <w:tcW w:w="27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shd w:fill="CCEEFF" w:val="clear"/>
            <w:vAlign w:val="center"/>
          </w:tcPr>
          <w:p>
            <w:pPr>
              <w:pStyle w:val="TableContents"/>
              <w:spacing w:lineRule="auto" w:line="285" w:before="0" w:after="0"/>
              <w:ind w:left="0" w:right="0" w:hanging="0"/>
              <w:rPr/>
            </w:pPr>
            <w:r>
              <w:rPr/>
              <w:t>​</w:t>
            </w:r>
          </w:p>
        </w:tc>
        <w:tc>
          <w:tcPr>
            <w:tcW w:w="26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shd w:fill="CCEEFF" w:val="clear"/>
            <w:vAlign w:val="center"/>
          </w:tcPr>
          <w:p>
            <w:pPr>
              <w:pStyle w:val="TableContents"/>
              <w:spacing w:lineRule="auto" w:line="285" w:before="0" w:after="0"/>
              <w:ind w:left="0" w:right="0" w:hanging="0"/>
              <w:rPr/>
            </w:pPr>
            <w:r>
              <w:rPr/>
              <w:t>​</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419"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Cost of collaboration sales</w:t>
            </w:r>
          </w:p>
        </w:tc>
        <w:tc>
          <w:tcPr>
            <w:tcW w:w="326" w:type="dxa"/>
            <w:tcBorders/>
            <w:shd w:fill="auto" w:val="clear"/>
            <w:vAlign w:val="center"/>
          </w:tcPr>
          <w:p>
            <w:pPr>
              <w:pStyle w:val="TableContents"/>
              <w:spacing w:lineRule="auto" w:line="285"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3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421" w:type="dxa"/>
            <w:tcBorders/>
            <w:shd w:fill="auto" w:val="clear"/>
            <w:vAlign w:val="center"/>
          </w:tcPr>
          <w:p>
            <w:pPr>
              <w:pStyle w:val="TableContents"/>
              <w:spacing w:lineRule="auto" w:line="285"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73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4,446</w:t>
            </w:r>
          </w:p>
        </w:tc>
        <w:tc>
          <w:tcPr>
            <w:tcW w:w="326" w:type="dxa"/>
            <w:tcBorders/>
            <w:shd w:fill="auto" w:val="clear"/>
            <w:vAlign w:val="center"/>
          </w:tcPr>
          <w:p>
            <w:pPr>
              <w:pStyle w:val="TableContents"/>
              <w:spacing w:lineRule="auto" w:line="285"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(2,453)</w:t>
            </w:r>
          </w:p>
        </w:tc>
        <w:tc>
          <w:tcPr>
            <w:tcW w:w="326" w:type="dxa"/>
            <w:tcBorders/>
            <w:shd w:fill="auto" w:val="clear"/>
            <w:vAlign w:val="center"/>
          </w:tcPr>
          <w:p>
            <w:pPr>
              <w:pStyle w:val="TableContents"/>
              <w:spacing w:lineRule="auto" w:line="285" w:before="0" w:after="0"/>
              <w:ind w:left="0" w:right="0" w:hanging="0"/>
              <w:rPr/>
            </w:pPr>
            <w:r>
              <w:rPr/>
              <w:t>​</w:t>
            </w:r>
          </w:p>
        </w:tc>
        <w:tc>
          <w:tcPr>
            <w:tcW w:w="49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19"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228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spacing w:lineRule="auto" w:line="285" w:before="0" w:after="0"/>
              <w:ind w:left="0" w:right="0" w:hanging="0"/>
              <w:rPr/>
            </w:pPr>
            <w:r>
              <w:rPr/>
              <w:t> </w:t>
            </w:r>
          </w:p>
        </w:tc>
        <w:tc>
          <w:tcPr>
            <w:tcW w:w="27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421" w:type="dxa"/>
            <w:tcBorders/>
            <w:shd w:fill="CCEEFF" w:val="clear"/>
            <w:vAlign w:val="center"/>
          </w:tcPr>
          <w:p>
            <w:pPr>
              <w:pStyle w:val="TableContents"/>
              <w:spacing w:lineRule="auto" w:line="285" w:before="0" w:after="0"/>
              <w:ind w:left="0" w:right="0" w:hanging="0"/>
              <w:rPr/>
            </w:pPr>
            <w:r>
              <w:rPr/>
              <w:t> </w:t>
            </w:r>
          </w:p>
        </w:tc>
        <w:tc>
          <w:tcPr>
            <w:tcW w:w="27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5,079</w:t>
            </w:r>
          </w:p>
        </w:tc>
        <w:tc>
          <w:tcPr>
            <w:tcW w:w="326" w:type="dxa"/>
            <w:tcBorders/>
            <w:shd w:fill="CCEEFF" w:val="clear"/>
            <w:vAlign w:val="center"/>
          </w:tcPr>
          <w:p>
            <w:pPr>
              <w:pStyle w:val="TableContents"/>
              <w:spacing w:lineRule="auto" w:line="285"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326" w:type="dxa"/>
            <w:tcBorders/>
            <w:shd w:fill="CCEEFF" w:val="clear"/>
            <w:vAlign w:val="center"/>
          </w:tcPr>
          <w:p>
            <w:pPr>
              <w:pStyle w:val="TableContents"/>
              <w:spacing w:lineRule="auto" w:line="285" w:before="0" w:after="0"/>
              <w:ind w:left="0" w:right="0" w:hanging="0"/>
              <w:rPr/>
            </w:pPr>
            <w:r>
              <w:rPr/>
              <w:t>​</w:t>
            </w:r>
          </w:p>
        </w:tc>
        <w:tc>
          <w:tcPr>
            <w:tcW w:w="49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19"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firstLine="72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Cost of sales decreased during the three months ended March 31, 2023 as compared to the three months ended March 31, 2022 primarily due to the decrease in cost of collaborations sales driven by fewer shipments made to our collaboration partners. The decrease in cost of sales was partially offset by an increase in cost of product sales which was related to higher sales volumes and the reduction of inventory previously expensed prior to commercialization. </w:t>
      </w:r>
    </w:p>
    <w:p>
      <w:pPr>
        <w:pStyle w:val="TextBody"/>
        <w:spacing w:lineRule="auto" w:line="285" w:before="240" w:after="240"/>
        <w:ind w:left="0" w:right="0" w:hanging="0"/>
        <w:rPr>
          <w:rFonts w:ascii="Times New Roman;Times;serif" w:hAnsi="Times New Roman;Times;serif"/>
          <w:i/>
          <w:sz w:val="20"/>
        </w:rPr>
      </w:pPr>
      <w:r>
        <w:rPr>
          <w:rFonts w:ascii="Times New Roman;Times;serif" w:hAnsi="Times New Roman;Times;serif"/>
          <w:i/>
          <w:sz w:val="20"/>
        </w:rPr>
        <w:t>Collaboration Loss Sharing</w:t>
      </w:r>
    </w:p>
    <w:tbl>
      <w:tblPr>
        <w:tblW w:w="7774" w:type="dxa"/>
        <w:jc w:val="left"/>
        <w:tblInd w:w="0" w:type="dxa"/>
        <w:tblCellMar>
          <w:top w:w="0" w:type="dxa"/>
          <w:left w:w="0" w:type="dxa"/>
          <w:bottom w:w="0" w:type="dxa"/>
          <w:right w:w="0" w:type="dxa"/>
        </w:tblCellMar>
      </w:tblPr>
      <w:tblGrid>
        <w:gridCol w:w="2266"/>
        <w:gridCol w:w="326"/>
        <w:gridCol w:w="273"/>
        <w:gridCol w:w="738"/>
        <w:gridCol w:w="421"/>
        <w:gridCol w:w="273"/>
        <w:gridCol w:w="738"/>
        <w:gridCol w:w="326"/>
        <w:gridCol w:w="293"/>
        <w:gridCol w:w="878"/>
        <w:gridCol w:w="326"/>
        <w:gridCol w:w="497"/>
        <w:gridCol w:w="419"/>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438910" cy="175260"/>
                      <wp:effectExtent l="0" t="0" r="0" b="0"/>
                      <wp:wrapNone/>
                      <wp:docPr id="382" name="Frame382"/>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73355" cy="175260"/>
                      <wp:effectExtent l="0" t="0" r="0" b="0"/>
                      <wp:wrapNone/>
                      <wp:docPr id="384" name="Frame38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68630" cy="175260"/>
                      <wp:effectExtent l="0" t="0" r="0" b="0"/>
                      <wp:wrapNone/>
                      <wp:docPr id="385" name="Frame385"/>
                      <a:graphic xmlns:a="http://schemas.openxmlformats.org/drawingml/2006/main">
                        <a:graphicData uri="http://schemas.microsoft.com/office/word/2010/wordprocessingShape">
                          <wps:wsp>
                            <wps:cNvSpPr txBox="1"/>
                            <wps:spPr>
                              <a:xfrm>
                                <a:off x="0" y="0"/>
                                <a:ext cx="4686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67335" cy="175260"/>
                      <wp:effectExtent l="0" t="0" r="0" b="0"/>
                      <wp:wrapNone/>
                      <wp:docPr id="386" name="Frame386"/>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73355" cy="175260"/>
                      <wp:effectExtent l="0" t="0" r="0" b="0"/>
                      <wp:wrapNone/>
                      <wp:docPr id="387" name="Frame387"/>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68630" cy="175260"/>
                      <wp:effectExtent l="0" t="0" r="0" b="0"/>
                      <wp:wrapNone/>
                      <wp:docPr id="388" name="Frame388"/>
                      <a:graphic xmlns:a="http://schemas.openxmlformats.org/drawingml/2006/main">
                        <a:graphicData uri="http://schemas.microsoft.com/office/word/2010/wordprocessingShape">
                          <wps:wsp>
                            <wps:cNvSpPr txBox="1"/>
                            <wps:spPr>
                              <a:xfrm>
                                <a:off x="0" y="0"/>
                                <a:ext cx="4686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86055" cy="175260"/>
                      <wp:effectExtent l="0" t="0" r="0" b="0"/>
                      <wp:wrapNone/>
                      <wp:docPr id="390" name="Frame390"/>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57530" cy="175260"/>
                      <wp:effectExtent l="0" t="0" r="0" b="0"/>
                      <wp:wrapNone/>
                      <wp:docPr id="391" name="Frame391"/>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15595" cy="175260"/>
                      <wp:effectExtent l="0" t="0" r="0" b="0"/>
                      <wp:wrapNone/>
                      <wp:docPr id="393" name="Frame393"/>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66065" cy="175260"/>
                      <wp:effectExtent l="0" t="0" r="0" b="0"/>
                      <wp:wrapNone/>
                      <wp:docPr id="394" name="Frame394"/>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26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93" w:type="dxa"/>
            <w:tcBorders/>
            <w:shd w:fill="auto" w:val="clear"/>
            <w:vAlign w:val="center"/>
          </w:tcPr>
          <w:p>
            <w:pPr>
              <w:pStyle w:val="TableContents"/>
              <w:spacing w:lineRule="auto" w:line="285" w:before="0" w:after="0"/>
              <w:ind w:left="0" w:right="0" w:hanging="0"/>
              <w:rPr/>
            </w:pPr>
            <w:r>
              <w:rPr/>
              <w:t>​</w:t>
            </w:r>
          </w:p>
        </w:tc>
        <w:tc>
          <w:tcPr>
            <w:tcW w:w="878"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97" w:type="dxa"/>
            <w:tcBorders/>
            <w:shd w:fill="auto" w:val="clear"/>
            <w:vAlign w:val="center"/>
          </w:tcPr>
          <w:p>
            <w:pPr>
              <w:pStyle w:val="TableContents"/>
              <w:spacing w:lineRule="auto" w:line="285" w:before="0" w:after="0"/>
              <w:ind w:left="0" w:right="0" w:hanging="0"/>
              <w:rPr/>
            </w:pPr>
            <w:r>
              <w:rPr/>
              <w:t>​</w:t>
            </w:r>
          </w:p>
        </w:tc>
        <w:tc>
          <w:tcPr>
            <w:tcW w:w="419" w:type="dxa"/>
            <w:tcBorders/>
            <w:shd w:fill="auto" w:val="clear"/>
            <w:vAlign w:val="center"/>
          </w:tcPr>
          <w:p>
            <w:pPr>
              <w:pStyle w:val="TableContents"/>
              <w:spacing w:lineRule="auto" w:line="285" w:before="0" w:after="0"/>
              <w:ind w:left="0" w:right="0" w:hanging="0"/>
              <w:rPr/>
            </w:pPr>
            <w:r>
              <w:rPr/>
              <w:t>​</w:t>
            </w:r>
          </w:p>
        </w:tc>
      </w:tr>
      <w:tr>
        <w:trPr/>
        <w:tc>
          <w:tcPr>
            <w:tcW w:w="226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1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1" w:type="dxa"/>
            <w:tcBorders/>
            <w:shd w:fill="auto" w:val="clear"/>
            <w:vAlign w:val="center"/>
          </w:tcPr>
          <w:p>
            <w:pPr>
              <w:pStyle w:val="TableContents"/>
              <w:spacing w:lineRule="auto" w:line="285" w:before="0" w:after="0"/>
              <w:ind w:left="0" w:right="0" w:hanging="0"/>
              <w:jc w:val="center"/>
              <w:rPr/>
            </w:pPr>
            <w:r>
              <w:rPr/>
              <w:t>    </w:t>
            </w:r>
          </w:p>
        </w:tc>
        <w:tc>
          <w:tcPr>
            <w:tcW w:w="101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6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Collaboration loss sharing</w:t>
            </w:r>
          </w:p>
        </w:tc>
        <w:tc>
          <w:tcPr>
            <w:tcW w:w="326" w:type="dxa"/>
            <w:tcBorders/>
            <w:shd w:fill="CCEEFF" w:val="clear"/>
            <w:vAlign w:val="center"/>
          </w:tcPr>
          <w:p>
            <w:pPr>
              <w:pStyle w:val="TableContents"/>
              <w:spacing w:lineRule="auto" w:line="285" w:before="0" w:after="0"/>
              <w:ind w:left="0" w:right="0" w:hanging="0"/>
              <w:rPr/>
            </w:pPr>
            <w:r>
              <w:rPr/>
              <w:t> </w:t>
            </w:r>
          </w:p>
        </w:tc>
        <w:tc>
          <w:tcPr>
            <w:tcW w:w="27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421" w:type="dxa"/>
            <w:tcBorders/>
            <w:shd w:fill="CCEEFF" w:val="clear"/>
            <w:vAlign w:val="center"/>
          </w:tcPr>
          <w:p>
            <w:pPr>
              <w:pStyle w:val="TableContents"/>
              <w:spacing w:lineRule="auto" w:line="285" w:before="0" w:after="0"/>
              <w:ind w:left="0" w:right="0" w:hanging="0"/>
              <w:rPr/>
            </w:pPr>
            <w:r>
              <w:rPr/>
              <w:t> </w:t>
            </w:r>
          </w:p>
        </w:tc>
        <w:tc>
          <w:tcPr>
            <w:tcW w:w="27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3,265</w:t>
            </w:r>
          </w:p>
        </w:tc>
        <w:tc>
          <w:tcPr>
            <w:tcW w:w="326" w:type="dxa"/>
            <w:tcBorders/>
            <w:shd w:fill="CCEEFF" w:val="clear"/>
            <w:vAlign w:val="center"/>
          </w:tcPr>
          <w:p>
            <w:pPr>
              <w:pStyle w:val="TableContents"/>
              <w:spacing w:lineRule="auto" w:line="285" w:before="0" w:after="0"/>
              <w:ind w:left="0" w:right="0" w:hanging="0"/>
              <w:rPr/>
            </w:pPr>
            <w:r>
              <w:rPr/>
              <w:t> </w:t>
            </w:r>
          </w:p>
        </w:tc>
        <w:tc>
          <w:tcPr>
            <w:tcW w:w="29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26" w:type="dxa"/>
            <w:tcBorders/>
            <w:shd w:fill="CCEEFF" w:val="clear"/>
            <w:vAlign w:val="center"/>
          </w:tcPr>
          <w:p>
            <w:pPr>
              <w:pStyle w:val="TableContents"/>
              <w:spacing w:lineRule="auto" w:line="285" w:before="0" w:after="0"/>
              <w:ind w:left="0" w:right="0" w:hanging="0"/>
              <w:rPr/>
            </w:pPr>
            <w:r>
              <w:rPr/>
              <w:t> </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9"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Collaboration loss sharing under the collaboration with Roche for pralsetinib decreased for the three months ended March 31, 2023 as compared to the three months ended March 31, 2022 primarily due to higher GAVRETO product sales in the U.S. during the three months ended March 31, 2023 as compared to the three months ended March 31, 2022.</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March 31, 2023 and 2022 (in thousands):</w:t>
      </w:r>
    </w:p>
    <w:tbl>
      <w:tblPr>
        <w:tblW w:w="9213" w:type="dxa"/>
        <w:jc w:val="left"/>
        <w:tblInd w:w="0" w:type="dxa"/>
        <w:tblCellMar>
          <w:top w:w="0" w:type="dxa"/>
          <w:left w:w="0" w:type="dxa"/>
          <w:bottom w:w="0" w:type="dxa"/>
          <w:right w:w="0" w:type="dxa"/>
        </w:tblCellMar>
      </w:tblPr>
      <w:tblGrid>
        <w:gridCol w:w="3751"/>
        <w:gridCol w:w="326"/>
        <w:gridCol w:w="223"/>
        <w:gridCol w:w="826"/>
        <w:gridCol w:w="345"/>
        <w:gridCol w:w="223"/>
        <w:gridCol w:w="826"/>
        <w:gridCol w:w="326"/>
        <w:gridCol w:w="263"/>
        <w:gridCol w:w="862"/>
        <w:gridCol w:w="326"/>
        <w:gridCol w:w="497"/>
        <w:gridCol w:w="419"/>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381885" cy="175260"/>
                      <wp:effectExtent l="0" t="0" r="0" b="0"/>
                      <wp:wrapNone/>
                      <wp:docPr id="395" name="Frame395"/>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41605" cy="175260"/>
                      <wp:effectExtent l="0" t="0" r="0" b="0"/>
                      <wp:wrapNone/>
                      <wp:docPr id="397" name="Frame397"/>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24510" cy="175260"/>
                      <wp:effectExtent l="0" t="0" r="0" b="0"/>
                      <wp:wrapNone/>
                      <wp:docPr id="398" name="Frame39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075" cy="175260"/>
                      <wp:effectExtent l="0" t="0" r="0" b="0"/>
                      <wp:wrapNone/>
                      <wp:docPr id="399" name="Frame399"/>
                      <a:graphic xmlns:a="http://schemas.openxmlformats.org/drawingml/2006/main">
                        <a:graphicData uri="http://schemas.microsoft.com/office/word/2010/wordprocessingShape">
                          <wps:wsp>
                            <wps:cNvSpPr txBox="1"/>
                            <wps:spPr>
                              <a:xfrm>
                                <a:off x="0" y="0"/>
                                <a:ext cx="2190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1605" cy="175260"/>
                      <wp:effectExtent l="0" t="0" r="0" b="0"/>
                      <wp:wrapNone/>
                      <wp:docPr id="400" name="Frame400"/>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24510" cy="175260"/>
                      <wp:effectExtent l="0" t="0" r="0" b="0"/>
                      <wp:wrapNone/>
                      <wp:docPr id="401" name="Frame40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67005" cy="175260"/>
                      <wp:effectExtent l="0" t="0" r="0" b="0"/>
                      <wp:wrapNone/>
                      <wp:docPr id="403" name="Frame403"/>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47370" cy="175260"/>
                      <wp:effectExtent l="0" t="0" r="0" b="0"/>
                      <wp:wrapNone/>
                      <wp:docPr id="404" name="Frame404"/>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15595" cy="175260"/>
                      <wp:effectExtent l="0" t="0" r="0" b="0"/>
                      <wp:wrapNone/>
                      <wp:docPr id="406" name="Frame406"/>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66065" cy="175260"/>
                      <wp:effectExtent l="0" t="0" r="0" b="0"/>
                      <wp:wrapNone/>
                      <wp:docPr id="407" name="Frame407"/>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63" w:type="dxa"/>
            <w:tcBorders/>
            <w:shd w:fill="auto" w:val="clear"/>
            <w:vAlign w:val="center"/>
          </w:tcPr>
          <w:p>
            <w:pPr>
              <w:pStyle w:val="TableContents"/>
              <w:spacing w:lineRule="auto" w:line="285" w:before="0" w:after="0"/>
              <w:ind w:left="0" w:right="0" w:hanging="0"/>
              <w:rPr/>
            </w:pPr>
            <w:r>
              <w:rPr/>
              <w:t>​</w:t>
            </w:r>
          </w:p>
        </w:tc>
        <w:tc>
          <w:tcPr>
            <w:tcW w:w="862"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97" w:type="dxa"/>
            <w:tcBorders/>
            <w:shd w:fill="auto" w:val="clear"/>
            <w:vAlign w:val="center"/>
          </w:tcPr>
          <w:p>
            <w:pPr>
              <w:pStyle w:val="TableContents"/>
              <w:spacing w:lineRule="auto" w:line="285" w:before="0" w:after="0"/>
              <w:ind w:left="0" w:right="0" w:hanging="0"/>
              <w:rPr/>
            </w:pPr>
            <w:r>
              <w:rPr/>
              <w:t>​</w:t>
            </w:r>
          </w:p>
        </w:tc>
        <w:tc>
          <w:tcPr>
            <w:tcW w:w="419" w:type="dxa"/>
            <w:tcBorders/>
            <w:shd w:fill="auto" w:val="clear"/>
            <w:vAlign w:val="center"/>
          </w:tcPr>
          <w:p>
            <w:pPr>
              <w:pStyle w:val="TableContents"/>
              <w:spacing w:lineRule="auto" w:line="285" w:before="0" w:after="0"/>
              <w:ind w:left="0" w:right="0" w:hanging="0"/>
              <w:rPr/>
            </w:pPr>
            <w:r>
              <w:rPr/>
              <w:t>​</w:t>
            </w:r>
          </w:p>
        </w:tc>
      </w:tr>
      <w:tr>
        <w:trPr/>
        <w:tc>
          <w:tcPr>
            <w:tcW w:w="37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49"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5" w:type="dxa"/>
            <w:tcBorders/>
            <w:shd w:fill="auto" w:val="clear"/>
            <w:vAlign w:val="center"/>
          </w:tcPr>
          <w:p>
            <w:pPr>
              <w:pStyle w:val="TableContents"/>
              <w:spacing w:lineRule="auto" w:line="285" w:before="0" w:after="0"/>
              <w:ind w:left="0" w:right="0" w:hanging="0"/>
              <w:jc w:val="center"/>
              <w:rPr/>
            </w:pPr>
            <w:r>
              <w:rPr/>
              <w:t>    </w:t>
            </w:r>
          </w:p>
        </w:tc>
        <w:tc>
          <w:tcPr>
            <w:tcW w:w="1049"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37,496</w:t>
            </w:r>
          </w:p>
        </w:tc>
        <w:tc>
          <w:tcPr>
            <w:tcW w:w="345"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39,432</w:t>
            </w:r>
          </w:p>
        </w:tc>
        <w:tc>
          <w:tcPr>
            <w:tcW w:w="326" w:type="dxa"/>
            <w:tcBorders/>
            <w:shd w:fill="CCEEFF" w:val="clear"/>
            <w:vAlign w:val="center"/>
          </w:tcPr>
          <w:p>
            <w:pPr>
              <w:pStyle w:val="TableContents"/>
              <w:spacing w:lineRule="auto" w:line="285" w:before="0" w:after="0"/>
              <w:ind w:left="0" w:right="0" w:hanging="0"/>
              <w:rPr/>
            </w:pPr>
            <w:r>
              <w:rPr/>
              <w:t> </w:t>
            </w:r>
          </w:p>
        </w:tc>
        <w:tc>
          <w:tcPr>
            <w:tcW w:w="263"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(1,936)</w:t>
            </w:r>
          </w:p>
        </w:tc>
        <w:tc>
          <w:tcPr>
            <w:tcW w:w="326" w:type="dxa"/>
            <w:tcBorders/>
            <w:shd w:fill="CCEEFF" w:val="clear"/>
            <w:vAlign w:val="center"/>
          </w:tcPr>
          <w:p>
            <w:pPr>
              <w:pStyle w:val="TableContents"/>
              <w:spacing w:lineRule="auto" w:line="285" w:before="0" w:after="0"/>
              <w:ind w:left="0" w:right="0" w:hanging="0"/>
              <w:rPr/>
            </w:pPr>
            <w:r>
              <w:rPr/>
              <w:t> </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9"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Compensation and related</w:t>
            </w:r>
          </w:p>
        </w:tc>
        <w:tc>
          <w:tcPr>
            <w:tcW w:w="326"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rPr/>
            </w:pPr>
            <w:r>
              <w:rPr/>
              <w:t> </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28,647</w:t>
            </w:r>
          </w:p>
        </w:tc>
        <w:tc>
          <w:tcPr>
            <w:tcW w:w="345"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jc w:val="right"/>
              <w:rPr/>
            </w:pPr>
            <w:r>
              <w:rPr/>
              <w:t>​</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22,696</w:t>
            </w:r>
          </w:p>
        </w:tc>
        <w:tc>
          <w:tcPr>
            <w:tcW w:w="326" w:type="dxa"/>
            <w:tcBorders/>
            <w:shd w:fill="auto" w:val="clear"/>
            <w:vAlign w:val="center"/>
          </w:tcPr>
          <w:p>
            <w:pPr>
              <w:pStyle w:val="TableContents"/>
              <w:spacing w:lineRule="auto" w:line="285" w:before="0" w:after="0"/>
              <w:ind w:left="0" w:right="0" w:hanging="0"/>
              <w:rPr/>
            </w:pPr>
            <w:r>
              <w:rPr/>
              <w:t> </w:t>
            </w:r>
          </w:p>
        </w:tc>
        <w:tc>
          <w:tcPr>
            <w:tcW w:w="263" w:type="dxa"/>
            <w:tcBorders/>
            <w:shd w:fill="auto" w:val="clear"/>
            <w:vAlign w:val="center"/>
          </w:tcPr>
          <w:p>
            <w:pPr>
              <w:pStyle w:val="TableContents"/>
              <w:spacing w:lineRule="auto" w:line="285" w:before="0" w:after="0"/>
              <w:ind w:left="0" w:right="0" w:hanging="0"/>
              <w:rPr/>
            </w:pPr>
            <w:r>
              <w:rPr/>
              <w:t>​</w:t>
            </w:r>
          </w:p>
        </w:tc>
        <w:tc>
          <w:tcPr>
            <w:tcW w:w="862"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326" w:type="dxa"/>
            <w:tcBorders/>
            <w:shd w:fill="auto" w:val="clear"/>
            <w:vAlign w:val="center"/>
          </w:tcPr>
          <w:p>
            <w:pPr>
              <w:pStyle w:val="TableContents"/>
              <w:spacing w:lineRule="auto" w:line="285" w:before="0" w:after="0"/>
              <w:ind w:left="0" w:right="0" w:hanging="0"/>
              <w:rPr/>
            </w:pPr>
            <w:r>
              <w:rPr/>
              <w:t> </w:t>
            </w:r>
          </w:p>
        </w:tc>
        <w:tc>
          <w:tcPr>
            <w:tcW w:w="49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19" w:type="dxa"/>
            <w:tcBorders/>
            <w:shd w:fill="auto" w:val="clear"/>
            <w:vAlign w:val="center"/>
          </w:tcPr>
          <w:p>
            <w:pPr>
              <w:pStyle w:val="TableContents"/>
              <w:spacing w:lineRule="auto" w:line="285" w:before="0" w:after="0"/>
              <w:ind w:left="0" w:right="0" w:hanging="0"/>
              <w:jc w:val="center"/>
              <w:rPr/>
            </w:pPr>
            <w:r>
              <w:rPr/>
              <w:t>​</w:t>
            </w:r>
          </w:p>
        </w:tc>
      </w:tr>
      <w:tr>
        <w:trPr/>
        <w:tc>
          <w:tcPr>
            <w:tcW w:w="37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rPr/>
            </w:pPr>
            <w:r>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18,547</w:t>
            </w:r>
          </w:p>
        </w:tc>
        <w:tc>
          <w:tcPr>
            <w:tcW w:w="345"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rPr/>
            </w:pPr>
            <w:r>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15,934</w:t>
            </w:r>
          </w:p>
        </w:tc>
        <w:tc>
          <w:tcPr>
            <w:tcW w:w="326" w:type="dxa"/>
            <w:tcBorders/>
            <w:shd w:fill="CCEEFF" w:val="clear"/>
            <w:vAlign w:val="center"/>
          </w:tcPr>
          <w:p>
            <w:pPr>
              <w:pStyle w:val="TableContents"/>
              <w:spacing w:lineRule="auto" w:line="285" w:before="0" w:after="0"/>
              <w:ind w:left="0" w:right="0" w:hanging="0"/>
              <w:rPr/>
            </w:pPr>
            <w:r>
              <w:rPr/>
              <w:t> </w:t>
            </w:r>
          </w:p>
        </w:tc>
        <w:tc>
          <w:tcPr>
            <w:tcW w:w="263" w:type="dxa"/>
            <w:tcBorders/>
            <w:shd w:fill="CCEEFF" w:val="clear"/>
            <w:vAlign w:val="center"/>
          </w:tcPr>
          <w:p>
            <w:pPr>
              <w:pStyle w:val="TableContents"/>
              <w:spacing w:lineRule="auto" w:line="285" w:before="0" w:after="0"/>
              <w:ind w:left="0" w:right="0" w:hanging="0"/>
              <w:rPr/>
            </w:pPr>
            <w:r>
              <w:rPr/>
              <w:t>​</w:t>
            </w:r>
          </w:p>
        </w:tc>
        <w:tc>
          <w:tcPr>
            <w:tcW w:w="86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2,613</w:t>
            </w:r>
          </w:p>
        </w:tc>
        <w:tc>
          <w:tcPr>
            <w:tcW w:w="326" w:type="dxa"/>
            <w:tcBorders/>
            <w:shd w:fill="CCEEFF" w:val="clear"/>
            <w:vAlign w:val="center"/>
          </w:tcPr>
          <w:p>
            <w:pPr>
              <w:pStyle w:val="TableContents"/>
              <w:spacing w:lineRule="auto" w:line="285" w:before="0" w:after="0"/>
              <w:ind w:left="0" w:right="0" w:hanging="0"/>
              <w:rPr/>
            </w:pPr>
            <w:r>
              <w:rPr/>
              <w:t> </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19" w:type="dxa"/>
            <w:tcBorders/>
            <w:shd w:fill="CCEEFF" w:val="clear"/>
            <w:vAlign w:val="center"/>
          </w:tcPr>
          <w:p>
            <w:pPr>
              <w:pStyle w:val="TableContents"/>
              <w:spacing w:lineRule="auto" w:line="285" w:before="0" w:after="0"/>
              <w:ind w:left="0" w:right="0" w:hanging="0"/>
              <w:jc w:val="center"/>
              <w:rPr/>
            </w:pPr>
            <w:r>
              <w:rPr/>
              <w:t>​</w:t>
            </w:r>
          </w:p>
        </w:tc>
      </w:tr>
      <w:tr>
        <w:trPr/>
        <w:tc>
          <w:tcPr>
            <w:tcW w:w="375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rPr/>
            </w:pPr>
            <w:r>
              <w:rPr/>
              <w:t> </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45"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jc w:val="right"/>
              <w:rPr/>
            </w:pPr>
            <w:r>
              <w:rPr/>
              <w:t>​</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10,041</w:t>
            </w:r>
          </w:p>
        </w:tc>
        <w:tc>
          <w:tcPr>
            <w:tcW w:w="326" w:type="dxa"/>
            <w:tcBorders/>
            <w:shd w:fill="auto" w:val="clear"/>
            <w:vAlign w:val="center"/>
          </w:tcPr>
          <w:p>
            <w:pPr>
              <w:pStyle w:val="TableContents"/>
              <w:spacing w:lineRule="auto" w:line="285" w:before="0" w:after="0"/>
              <w:ind w:left="0" w:right="0" w:hanging="0"/>
              <w:rPr/>
            </w:pPr>
            <w:r>
              <w:rPr/>
              <w:t> </w:t>
            </w:r>
          </w:p>
        </w:tc>
        <w:tc>
          <w:tcPr>
            <w:tcW w:w="263" w:type="dxa"/>
            <w:tcBorders/>
            <w:shd w:fill="auto" w:val="clear"/>
            <w:vAlign w:val="center"/>
          </w:tcPr>
          <w:p>
            <w:pPr>
              <w:pStyle w:val="TableContents"/>
              <w:spacing w:lineRule="auto" w:line="285" w:before="0" w:after="0"/>
              <w:ind w:left="0" w:right="0" w:hanging="0"/>
              <w:rPr/>
            </w:pPr>
            <w:r>
              <w:rPr/>
              <w:t>​</w:t>
            </w:r>
          </w:p>
        </w:tc>
        <w:tc>
          <w:tcPr>
            <w:tcW w:w="862"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auto" w:val="clear"/>
            <w:vAlign w:val="center"/>
          </w:tcPr>
          <w:p>
            <w:pPr>
              <w:pStyle w:val="TableContents"/>
              <w:spacing w:lineRule="auto" w:line="285" w:before="0" w:after="0"/>
              <w:ind w:left="0" w:right="0" w:hanging="0"/>
              <w:rPr/>
            </w:pPr>
            <w:r>
              <w:rPr/>
              <w:t> </w:t>
            </w:r>
          </w:p>
        </w:tc>
        <w:tc>
          <w:tcPr>
            <w:tcW w:w="49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9" w:type="dxa"/>
            <w:tcBorders/>
            <w:shd w:fill="auto" w:val="clear"/>
            <w:vAlign w:val="center"/>
          </w:tcPr>
          <w:p>
            <w:pPr>
              <w:pStyle w:val="TableContents"/>
              <w:spacing w:lineRule="auto" w:line="285" w:before="0" w:after="0"/>
              <w:ind w:left="0" w:right="0" w:hanging="0"/>
              <w:jc w:val="center"/>
              <w:rPr/>
            </w:pPr>
            <w:r>
              <w:rPr/>
              <w:t>​</w:t>
            </w:r>
          </w:p>
        </w:tc>
      </w:tr>
      <w:tr>
        <w:trPr/>
        <w:tc>
          <w:tcPr>
            <w:tcW w:w="37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rPr/>
            </w:pPr>
            <w:r>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45" w:type="dxa"/>
            <w:tcBorders/>
            <w:shd w:fill="CCEEFF" w:val="clear"/>
            <w:vAlign w:val="center"/>
          </w:tcPr>
          <w:p>
            <w:pPr>
              <w:pStyle w:val="TableContents"/>
              <w:spacing w:lineRule="auto" w:line="285" w:before="0" w:after="0"/>
              <w:ind w:left="0" w:right="0" w:hanging="0"/>
              <w:rPr/>
            </w:pPr>
            <w:r>
              <w:rPr/>
              <w:t> </w:t>
            </w:r>
          </w:p>
        </w:tc>
        <w:tc>
          <w:tcPr>
            <w:tcW w:w="223" w:type="dxa"/>
            <w:tcBorders/>
            <w:shd w:fill="CCEEFF" w:val="clear"/>
            <w:vAlign w:val="center"/>
          </w:tcPr>
          <w:p>
            <w:pPr>
              <w:pStyle w:val="TableContents"/>
              <w:spacing w:lineRule="auto" w:line="285" w:before="0" w:after="0"/>
              <w:ind w:left="0" w:right="0" w:hanging="0"/>
              <w:jc w:val="right"/>
              <w:rPr/>
            </w:pPr>
            <w:r>
              <w:rPr/>
              <w:t>​</w:t>
            </w:r>
          </w:p>
        </w:tc>
        <w:tc>
          <w:tcPr>
            <w:tcW w:w="82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7,064</w:t>
            </w:r>
          </w:p>
        </w:tc>
        <w:tc>
          <w:tcPr>
            <w:tcW w:w="326" w:type="dxa"/>
            <w:tcBorders/>
            <w:shd w:fill="CCEEFF" w:val="clear"/>
            <w:vAlign w:val="center"/>
          </w:tcPr>
          <w:p>
            <w:pPr>
              <w:pStyle w:val="TableContents"/>
              <w:spacing w:lineRule="auto" w:line="285" w:before="0" w:after="0"/>
              <w:ind w:left="0" w:right="0" w:hanging="0"/>
              <w:rPr/>
            </w:pPr>
            <w:r>
              <w:rPr/>
              <w:t> </w:t>
            </w:r>
          </w:p>
        </w:tc>
        <w:tc>
          <w:tcPr>
            <w:tcW w:w="263" w:type="dxa"/>
            <w:tcBorders/>
            <w:shd w:fill="CCEEFF" w:val="clear"/>
            <w:vAlign w:val="center"/>
          </w:tcPr>
          <w:p>
            <w:pPr>
              <w:pStyle w:val="TableContents"/>
              <w:spacing w:lineRule="auto" w:line="285" w:before="0" w:after="0"/>
              <w:ind w:left="0" w:right="0" w:hanging="0"/>
              <w:rPr/>
            </w:pPr>
            <w:r>
              <w:rPr/>
              <w:t>​</w:t>
            </w:r>
          </w:p>
        </w:tc>
        <w:tc>
          <w:tcPr>
            <w:tcW w:w="86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26" w:type="dxa"/>
            <w:tcBorders/>
            <w:shd w:fill="CCEEFF" w:val="clear"/>
            <w:vAlign w:val="center"/>
          </w:tcPr>
          <w:p>
            <w:pPr>
              <w:pStyle w:val="TableContents"/>
              <w:spacing w:lineRule="auto" w:line="285" w:before="0" w:after="0"/>
              <w:ind w:left="0" w:right="0" w:hanging="0"/>
              <w:rPr/>
            </w:pPr>
            <w:r>
              <w:rPr/>
              <w:t> </w:t>
            </w:r>
          </w:p>
        </w:tc>
        <w:tc>
          <w:tcPr>
            <w:tcW w:w="49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9" w:type="dxa"/>
            <w:tcBorders/>
            <w:shd w:fill="CCEEFF" w:val="clear"/>
            <w:vAlign w:val="center"/>
          </w:tcPr>
          <w:p>
            <w:pPr>
              <w:pStyle w:val="TableContents"/>
              <w:spacing w:lineRule="auto" w:line="285" w:before="0" w:after="0"/>
              <w:ind w:left="0" w:right="0" w:hanging="0"/>
              <w:jc w:val="center"/>
              <w:rPr/>
            </w:pPr>
            <w:r>
              <w:rPr/>
              <w:t>​</w:t>
            </w:r>
          </w:p>
        </w:tc>
      </w:tr>
      <w:tr>
        <w:trPr/>
        <w:tc>
          <w:tcPr>
            <w:tcW w:w="375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Facilities and IT</w:t>
            </w:r>
          </w:p>
        </w:tc>
        <w:tc>
          <w:tcPr>
            <w:tcW w:w="326"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rPr/>
            </w:pPr>
            <w:r>
              <w:rPr/>
              <w:t>​</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45" w:type="dxa"/>
            <w:tcBorders/>
            <w:shd w:fill="auto" w:val="clear"/>
            <w:vAlign w:val="center"/>
          </w:tcPr>
          <w:p>
            <w:pPr>
              <w:pStyle w:val="TableContents"/>
              <w:spacing w:lineRule="auto" w:line="285" w:before="0" w:after="0"/>
              <w:ind w:left="0" w:right="0" w:hanging="0"/>
              <w:rPr/>
            </w:pPr>
            <w:r>
              <w:rPr/>
              <w:t> </w:t>
            </w:r>
          </w:p>
        </w:tc>
        <w:tc>
          <w:tcPr>
            <w:tcW w:w="223" w:type="dxa"/>
            <w:tcBorders/>
            <w:shd w:fill="auto" w:val="clear"/>
            <w:vAlign w:val="center"/>
          </w:tcPr>
          <w:p>
            <w:pPr>
              <w:pStyle w:val="TableContents"/>
              <w:spacing w:lineRule="auto" w:line="285" w:before="0" w:after="0"/>
              <w:ind w:left="0" w:right="0" w:hanging="0"/>
              <w:jc w:val="right"/>
              <w:rPr/>
            </w:pPr>
            <w:r>
              <w:rPr/>
              <w:t>​</w:t>
            </w:r>
          </w:p>
        </w:tc>
        <w:tc>
          <w:tcPr>
            <w:tcW w:w="82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7,017</w:t>
            </w:r>
          </w:p>
        </w:tc>
        <w:tc>
          <w:tcPr>
            <w:tcW w:w="326" w:type="dxa"/>
            <w:tcBorders/>
            <w:shd w:fill="auto" w:val="clear"/>
            <w:vAlign w:val="center"/>
          </w:tcPr>
          <w:p>
            <w:pPr>
              <w:pStyle w:val="TableContents"/>
              <w:spacing w:lineRule="auto" w:line="285" w:before="0" w:after="0"/>
              <w:ind w:left="0" w:right="0" w:hanging="0"/>
              <w:rPr/>
            </w:pPr>
            <w:r>
              <w:rPr/>
              <w:t> </w:t>
            </w:r>
          </w:p>
        </w:tc>
        <w:tc>
          <w:tcPr>
            <w:tcW w:w="263" w:type="dxa"/>
            <w:tcBorders/>
            <w:shd w:fill="auto" w:val="clear"/>
            <w:vAlign w:val="center"/>
          </w:tcPr>
          <w:p>
            <w:pPr>
              <w:pStyle w:val="TableContents"/>
              <w:spacing w:lineRule="auto" w:line="285" w:before="0" w:after="0"/>
              <w:ind w:left="0" w:right="0" w:hanging="0"/>
              <w:rPr/>
            </w:pPr>
            <w:r>
              <w:rPr/>
              <w:t>​</w:t>
            </w:r>
          </w:p>
        </w:tc>
        <w:tc>
          <w:tcPr>
            <w:tcW w:w="862"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26" w:type="dxa"/>
            <w:tcBorders/>
            <w:shd w:fill="auto" w:val="clear"/>
            <w:vAlign w:val="center"/>
          </w:tcPr>
          <w:p>
            <w:pPr>
              <w:pStyle w:val="TableContents"/>
              <w:spacing w:lineRule="auto" w:line="285" w:before="0" w:after="0"/>
              <w:ind w:left="0" w:right="0" w:hanging="0"/>
              <w:rPr/>
            </w:pPr>
            <w:r>
              <w:rPr/>
              <w:t> </w:t>
            </w:r>
          </w:p>
        </w:tc>
        <w:tc>
          <w:tcPr>
            <w:tcW w:w="49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19" w:type="dxa"/>
            <w:tcBorders/>
            <w:shd w:fill="auto" w:val="clear"/>
            <w:vAlign w:val="center"/>
          </w:tcPr>
          <w:p>
            <w:pPr>
              <w:pStyle w:val="TableContents"/>
              <w:spacing w:lineRule="auto" w:line="285" w:before="0" w:after="0"/>
              <w:ind w:left="0" w:right="0" w:hanging="0"/>
              <w:jc w:val="center"/>
              <w:rPr/>
            </w:pPr>
            <w:r>
              <w:rPr/>
              <w:t>​</w:t>
            </w:r>
          </w:p>
        </w:tc>
      </w:tr>
      <w:tr>
        <w:trPr/>
        <w:tc>
          <w:tcPr>
            <w:tcW w:w="37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lineRule="auto" w:line="285" w:before="0" w:after="0"/>
              <w:ind w:left="0" w:right="0" w:hanging="0"/>
              <w:rPr/>
            </w:pPr>
            <w:r>
              <w:rPr/>
              <w:t> </w:t>
            </w:r>
          </w:p>
        </w:tc>
        <w:tc>
          <w:tcPr>
            <w:tcW w:w="22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45" w:type="dxa"/>
            <w:tcBorders/>
            <w:shd w:fill="CCEEFF" w:val="clear"/>
            <w:vAlign w:val="center"/>
          </w:tcPr>
          <w:p>
            <w:pPr>
              <w:pStyle w:val="TableContents"/>
              <w:spacing w:lineRule="auto" w:line="285" w:before="0" w:after="0"/>
              <w:ind w:left="0" w:right="0" w:hanging="0"/>
              <w:rPr/>
            </w:pPr>
            <w:r>
              <w:rPr/>
              <w:t> </w:t>
            </w:r>
          </w:p>
        </w:tc>
        <w:tc>
          <w:tcPr>
            <w:tcW w:w="22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spacing w:lineRule="auto" w:line="285" w:before="0" w:after="0"/>
              <w:ind w:left="0" w:right="0" w:hanging="0"/>
              <w:rPr/>
            </w:pPr>
            <w:r>
              <w:rPr/>
              <w:t> </w:t>
            </w:r>
          </w:p>
        </w:tc>
        <w:tc>
          <w:tcPr>
            <w:tcW w:w="26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rPr/>
            </w:pPr>
            <w:r>
              <w:rPr/>
              <w:t>​</w:t>
            </w:r>
          </w:p>
        </w:tc>
        <w:tc>
          <w:tcPr>
            <w:tcW w:w="862"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spacing w:lineRule="auto" w:line="285" w:before="0" w:after="0"/>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19"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center"/>
              <w:rPr/>
            </w:pPr>
            <w:r>
              <w:rPr/>
              <w:t>​</w:t>
            </w:r>
          </w:p>
        </w:tc>
      </w:tr>
      <w:tr>
        <w:trPr/>
        <w:tc>
          <w:tcPr>
            <w:tcW w:w="375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shd w:fill="auto" w:val="clear"/>
            <w:vAlign w:val="center"/>
          </w:tcPr>
          <w:p>
            <w:pPr>
              <w:pStyle w:val="TableContents"/>
              <w:spacing w:lineRule="auto" w:line="285" w:before="0" w:after="0"/>
              <w:ind w:left="0" w:right="0" w:hanging="0"/>
              <w:rPr/>
            </w:pPr>
            <w:r>
              <w:rPr/>
              <w:t> </w:t>
            </w:r>
          </w:p>
        </w:tc>
        <w:tc>
          <w:tcPr>
            <w:tcW w:w="223"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112,073</w:t>
            </w:r>
          </w:p>
        </w:tc>
        <w:tc>
          <w:tcPr>
            <w:tcW w:w="345" w:type="dxa"/>
            <w:tcBorders/>
            <w:shd w:fill="auto" w:val="clear"/>
            <w:vAlign w:val="center"/>
          </w:tcPr>
          <w:p>
            <w:pPr>
              <w:pStyle w:val="TableContents"/>
              <w:spacing w:lineRule="auto" w:line="285" w:before="0" w:after="0"/>
              <w:ind w:left="0" w:right="0" w:hanging="0"/>
              <w:rPr/>
            </w:pPr>
            <w:r>
              <w:rPr/>
              <w:t> </w:t>
            </w:r>
          </w:p>
        </w:tc>
        <w:tc>
          <w:tcPr>
            <w:tcW w:w="223"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103,133</w:t>
            </w:r>
          </w:p>
        </w:tc>
        <w:tc>
          <w:tcPr>
            <w:tcW w:w="326" w:type="dxa"/>
            <w:tcBorders/>
            <w:shd w:fill="auto" w:val="clear"/>
            <w:vAlign w:val="center"/>
          </w:tcPr>
          <w:p>
            <w:pPr>
              <w:pStyle w:val="TableContents"/>
              <w:spacing w:lineRule="auto" w:line="285" w:before="0" w:after="0"/>
              <w:ind w:left="0" w:right="0" w:hanging="0"/>
              <w:rPr/>
            </w:pPr>
            <w:r>
              <w:rPr/>
              <w:t> </w:t>
            </w:r>
          </w:p>
        </w:tc>
        <w:tc>
          <w:tcPr>
            <w:tcW w:w="263"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326" w:type="dxa"/>
            <w:tcBorders/>
            <w:shd w:fill="auto" w:val="clear"/>
            <w:vAlign w:val="center"/>
          </w:tcPr>
          <w:p>
            <w:pPr>
              <w:pStyle w:val="TableContents"/>
              <w:spacing w:lineRule="auto" w:line="285" w:before="0" w:after="0"/>
              <w:ind w:left="0" w:right="0" w:hanging="0"/>
              <w:rPr/>
            </w:pPr>
            <w:r>
              <w:rPr/>
              <w:t> </w:t>
            </w:r>
          </w:p>
        </w:tc>
        <w:tc>
          <w:tcPr>
            <w:tcW w:w="497"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9"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Research and development expense increased for the three months ended March 31, 2023 as compared to the three months ended March 31, 2022 primarily due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$6.0 million in compensation and related costs driven by increased headcount to support the progression of the pipeline.</w:t>
            </w:r>
          </w:p>
        </w:tc>
      </w:tr>
    </w:tbl>
    <w:tbl>
      <w:tblPr>
        <w:tblW w:w="8811" w:type="dxa"/>
        <w:jc w:val="left"/>
        <w:tblInd w:w="0" w:type="dxa"/>
        <w:tblCellMar>
          <w:top w:w="28" w:type="dxa"/>
          <w:left w:w="28" w:type="dxa"/>
          <w:bottom w:w="28" w:type="dxa"/>
          <w:right w:w="28" w:type="dxa"/>
        </w:tblCellMar>
      </w:tblPr>
      <w:tblGrid>
        <w:gridCol w:w="124"/>
        <w:gridCol w:w="256"/>
        <w:gridCol w:w="84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$2.6 million in costs related to early drug discovery efforts and expanding the platform.</w:t>
            </w:r>
          </w:p>
        </w:tc>
      </w:tr>
    </w:tbl>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March 31, 2023 and 2022 (in thousands):</w:t>
      </w:r>
    </w:p>
    <w:tbl>
      <w:tblPr>
        <w:tblW w:w="9483" w:type="dxa"/>
        <w:jc w:val="left"/>
        <w:tblInd w:w="0" w:type="dxa"/>
        <w:tblCellMar>
          <w:top w:w="0" w:type="dxa"/>
          <w:left w:w="0" w:type="dxa"/>
          <w:bottom w:w="0" w:type="dxa"/>
          <w:right w:w="0" w:type="dxa"/>
        </w:tblCellMar>
      </w:tblPr>
      <w:tblGrid>
        <w:gridCol w:w="4021"/>
        <w:gridCol w:w="326"/>
        <w:gridCol w:w="245"/>
        <w:gridCol w:w="787"/>
        <w:gridCol w:w="379"/>
        <w:gridCol w:w="245"/>
        <w:gridCol w:w="787"/>
        <w:gridCol w:w="326"/>
        <w:gridCol w:w="267"/>
        <w:gridCol w:w="858"/>
        <w:gridCol w:w="326"/>
        <w:gridCol w:w="458"/>
        <w:gridCol w:w="458"/>
      </w:tblGrid>
      <w:tr>
        <w:trPr/>
        <w:tc>
          <w:tcPr>
            <w:tcW w:w="4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553335" cy="175260"/>
                      <wp:effectExtent l="0" t="0" r="0" b="0"/>
                      <wp:wrapNone/>
                      <wp:docPr id="408" name="Frame408"/>
                      <a:graphic xmlns:a="http://schemas.openxmlformats.org/drawingml/2006/main">
                        <a:graphicData uri="http://schemas.microsoft.com/office/word/2010/wordprocessingShape">
                          <wps:wsp>
                            <wps:cNvSpPr txBox="1"/>
                            <wps:spPr>
                              <a:xfrm>
                                <a:off x="0" y="0"/>
                                <a:ext cx="25533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55575" cy="175260"/>
                      <wp:effectExtent l="0" t="0" r="0" b="0"/>
                      <wp:wrapNone/>
                      <wp:docPr id="410" name="Frame410"/>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9745" cy="175260"/>
                      <wp:effectExtent l="0" t="0" r="0" b="0"/>
                      <wp:wrapNone/>
                      <wp:docPr id="411" name="Frame411"/>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40665" cy="175260"/>
                      <wp:effectExtent l="0" t="0" r="0" b="0"/>
                      <wp:wrapNone/>
                      <wp:docPr id="412" name="Frame412"/>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5575" cy="175260"/>
                      <wp:effectExtent l="0" t="0" r="0" b="0"/>
                      <wp:wrapNone/>
                      <wp:docPr id="413" name="Frame413"/>
                      <a:graphic xmlns:a="http://schemas.openxmlformats.org/drawingml/2006/main">
                        <a:graphicData uri="http://schemas.microsoft.com/office/word/2010/wordprocessingShape">
                          <wps:wsp>
                            <wps:cNvSpPr txBox="1"/>
                            <wps:spPr>
                              <a:xfrm>
                                <a:off x="0" y="0"/>
                                <a:ext cx="1555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99745" cy="175260"/>
                      <wp:effectExtent l="0" t="0" r="0" b="0"/>
                      <wp:wrapNone/>
                      <wp:docPr id="414" name="Frame414"/>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69545" cy="175260"/>
                      <wp:effectExtent l="0" t="0" r="0" b="0"/>
                      <wp:wrapNone/>
                      <wp:docPr id="416" name="Frame416"/>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44830" cy="175260"/>
                      <wp:effectExtent l="0" t="0" r="0" b="0"/>
                      <wp:wrapNone/>
                      <wp:docPr id="417" name="Frame417"/>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90830" cy="175260"/>
                      <wp:effectExtent l="0" t="0" r="0" b="0"/>
                      <wp:wrapNone/>
                      <wp:docPr id="419" name="Frame419"/>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90830" cy="175260"/>
                      <wp:effectExtent l="0" t="0" r="0" b="0"/>
                      <wp:wrapNone/>
                      <wp:docPr id="420" name="Frame420"/>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0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67" w:type="dxa"/>
            <w:tcBorders/>
            <w:shd w:fill="auto" w:val="clear"/>
            <w:vAlign w:val="center"/>
          </w:tcPr>
          <w:p>
            <w:pPr>
              <w:pStyle w:val="TableContents"/>
              <w:spacing w:lineRule="auto" w:line="285" w:before="0" w:after="0"/>
              <w:ind w:left="0" w:right="0" w:hanging="0"/>
              <w:rPr/>
            </w:pPr>
            <w:r>
              <w:rPr/>
              <w:t>​</w:t>
            </w:r>
          </w:p>
        </w:tc>
        <w:tc>
          <w:tcPr>
            <w:tcW w:w="858"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58" w:type="dxa"/>
            <w:tcBorders/>
            <w:shd w:fill="auto" w:val="clear"/>
            <w:vAlign w:val="center"/>
          </w:tcPr>
          <w:p>
            <w:pPr>
              <w:pStyle w:val="TableContents"/>
              <w:spacing w:lineRule="auto" w:line="285" w:before="0" w:after="0"/>
              <w:ind w:left="0" w:right="0" w:hanging="0"/>
              <w:rPr/>
            </w:pPr>
            <w:r>
              <w:rPr/>
              <w:t>​</w:t>
            </w:r>
          </w:p>
        </w:tc>
        <w:tc>
          <w:tcPr>
            <w:tcW w:w="458" w:type="dxa"/>
            <w:tcBorders/>
            <w:shd w:fill="auto" w:val="clear"/>
            <w:vAlign w:val="center"/>
          </w:tcPr>
          <w:p>
            <w:pPr>
              <w:pStyle w:val="TableContents"/>
              <w:spacing w:lineRule="auto" w:line="285" w:before="0" w:after="0"/>
              <w:ind w:left="0" w:right="0" w:hanging="0"/>
              <w:rPr/>
            </w:pPr>
            <w:r>
              <w:rPr/>
              <w:t>​</w:t>
            </w:r>
          </w:p>
        </w:tc>
      </w:tr>
      <w:tr>
        <w:trPr/>
        <w:tc>
          <w:tcPr>
            <w:tcW w:w="402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03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shd w:fill="auto" w:val="clear"/>
            <w:vAlign w:val="center"/>
          </w:tcPr>
          <w:p>
            <w:pPr>
              <w:pStyle w:val="TableContents"/>
              <w:spacing w:lineRule="auto" w:line="285" w:before="0" w:after="0"/>
              <w:ind w:left="0" w:right="0" w:hanging="0"/>
              <w:jc w:val="center"/>
              <w:rPr/>
            </w:pPr>
            <w:r>
              <w:rPr/>
              <w:t>    </w:t>
            </w:r>
          </w:p>
        </w:tc>
        <w:tc>
          <w:tcPr>
            <w:tcW w:w="103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Compensation and related</w:t>
            </w:r>
          </w:p>
        </w:tc>
        <w:tc>
          <w:tcPr>
            <w:tcW w:w="326"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30,498</w:t>
            </w:r>
          </w:p>
        </w:tc>
        <w:tc>
          <w:tcPr>
            <w:tcW w:w="379"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20,799</w:t>
            </w:r>
          </w:p>
        </w:tc>
        <w:tc>
          <w:tcPr>
            <w:tcW w:w="326" w:type="dxa"/>
            <w:tcBorders/>
            <w:shd w:fill="CCEEFF" w:val="clear"/>
            <w:vAlign w:val="center"/>
          </w:tcPr>
          <w:p>
            <w:pPr>
              <w:pStyle w:val="TableContents"/>
              <w:spacing w:lineRule="auto" w:line="285" w:before="0" w:after="0"/>
              <w:ind w:left="0" w:right="0" w:hanging="0"/>
              <w:rPr/>
            </w:pPr>
            <w:r>
              <w:rPr/>
              <w:t> </w:t>
            </w:r>
          </w:p>
        </w:tc>
        <w:tc>
          <w:tcPr>
            <w:tcW w:w="267"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9,699</w:t>
            </w:r>
          </w:p>
        </w:tc>
        <w:tc>
          <w:tcPr>
            <w:tcW w:w="326" w:type="dxa"/>
            <w:tcBorders/>
            <w:shd w:fill="CCEEFF" w:val="clear"/>
            <w:vAlign w:val="center"/>
          </w:tcPr>
          <w:p>
            <w:pPr>
              <w:pStyle w:val="TableContents"/>
              <w:spacing w:lineRule="auto" w:line="285" w:before="0" w:after="0"/>
              <w:ind w:left="0" w:right="0" w:hanging="0"/>
              <w:rPr/>
            </w:pPr>
            <w:r>
              <w:rPr/>
              <w:t> </w:t>
            </w:r>
          </w:p>
        </w:tc>
        <w:tc>
          <w:tcPr>
            <w:tcW w:w="4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58"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lineRule="auto" w:line="285" w:before="0" w:after="0"/>
              <w:ind w:left="0" w:right="0" w:hanging="0"/>
              <w:rPr/>
            </w:pPr>
            <w:r>
              <w:rPr/>
              <w:t> </w:t>
            </w:r>
          </w:p>
        </w:tc>
        <w:tc>
          <w:tcPr>
            <w:tcW w:w="245" w:type="dxa"/>
            <w:tcBorders/>
            <w:shd w:fill="auto" w:val="clear"/>
            <w:vAlign w:val="center"/>
          </w:tcPr>
          <w:p>
            <w:pPr>
              <w:pStyle w:val="TableContents"/>
              <w:spacing w:lineRule="auto" w:line="285" w:before="0" w:after="0"/>
              <w:ind w:left="0" w:right="0" w:hanging="0"/>
              <w:rPr/>
            </w:pPr>
            <w:r>
              <w:rPr/>
              <w:t> </w:t>
            </w:r>
          </w:p>
        </w:tc>
        <w:tc>
          <w:tcPr>
            <w:tcW w:w="78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13,079</w:t>
            </w:r>
          </w:p>
        </w:tc>
        <w:tc>
          <w:tcPr>
            <w:tcW w:w="379" w:type="dxa"/>
            <w:tcBorders/>
            <w:shd w:fill="auto" w:val="clear"/>
            <w:vAlign w:val="center"/>
          </w:tcPr>
          <w:p>
            <w:pPr>
              <w:pStyle w:val="TableContents"/>
              <w:spacing w:lineRule="auto" w:line="285" w:before="0" w:after="0"/>
              <w:ind w:left="0" w:right="0" w:hanging="0"/>
              <w:rPr/>
            </w:pPr>
            <w:r>
              <w:rPr/>
              <w:t> </w:t>
            </w:r>
          </w:p>
        </w:tc>
        <w:tc>
          <w:tcPr>
            <w:tcW w:w="245" w:type="dxa"/>
            <w:tcBorders/>
            <w:shd w:fill="auto" w:val="clear"/>
            <w:vAlign w:val="center"/>
          </w:tcPr>
          <w:p>
            <w:pPr>
              <w:pStyle w:val="TableContents"/>
              <w:spacing w:lineRule="auto" w:line="285" w:before="0" w:after="0"/>
              <w:ind w:left="0" w:right="0" w:hanging="0"/>
              <w:jc w:val="right"/>
              <w:rPr/>
            </w:pPr>
            <w:r>
              <w:rPr/>
              <w:t>​</w:t>
            </w:r>
          </w:p>
        </w:tc>
        <w:tc>
          <w:tcPr>
            <w:tcW w:w="78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13,358</w:t>
            </w:r>
          </w:p>
        </w:tc>
        <w:tc>
          <w:tcPr>
            <w:tcW w:w="326" w:type="dxa"/>
            <w:tcBorders/>
            <w:shd w:fill="auto" w:val="clear"/>
            <w:vAlign w:val="center"/>
          </w:tcPr>
          <w:p>
            <w:pPr>
              <w:pStyle w:val="TableContents"/>
              <w:spacing w:lineRule="auto" w:line="285" w:before="0" w:after="0"/>
              <w:ind w:left="0" w:right="0" w:hanging="0"/>
              <w:rPr/>
            </w:pPr>
            <w:r>
              <w:rPr/>
              <w:t> </w:t>
            </w:r>
          </w:p>
        </w:tc>
        <w:tc>
          <w:tcPr>
            <w:tcW w:w="267" w:type="dxa"/>
            <w:tcBorders/>
            <w:shd w:fill="auto" w:val="clear"/>
            <w:vAlign w:val="center"/>
          </w:tcPr>
          <w:p>
            <w:pPr>
              <w:pStyle w:val="TableContents"/>
              <w:spacing w:lineRule="auto" w:line="285" w:before="0" w:after="0"/>
              <w:ind w:left="0" w:right="0" w:hanging="0"/>
              <w:rPr/>
            </w:pPr>
            <w:r>
              <w:rPr/>
              <w:t>​</w:t>
            </w:r>
          </w:p>
        </w:tc>
        <w:tc>
          <w:tcPr>
            <w:tcW w:w="8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auto" w:val="clear"/>
            <w:vAlign w:val="center"/>
          </w:tcPr>
          <w:p>
            <w:pPr>
              <w:pStyle w:val="TableContents"/>
              <w:spacing w:lineRule="auto" w:line="285" w:before="0" w:after="0"/>
              <w:ind w:left="0" w:right="0" w:hanging="0"/>
              <w:rPr/>
            </w:pPr>
            <w:r>
              <w:rPr/>
              <w:t> </w:t>
            </w:r>
          </w:p>
        </w:tc>
        <w:tc>
          <w:tcPr>
            <w:tcW w:w="4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8" w:type="dxa"/>
            <w:tcBorders/>
            <w:shd w:fill="auto" w:val="clear"/>
            <w:vAlign w:val="center"/>
          </w:tcPr>
          <w:p>
            <w:pPr>
              <w:pStyle w:val="TableContents"/>
              <w:spacing w:lineRule="auto" w:line="285" w:before="0" w:after="0"/>
              <w:ind w:left="0" w:right="0" w:hanging="0"/>
              <w:jc w:val="center"/>
              <w:rPr/>
            </w:pPr>
            <w:r>
              <w:rPr/>
              <w:t>​</w:t>
            </w:r>
          </w:p>
        </w:tc>
      </w:tr>
      <w:tr>
        <w:trPr/>
        <w:tc>
          <w:tcPr>
            <w:tcW w:w="40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Commercial and related</w:t>
            </w:r>
          </w:p>
        </w:tc>
        <w:tc>
          <w:tcPr>
            <w:tcW w:w="326"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rPr/>
            </w:pPr>
            <w:r>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79"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jc w:val="right"/>
              <w:rPr/>
            </w:pPr>
            <w:r>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6,955</w:t>
            </w:r>
          </w:p>
        </w:tc>
        <w:tc>
          <w:tcPr>
            <w:tcW w:w="326" w:type="dxa"/>
            <w:tcBorders/>
            <w:shd w:fill="CCEEFF" w:val="clear"/>
            <w:vAlign w:val="center"/>
          </w:tcPr>
          <w:p>
            <w:pPr>
              <w:pStyle w:val="TableContents"/>
              <w:spacing w:lineRule="auto" w:line="285" w:before="0" w:after="0"/>
              <w:ind w:left="0" w:right="0" w:hanging="0"/>
              <w:rPr/>
            </w:pPr>
            <w:r>
              <w:rPr/>
              <w:t> </w:t>
            </w:r>
          </w:p>
        </w:tc>
        <w:tc>
          <w:tcPr>
            <w:tcW w:w="267" w:type="dxa"/>
            <w:tcBorders/>
            <w:shd w:fill="CCEEFF" w:val="clear"/>
            <w:vAlign w:val="center"/>
          </w:tcPr>
          <w:p>
            <w:pPr>
              <w:pStyle w:val="TableContents"/>
              <w:spacing w:lineRule="auto" w:line="285" w:before="0" w:after="0"/>
              <w:ind w:left="0" w:right="0" w:hanging="0"/>
              <w:rPr/>
            </w:pPr>
            <w:r>
              <w:rPr/>
              <w:t>​</w:t>
            </w:r>
          </w:p>
        </w:tc>
        <w:tc>
          <w:tcPr>
            <w:tcW w:w="8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3,095</w:t>
            </w:r>
          </w:p>
        </w:tc>
        <w:tc>
          <w:tcPr>
            <w:tcW w:w="326" w:type="dxa"/>
            <w:tcBorders/>
            <w:shd w:fill="CCEEFF" w:val="clear"/>
            <w:vAlign w:val="center"/>
          </w:tcPr>
          <w:p>
            <w:pPr>
              <w:pStyle w:val="TableContents"/>
              <w:spacing w:lineRule="auto" w:line="285" w:before="0" w:after="0"/>
              <w:ind w:left="0" w:right="0" w:hanging="0"/>
              <w:rPr/>
            </w:pPr>
            <w:r>
              <w:rPr/>
              <w:t> </w:t>
            </w:r>
          </w:p>
        </w:tc>
        <w:tc>
          <w:tcPr>
            <w:tcW w:w="4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58" w:type="dxa"/>
            <w:tcBorders/>
            <w:shd w:fill="CCEEFF" w:val="clear"/>
            <w:vAlign w:val="center"/>
          </w:tcPr>
          <w:p>
            <w:pPr>
              <w:pStyle w:val="TableContents"/>
              <w:spacing w:lineRule="auto" w:line="285" w:before="0" w:after="0"/>
              <w:ind w:left="0" w:right="0" w:hanging="0"/>
              <w:jc w:val="center"/>
              <w:rPr/>
            </w:pPr>
            <w:r>
              <w:rPr/>
              <w:t>​</w:t>
            </w:r>
          </w:p>
        </w:tc>
      </w:tr>
      <w:tr>
        <w:trPr/>
        <w:tc>
          <w:tcPr>
            <w:tcW w:w="40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auto" w:val="clear"/>
            <w:vAlign w:val="center"/>
          </w:tcPr>
          <w:p>
            <w:pPr>
              <w:pStyle w:val="TableContents"/>
              <w:spacing w:lineRule="auto" w:line="285" w:before="0" w:after="0"/>
              <w:ind w:left="0" w:right="0" w:hanging="0"/>
              <w:rPr/>
            </w:pPr>
            <w:r>
              <w:rPr/>
              <w:t> </w:t>
            </w:r>
          </w:p>
        </w:tc>
        <w:tc>
          <w:tcPr>
            <w:tcW w:w="245" w:type="dxa"/>
            <w:tcBorders/>
            <w:shd w:fill="auto" w:val="clear"/>
            <w:vAlign w:val="center"/>
          </w:tcPr>
          <w:p>
            <w:pPr>
              <w:pStyle w:val="TableContents"/>
              <w:spacing w:lineRule="auto" w:line="285" w:before="0" w:after="0"/>
              <w:ind w:left="0" w:right="0" w:hanging="0"/>
              <w:rPr/>
            </w:pPr>
            <w:r>
              <w:rPr/>
              <w:t> </w:t>
            </w:r>
          </w:p>
        </w:tc>
        <w:tc>
          <w:tcPr>
            <w:tcW w:w="78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9,537</w:t>
            </w:r>
          </w:p>
        </w:tc>
        <w:tc>
          <w:tcPr>
            <w:tcW w:w="379" w:type="dxa"/>
            <w:tcBorders/>
            <w:shd w:fill="auto" w:val="clear"/>
            <w:vAlign w:val="center"/>
          </w:tcPr>
          <w:p>
            <w:pPr>
              <w:pStyle w:val="TableContents"/>
              <w:spacing w:lineRule="auto" w:line="285" w:before="0" w:after="0"/>
              <w:ind w:left="0" w:right="0" w:hanging="0"/>
              <w:rPr/>
            </w:pPr>
            <w:r>
              <w:rPr/>
              <w:t> </w:t>
            </w:r>
          </w:p>
        </w:tc>
        <w:tc>
          <w:tcPr>
            <w:tcW w:w="245" w:type="dxa"/>
            <w:tcBorders/>
            <w:shd w:fill="auto" w:val="clear"/>
            <w:vAlign w:val="center"/>
          </w:tcPr>
          <w:p>
            <w:pPr>
              <w:pStyle w:val="TableContents"/>
              <w:spacing w:lineRule="auto" w:line="285" w:before="0" w:after="0"/>
              <w:ind w:left="0" w:right="0" w:hanging="0"/>
              <w:jc w:val="right"/>
              <w:rPr/>
            </w:pPr>
            <w:r>
              <w:rPr/>
              <w:t>​</w:t>
            </w:r>
          </w:p>
        </w:tc>
        <w:tc>
          <w:tcPr>
            <w:tcW w:w="787"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9,772</w:t>
            </w:r>
          </w:p>
        </w:tc>
        <w:tc>
          <w:tcPr>
            <w:tcW w:w="326" w:type="dxa"/>
            <w:tcBorders/>
            <w:shd w:fill="auto" w:val="clear"/>
            <w:vAlign w:val="center"/>
          </w:tcPr>
          <w:p>
            <w:pPr>
              <w:pStyle w:val="TableContents"/>
              <w:spacing w:lineRule="auto" w:line="285" w:before="0" w:after="0"/>
              <w:ind w:left="0" w:right="0" w:hanging="0"/>
              <w:rPr/>
            </w:pPr>
            <w:r>
              <w:rPr/>
              <w:t> </w:t>
            </w:r>
          </w:p>
        </w:tc>
        <w:tc>
          <w:tcPr>
            <w:tcW w:w="267" w:type="dxa"/>
            <w:tcBorders/>
            <w:shd w:fill="auto" w:val="clear"/>
            <w:vAlign w:val="center"/>
          </w:tcPr>
          <w:p>
            <w:pPr>
              <w:pStyle w:val="TableContents"/>
              <w:spacing w:lineRule="auto" w:line="285" w:before="0" w:after="0"/>
              <w:ind w:left="0" w:right="0" w:hanging="0"/>
              <w:rPr/>
            </w:pPr>
            <w:r>
              <w:rPr/>
              <w:t>​</w:t>
            </w:r>
          </w:p>
        </w:tc>
        <w:tc>
          <w:tcPr>
            <w:tcW w:w="8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auto" w:val="clear"/>
            <w:vAlign w:val="center"/>
          </w:tcPr>
          <w:p>
            <w:pPr>
              <w:pStyle w:val="TableContents"/>
              <w:spacing w:lineRule="auto" w:line="285" w:before="0" w:after="0"/>
              <w:ind w:left="0" w:right="0" w:hanging="0"/>
              <w:rPr/>
            </w:pPr>
            <w:r>
              <w:rPr/>
              <w:t> </w:t>
            </w:r>
          </w:p>
        </w:tc>
        <w:tc>
          <w:tcPr>
            <w:tcW w:w="45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8" w:type="dxa"/>
            <w:tcBorders/>
            <w:shd w:fill="auto" w:val="clear"/>
            <w:vAlign w:val="center"/>
          </w:tcPr>
          <w:p>
            <w:pPr>
              <w:pStyle w:val="TableContents"/>
              <w:spacing w:lineRule="auto" w:line="285" w:before="0" w:after="0"/>
              <w:ind w:left="0" w:right="0" w:hanging="0"/>
              <w:jc w:val="center"/>
              <w:rPr/>
            </w:pPr>
            <w:r>
              <w:rPr/>
              <w:t>​</w:t>
            </w:r>
          </w:p>
        </w:tc>
      </w:tr>
      <w:tr>
        <w:trPr/>
        <w:tc>
          <w:tcPr>
            <w:tcW w:w="40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rPr/>
            </w:pPr>
            <w:r>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3,555</w:t>
            </w:r>
          </w:p>
        </w:tc>
        <w:tc>
          <w:tcPr>
            <w:tcW w:w="379" w:type="dxa"/>
            <w:tcBorders/>
            <w:shd w:fill="CCEEFF" w:val="clear"/>
            <w:vAlign w:val="center"/>
          </w:tcPr>
          <w:p>
            <w:pPr>
              <w:pStyle w:val="TableContents"/>
              <w:spacing w:lineRule="auto" w:line="285" w:before="0" w:after="0"/>
              <w:ind w:left="0" w:right="0" w:hanging="0"/>
              <w:rPr/>
            </w:pPr>
            <w:r>
              <w:rPr/>
              <w:t> </w:t>
            </w:r>
          </w:p>
        </w:tc>
        <w:tc>
          <w:tcPr>
            <w:tcW w:w="245" w:type="dxa"/>
            <w:tcBorders/>
            <w:shd w:fill="CCEEFF" w:val="clear"/>
            <w:vAlign w:val="center"/>
          </w:tcPr>
          <w:p>
            <w:pPr>
              <w:pStyle w:val="TableContents"/>
              <w:spacing w:lineRule="auto" w:line="285" w:before="0" w:after="0"/>
              <w:ind w:left="0" w:right="0" w:hanging="0"/>
              <w:rPr/>
            </w:pPr>
            <w:r>
              <w:rPr/>
              <w:t>​</w:t>
            </w:r>
          </w:p>
        </w:tc>
        <w:tc>
          <w:tcPr>
            <w:tcW w:w="78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26" w:type="dxa"/>
            <w:tcBorders/>
            <w:shd w:fill="CCEEFF" w:val="clear"/>
            <w:vAlign w:val="center"/>
          </w:tcPr>
          <w:p>
            <w:pPr>
              <w:pStyle w:val="TableContents"/>
              <w:spacing w:lineRule="auto" w:line="285" w:before="0" w:after="0"/>
              <w:ind w:left="0" w:right="0" w:hanging="0"/>
              <w:rPr/>
            </w:pPr>
            <w:r>
              <w:rPr/>
              <w:t> </w:t>
            </w:r>
          </w:p>
        </w:tc>
        <w:tc>
          <w:tcPr>
            <w:tcW w:w="267" w:type="dxa"/>
            <w:tcBorders/>
            <w:shd w:fill="CCEEFF" w:val="clear"/>
            <w:vAlign w:val="center"/>
          </w:tcPr>
          <w:p>
            <w:pPr>
              <w:pStyle w:val="TableContents"/>
              <w:spacing w:lineRule="auto" w:line="285" w:before="0" w:after="0"/>
              <w:ind w:left="0" w:right="0" w:hanging="0"/>
              <w:rPr/>
            </w:pPr>
            <w:r>
              <w:rPr/>
              <w:t>​</w:t>
            </w:r>
          </w:p>
        </w:tc>
        <w:tc>
          <w:tcPr>
            <w:tcW w:w="8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shd w:fill="CCEEFF" w:val="clear"/>
            <w:vAlign w:val="center"/>
          </w:tcPr>
          <w:p>
            <w:pPr>
              <w:pStyle w:val="TableContents"/>
              <w:spacing w:lineRule="auto" w:line="285" w:before="0" w:after="0"/>
              <w:ind w:left="0" w:right="0" w:hanging="0"/>
              <w:rPr/>
            </w:pPr>
            <w:r>
              <w:rPr/>
              <w:t> </w:t>
            </w:r>
          </w:p>
        </w:tc>
        <w:tc>
          <w:tcPr>
            <w:tcW w:w="458"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58" w:type="dxa"/>
            <w:tcBorders/>
            <w:shd w:fill="CCEEFF" w:val="clear"/>
            <w:vAlign w:val="center"/>
          </w:tcPr>
          <w:p>
            <w:pPr>
              <w:pStyle w:val="TableContents"/>
              <w:spacing w:lineRule="auto" w:line="285" w:before="0" w:after="0"/>
              <w:ind w:left="0" w:right="0" w:hanging="0"/>
              <w:jc w:val="center"/>
              <w:rPr/>
            </w:pPr>
            <w:r>
              <w:rPr/>
              <w:t>​</w:t>
            </w:r>
          </w:p>
        </w:tc>
      </w:tr>
      <w:tr>
        <w:trPr/>
        <w:tc>
          <w:tcPr>
            <w:tcW w:w="40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lineRule="auto" w:line="285" w:before="0" w:after="0"/>
              <w:ind w:left="0" w:right="0" w:hanging="0"/>
              <w:rPr/>
            </w:pPr>
            <w:r>
              <w:rPr/>
              <w:t> </w:t>
            </w:r>
          </w:p>
        </w:tc>
        <w:tc>
          <w:tcPr>
            <w:tcW w:w="245"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4,231</w:t>
            </w:r>
          </w:p>
        </w:tc>
        <w:tc>
          <w:tcPr>
            <w:tcW w:w="379" w:type="dxa"/>
            <w:tcBorders/>
            <w:shd w:fill="auto" w:val="clear"/>
            <w:vAlign w:val="center"/>
          </w:tcPr>
          <w:p>
            <w:pPr>
              <w:pStyle w:val="TableContents"/>
              <w:spacing w:lineRule="auto" w:line="285" w:before="0" w:after="0"/>
              <w:ind w:left="0" w:right="0" w:hanging="0"/>
              <w:rPr/>
            </w:pPr>
            <w:r>
              <w:rPr/>
              <w:t> </w:t>
            </w:r>
          </w:p>
        </w:tc>
        <w:tc>
          <w:tcPr>
            <w:tcW w:w="24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787"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26" w:type="dxa"/>
            <w:tcBorders/>
            <w:shd w:fill="auto" w:val="clear"/>
            <w:vAlign w:val="center"/>
          </w:tcPr>
          <w:p>
            <w:pPr>
              <w:pStyle w:val="TableContents"/>
              <w:spacing w:lineRule="auto" w:line="285" w:before="0" w:after="0"/>
              <w:ind w:left="0" w:right="0" w:hanging="0"/>
              <w:rPr/>
            </w:pPr>
            <w:r>
              <w:rPr/>
              <w:t> </w:t>
            </w:r>
          </w:p>
        </w:tc>
        <w:tc>
          <w:tcPr>
            <w:tcW w:w="267"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8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26" w:type="dxa"/>
            <w:tcBorders/>
            <w:shd w:fill="auto" w:val="clear"/>
            <w:vAlign w:val="center"/>
          </w:tcPr>
          <w:p>
            <w:pPr>
              <w:pStyle w:val="TableContents"/>
              <w:spacing w:lineRule="auto" w:line="285" w:before="0" w:after="0"/>
              <w:ind w:left="0" w:right="0" w:hanging="0"/>
              <w:rPr/>
            </w:pPr>
            <w:r>
              <w:rPr/>
              <w:t> </w:t>
            </w:r>
          </w:p>
        </w:tc>
        <w:tc>
          <w:tcPr>
            <w:tcW w:w="4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5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402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spacing w:lineRule="auto" w:line="285" w:before="0" w:after="0"/>
              <w:ind w:left="0" w:right="0" w:hanging="0"/>
              <w:rPr/>
            </w:pPr>
            <w:r>
              <w:rPr/>
              <w:t> </w:t>
            </w:r>
          </w:p>
        </w:tc>
        <w:tc>
          <w:tcPr>
            <w:tcW w:w="24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70,950</w:t>
            </w:r>
          </w:p>
        </w:tc>
        <w:tc>
          <w:tcPr>
            <w:tcW w:w="379" w:type="dxa"/>
            <w:tcBorders/>
            <w:shd w:fill="CCEEFF" w:val="clear"/>
            <w:vAlign w:val="center"/>
          </w:tcPr>
          <w:p>
            <w:pPr>
              <w:pStyle w:val="TableContents"/>
              <w:spacing w:lineRule="auto" w:line="285" w:before="0" w:after="0"/>
              <w:ind w:left="0" w:right="0" w:hanging="0"/>
              <w:rPr/>
            </w:pPr>
            <w:r>
              <w:rPr/>
              <w:t> </w:t>
            </w:r>
          </w:p>
        </w:tc>
        <w:tc>
          <w:tcPr>
            <w:tcW w:w="24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57,058</w:t>
            </w:r>
          </w:p>
        </w:tc>
        <w:tc>
          <w:tcPr>
            <w:tcW w:w="326" w:type="dxa"/>
            <w:tcBorders/>
            <w:shd w:fill="CCEEFF" w:val="clear"/>
            <w:vAlign w:val="center"/>
          </w:tcPr>
          <w:p>
            <w:pPr>
              <w:pStyle w:val="TableContents"/>
              <w:spacing w:lineRule="auto" w:line="285" w:before="0" w:after="0"/>
              <w:ind w:left="0" w:right="0" w:hanging="0"/>
              <w:rPr/>
            </w:pPr>
            <w:r>
              <w:rPr/>
              <w:t> </w:t>
            </w:r>
          </w:p>
        </w:tc>
        <w:tc>
          <w:tcPr>
            <w:tcW w:w="267"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13,892</w:t>
            </w:r>
          </w:p>
        </w:tc>
        <w:tc>
          <w:tcPr>
            <w:tcW w:w="326" w:type="dxa"/>
            <w:tcBorders/>
            <w:shd w:fill="CCEEFF" w:val="clear"/>
            <w:vAlign w:val="center"/>
          </w:tcPr>
          <w:p>
            <w:pPr>
              <w:pStyle w:val="TableContents"/>
              <w:spacing w:lineRule="auto" w:line="285" w:before="0" w:after="0"/>
              <w:ind w:left="0" w:right="0" w:hanging="0"/>
              <w:rPr/>
            </w:pPr>
            <w:r>
              <w:rPr/>
              <w:t> </w:t>
            </w:r>
          </w:p>
        </w:tc>
        <w:tc>
          <w:tcPr>
            <w:tcW w:w="4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58"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Selling, general and administrative expense increased for the three months ended March 31, 2023 as compared to the three months ended March 31, 2022 primarily due to: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$9.7 million in compensation and related costs driven by increased headcount to support our commercial activities related to AYVAKIT/AYVAKYT.</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$3.1 million in commercial and related activities primarily related to the expansion of our commercial infrastructure for commercialization of AYVAKIT/AYVAKYT.</w:t>
            </w:r>
          </w:p>
        </w:tc>
      </w:tr>
    </w:tbl>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Interest Income (Expense), Net</w:t>
      </w:r>
    </w:p>
    <w:tbl>
      <w:tblPr>
        <w:tblW w:w="8135" w:type="dxa"/>
        <w:jc w:val="left"/>
        <w:tblInd w:w="0" w:type="dxa"/>
        <w:tblCellMar>
          <w:top w:w="0" w:type="dxa"/>
          <w:left w:w="0" w:type="dxa"/>
          <w:bottom w:w="0" w:type="dxa"/>
          <w:right w:w="0" w:type="dxa"/>
        </w:tblCellMar>
      </w:tblPr>
      <w:tblGrid>
        <w:gridCol w:w="2536"/>
        <w:gridCol w:w="326"/>
        <w:gridCol w:w="262"/>
        <w:gridCol w:w="990"/>
        <w:gridCol w:w="405"/>
        <w:gridCol w:w="262"/>
        <w:gridCol w:w="524"/>
        <w:gridCol w:w="326"/>
        <w:gridCol w:w="260"/>
        <w:gridCol w:w="911"/>
        <w:gridCol w:w="326"/>
        <w:gridCol w:w="691"/>
        <w:gridCol w:w="316"/>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610360" cy="175260"/>
                      <wp:effectExtent l="0" t="0" r="0" b="0"/>
                      <wp:wrapNone/>
                      <wp:docPr id="421" name="Frame421"/>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66370" cy="175260"/>
                      <wp:effectExtent l="0" t="0" r="0" b="0"/>
                      <wp:wrapNone/>
                      <wp:docPr id="423" name="Frame423"/>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28650" cy="175260"/>
                      <wp:effectExtent l="0" t="0" r="0" b="0"/>
                      <wp:wrapNone/>
                      <wp:docPr id="424" name="Frame424"/>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57175" cy="175260"/>
                      <wp:effectExtent l="0" t="0" r="0" b="0"/>
                      <wp:wrapNone/>
                      <wp:docPr id="425" name="Frame425"/>
                      <a:graphic xmlns:a="http://schemas.openxmlformats.org/drawingml/2006/main">
                        <a:graphicData uri="http://schemas.microsoft.com/office/word/2010/wordprocessingShape">
                          <wps:wsp>
                            <wps:cNvSpPr txBox="1"/>
                            <wps:spPr>
                              <a:xfrm>
                                <a:off x="0" y="0"/>
                                <a:ext cx="2571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66370" cy="175260"/>
                      <wp:effectExtent l="0" t="0" r="0" b="0"/>
                      <wp:wrapNone/>
                      <wp:docPr id="426" name="Frame426"/>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32740" cy="175260"/>
                      <wp:effectExtent l="0" t="0" r="0" b="0"/>
                      <wp:wrapNone/>
                      <wp:docPr id="427" name="Frame427"/>
                      <a:graphic xmlns:a="http://schemas.openxmlformats.org/drawingml/2006/main">
                        <a:graphicData uri="http://schemas.microsoft.com/office/word/2010/wordprocessingShape">
                          <wps:wsp>
                            <wps:cNvSpPr txBox="1"/>
                            <wps:spPr>
                              <a:xfrm>
                                <a:off x="0" y="0"/>
                                <a:ext cx="3327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65100" cy="175260"/>
                      <wp:effectExtent l="0" t="0" r="0" b="0"/>
                      <wp:wrapNone/>
                      <wp:docPr id="429" name="Frame429"/>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78485" cy="175260"/>
                      <wp:effectExtent l="0" t="0" r="0" b="0"/>
                      <wp:wrapNone/>
                      <wp:docPr id="430" name="Frame430"/>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38785" cy="175260"/>
                      <wp:effectExtent l="0" t="0" r="0" b="0"/>
                      <wp:wrapNone/>
                      <wp:docPr id="432" name="Frame43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0660" cy="175260"/>
                      <wp:effectExtent l="0" t="0" r="0" b="0"/>
                      <wp:wrapNone/>
                      <wp:docPr id="433" name="Frame43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260" w:type="dxa"/>
            <w:tcBorders/>
            <w:shd w:fill="auto" w:val="clear"/>
            <w:vAlign w:val="center"/>
          </w:tcPr>
          <w:p>
            <w:pPr>
              <w:pStyle w:val="TableContents"/>
              <w:spacing w:lineRule="auto" w:line="285" w:before="0" w:after="0"/>
              <w:ind w:left="0" w:right="0" w:hanging="0"/>
              <w:rPr/>
            </w:pPr>
            <w:r>
              <w:rPr/>
              <w:t>​</w:t>
            </w:r>
          </w:p>
        </w:tc>
        <w:tc>
          <w:tcPr>
            <w:tcW w:w="91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691" w:type="dxa"/>
            <w:tcBorders/>
            <w:shd w:fill="auto" w:val="clear"/>
            <w:vAlign w:val="center"/>
          </w:tcPr>
          <w:p>
            <w:pPr>
              <w:pStyle w:val="TableContents"/>
              <w:spacing w:lineRule="auto" w:line="285" w:before="0" w:after="0"/>
              <w:ind w:left="0" w:right="0" w:hanging="0"/>
              <w:rPr/>
            </w:pPr>
            <w:r>
              <w:rPr/>
              <w:t>​</w:t>
            </w:r>
          </w:p>
        </w:tc>
        <w:tc>
          <w:tcPr>
            <w:tcW w:w="316" w:type="dxa"/>
            <w:tcBorders/>
            <w:shd w:fill="auto" w:val="clear"/>
            <w:vAlign w:val="center"/>
          </w:tcPr>
          <w:p>
            <w:pPr>
              <w:pStyle w:val="TableContents"/>
              <w:spacing w:lineRule="auto" w:line="285" w:before="0" w:after="0"/>
              <w:ind w:left="0" w:right="0" w:hanging="0"/>
              <w:rPr/>
            </w:pPr>
            <w:r>
              <w:rPr/>
              <w:t>​</w:t>
            </w:r>
          </w:p>
        </w:tc>
      </w:tr>
      <w:tr>
        <w:trPr/>
        <w:tc>
          <w:tcPr>
            <w:tcW w:w="253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125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5" w:type="dxa"/>
            <w:tcBorders/>
            <w:shd w:fill="auto" w:val="clear"/>
            <w:vAlign w:val="center"/>
          </w:tcPr>
          <w:p>
            <w:pPr>
              <w:pStyle w:val="TableContents"/>
              <w:spacing w:lineRule="auto" w:line="285" w:before="0" w:after="0"/>
              <w:ind w:left="0" w:right="0" w:hanging="0"/>
              <w:jc w:val="center"/>
              <w:rPr/>
            </w:pPr>
            <w:r>
              <w:rPr/>
              <w:t>    </w:t>
            </w:r>
          </w:p>
        </w:tc>
        <w:tc>
          <w:tcPr>
            <w:tcW w:w="78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5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lineRule="auto" w:line="285" w:before="0" w:after="0"/>
              <w:ind w:left="0" w:right="0" w:hanging="0"/>
              <w:rPr/>
            </w:pPr>
            <w:r>
              <w:rPr/>
              <w:t> </w:t>
            </w:r>
          </w:p>
        </w:tc>
        <w:tc>
          <w:tcPr>
            <w:tcW w:w="26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5,900</w:t>
            </w:r>
          </w:p>
        </w:tc>
        <w:tc>
          <w:tcPr>
            <w:tcW w:w="405" w:type="dxa"/>
            <w:tcBorders/>
            <w:shd w:fill="CCEEFF" w:val="clear"/>
            <w:vAlign w:val="center"/>
          </w:tcPr>
          <w:p>
            <w:pPr>
              <w:pStyle w:val="TableContents"/>
              <w:spacing w:lineRule="auto" w:line="285" w:before="0" w:after="0"/>
              <w:ind w:left="0" w:right="0" w:hanging="0"/>
              <w:rPr/>
            </w:pPr>
            <w:r>
              <w:rPr/>
              <w:t> </w:t>
            </w:r>
          </w:p>
        </w:tc>
        <w:tc>
          <w:tcPr>
            <w:tcW w:w="262"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24"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spacing w:lineRule="auto" w:line="285" w:before="0" w:after="0"/>
              <w:ind w:left="0" w:right="0" w:hanging="0"/>
              <w:rPr/>
            </w:pPr>
            <w:r>
              <w:rPr/>
              <w:t> </w:t>
            </w:r>
          </w:p>
        </w:tc>
        <w:tc>
          <w:tcPr>
            <w:tcW w:w="260"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5,458</w:t>
            </w:r>
          </w:p>
        </w:tc>
        <w:tc>
          <w:tcPr>
            <w:tcW w:w="326" w:type="dxa"/>
            <w:tcBorders/>
            <w:shd w:fill="CCEEFF" w:val="clear"/>
            <w:vAlign w:val="center"/>
          </w:tcPr>
          <w:p>
            <w:pPr>
              <w:pStyle w:val="TableContents"/>
              <w:spacing w:lineRule="auto" w:line="285" w:before="0" w:after="0"/>
              <w:ind w:left="0" w:right="0" w:hanging="0"/>
              <w:rPr/>
            </w:pPr>
            <w:r>
              <w:rPr/>
              <w:t> </w:t>
            </w:r>
          </w:p>
        </w:tc>
        <w:tc>
          <w:tcPr>
            <w:tcW w:w="6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16"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5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lineRule="auto" w:line="285" w:before="0" w:after="0"/>
              <w:ind w:left="0" w:right="0" w:hanging="0"/>
              <w:rPr/>
            </w:pPr>
            <w:r>
              <w:rPr/>
              <w:t> </w:t>
            </w:r>
          </w:p>
        </w:tc>
        <w:tc>
          <w:tcPr>
            <w:tcW w:w="262"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90"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(11,719)</w:t>
            </w:r>
          </w:p>
        </w:tc>
        <w:tc>
          <w:tcPr>
            <w:tcW w:w="405" w:type="dxa"/>
            <w:tcBorders/>
            <w:shd w:fill="auto" w:val="clear"/>
            <w:vAlign w:val="center"/>
          </w:tcPr>
          <w:p>
            <w:pPr>
              <w:pStyle w:val="TableContents"/>
              <w:spacing w:lineRule="auto" w:line="285" w:before="0" w:after="0"/>
              <w:ind w:left="0" w:right="0" w:hanging="0"/>
              <w:rPr/>
            </w:pPr>
            <w:r>
              <w:rPr/>
              <w:t> </w:t>
            </w:r>
          </w:p>
        </w:tc>
        <w:tc>
          <w:tcPr>
            <w:tcW w:w="262"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524"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pPr>
            <w:r>
              <w:rPr/>
              <w:t>​</w:t>
            </w:r>
          </w:p>
        </w:tc>
        <w:tc>
          <w:tcPr>
            <w:tcW w:w="91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(11,719)</w:t>
            </w:r>
          </w:p>
        </w:tc>
        <w:tc>
          <w:tcPr>
            <w:tcW w:w="326" w:type="dxa"/>
            <w:tcBorders/>
            <w:shd w:fill="auto" w:val="clear"/>
            <w:vAlign w:val="center"/>
          </w:tcPr>
          <w:p>
            <w:pPr>
              <w:pStyle w:val="TableContents"/>
              <w:spacing w:lineRule="auto" w:line="285"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pPr>
            <w:r>
              <w:rPr/>
              <w:t>​</w:t>
            </w:r>
          </w:p>
        </w:tc>
      </w:tr>
      <w:tr>
        <w:trPr/>
        <w:tc>
          <w:tcPr>
            <w:tcW w:w="253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spacing w:lineRule="auto" w:line="285" w:before="0" w:after="0"/>
              <w:ind w:left="0" w:right="0" w:hanging="0"/>
              <w:rPr/>
            </w:pPr>
            <w:r>
              <w:rPr/>
              <w:t> </w:t>
            </w:r>
          </w:p>
        </w:tc>
        <w:tc>
          <w:tcPr>
            <w:tcW w:w="26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405" w:type="dxa"/>
            <w:tcBorders/>
            <w:shd w:fill="CCEEFF" w:val="clear"/>
            <w:vAlign w:val="center"/>
          </w:tcPr>
          <w:p>
            <w:pPr>
              <w:pStyle w:val="TableContents"/>
              <w:spacing w:lineRule="auto" w:line="285" w:before="0" w:after="0"/>
              <w:ind w:left="0" w:right="0" w:hanging="0"/>
              <w:rPr/>
            </w:pPr>
            <w:r>
              <w:rPr/>
              <w:t> </w:t>
            </w:r>
          </w:p>
        </w:tc>
        <w:tc>
          <w:tcPr>
            <w:tcW w:w="262"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524"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spacing w:lineRule="auto" w:line="285" w:before="0" w:after="0"/>
              <w:ind w:left="0" w:right="0" w:hanging="0"/>
              <w:rPr/>
            </w:pPr>
            <w:r>
              <w:rPr/>
              <w:t> </w:t>
            </w:r>
          </w:p>
        </w:tc>
        <w:tc>
          <w:tcPr>
            <w:tcW w:w="260" w:type="dxa"/>
            <w:tcBorders>
              <w:bottom w:val="double" w:sz="6" w:space="0" w:color="000000"/>
            </w:tcBorders>
            <w:shd w:fill="CCEEFF"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(6,261)</w:t>
            </w:r>
          </w:p>
        </w:tc>
        <w:tc>
          <w:tcPr>
            <w:tcW w:w="326" w:type="dxa"/>
            <w:tcBorders/>
            <w:shd w:fill="CCEEFF" w:val="clear"/>
            <w:vAlign w:val="center"/>
          </w:tcPr>
          <w:p>
            <w:pPr>
              <w:pStyle w:val="TableContents"/>
              <w:spacing w:lineRule="auto" w:line="285"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31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Interest expense, net, increased for the three months ended March 31, 2023 as compared to the three months ended March 31, 2022 primarily due to the interest charges on the liability related to the sale of future revenues and the term loan with Sixth Street Partners. The increase in interest expense was partially offset by higher interest income earned on the Company’s investments during the three months ended March 31, 2023 as compared to the three months ended March 31, 2022.</w:t>
      </w:r>
    </w:p>
    <w:p>
      <w:pPr>
        <w:pStyle w:val="TextBody"/>
        <w:spacing w:lineRule="auto" w:line="285" w:before="240" w:after="240"/>
        <w:ind w:left="0" w:right="0" w:hanging="0"/>
        <w:rPr>
          <w:rFonts w:ascii="Times New Roman;Times;serif" w:hAnsi="Times New Roman;Times;serif"/>
          <w:i/>
          <w:sz w:val="20"/>
        </w:rPr>
      </w:pPr>
      <w:r>
        <w:rPr>
          <w:rFonts w:ascii="Times New Roman;Times;serif" w:hAnsi="Times New Roman;Times;serif"/>
          <w:i/>
          <w:sz w:val="20"/>
        </w:rPr>
        <w:t>Other Income (Expense), Net</w:t>
      </w:r>
    </w:p>
    <w:tbl>
      <w:tblPr>
        <w:tblW w:w="7894" w:type="dxa"/>
        <w:jc w:val="left"/>
        <w:tblInd w:w="0" w:type="dxa"/>
        <w:tblCellMar>
          <w:top w:w="0" w:type="dxa"/>
          <w:left w:w="0" w:type="dxa"/>
          <w:bottom w:w="0" w:type="dxa"/>
          <w:right w:w="0" w:type="dxa"/>
        </w:tblCellMar>
      </w:tblPr>
      <w:tblGrid>
        <w:gridCol w:w="2386"/>
        <w:gridCol w:w="326"/>
        <w:gridCol w:w="301"/>
        <w:gridCol w:w="602"/>
        <w:gridCol w:w="466"/>
        <w:gridCol w:w="301"/>
        <w:gridCol w:w="773"/>
        <w:gridCol w:w="326"/>
        <w:gridCol w:w="315"/>
        <w:gridCol w:w="856"/>
        <w:gridCol w:w="326"/>
        <w:gridCol w:w="552"/>
        <w:gridCol w:w="364"/>
      </w:tblGrid>
      <w:tr>
        <w:trPr/>
        <w:tc>
          <w:tcPr>
            <w:tcW w:w="2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515110" cy="175260"/>
                      <wp:effectExtent l="0" t="0" r="0" b="0"/>
                      <wp:wrapNone/>
                      <wp:docPr id="434" name="Frame434"/>
                      <a:graphic xmlns:a="http://schemas.openxmlformats.org/drawingml/2006/main">
                        <a:graphicData uri="http://schemas.microsoft.com/office/word/2010/wordprocessingShape">
                          <wps:wsp>
                            <wps:cNvSpPr txBox="1"/>
                            <wps:spPr>
                              <a:xfrm>
                                <a:off x="0" y="0"/>
                                <a:ext cx="1515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91135" cy="175260"/>
                      <wp:effectExtent l="0" t="0" r="0" b="0"/>
                      <wp:wrapNone/>
                      <wp:docPr id="436" name="Frame436"/>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82270" cy="175260"/>
                      <wp:effectExtent l="0" t="0" r="0" b="0"/>
                      <wp:wrapNone/>
                      <wp:docPr id="437" name="Frame437"/>
                      <a:graphic xmlns:a="http://schemas.openxmlformats.org/drawingml/2006/main">
                        <a:graphicData uri="http://schemas.microsoft.com/office/word/2010/wordprocessingShape">
                          <wps:wsp>
                            <wps:cNvSpPr txBox="1"/>
                            <wps:spPr>
                              <a:xfrm>
                                <a:off x="0" y="0"/>
                                <a:ext cx="3822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95910" cy="175260"/>
                      <wp:effectExtent l="0" t="0" r="0" b="0"/>
                      <wp:wrapNone/>
                      <wp:docPr id="438" name="Frame43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91135" cy="175260"/>
                      <wp:effectExtent l="0" t="0" r="0" b="0"/>
                      <wp:wrapNone/>
                      <wp:docPr id="439" name="Frame439"/>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90855" cy="175260"/>
                      <wp:effectExtent l="0" t="0" r="0" b="0"/>
                      <wp:wrapNone/>
                      <wp:docPr id="440" name="Frame440"/>
                      <a:graphic xmlns:a="http://schemas.openxmlformats.org/drawingml/2006/main">
                        <a:graphicData uri="http://schemas.microsoft.com/office/word/2010/wordprocessingShape">
                          <wps:wsp>
                            <wps:cNvSpPr txBox="1"/>
                            <wps:spPr>
                              <a:xfrm>
                                <a:off x="0" y="0"/>
                                <a:ext cx="4908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0025" cy="175260"/>
                      <wp:effectExtent l="0" t="0" r="0" b="0"/>
                      <wp:wrapNone/>
                      <wp:docPr id="442" name="Frame442"/>
                      <a:graphic xmlns:a="http://schemas.openxmlformats.org/drawingml/2006/main">
                        <a:graphicData uri="http://schemas.microsoft.com/office/word/2010/wordprocessingShape">
                          <wps:wsp>
                            <wps:cNvSpPr txBox="1"/>
                            <wps:spPr>
                              <a:xfrm>
                                <a:off x="0" y="0"/>
                                <a:ext cx="20002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43560" cy="175260"/>
                      <wp:effectExtent l="0" t="0" r="0" b="0"/>
                      <wp:wrapNone/>
                      <wp:docPr id="443" name="Frame44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50520" cy="175260"/>
                      <wp:effectExtent l="0" t="0" r="0" b="0"/>
                      <wp:wrapNone/>
                      <wp:docPr id="445" name="Frame445"/>
                      <a:graphic xmlns:a="http://schemas.openxmlformats.org/drawingml/2006/main">
                        <a:graphicData uri="http://schemas.microsoft.com/office/word/2010/wordprocessingShape">
                          <wps:wsp>
                            <wps:cNvSpPr txBox="1"/>
                            <wps:spPr>
                              <a:xfrm>
                                <a:off x="0" y="0"/>
                                <a:ext cx="3505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31140" cy="175260"/>
                      <wp:effectExtent l="0" t="0" r="0" b="0"/>
                      <wp:wrapNone/>
                      <wp:docPr id="446" name="Frame446"/>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3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315" w:type="dxa"/>
            <w:tcBorders/>
            <w:shd w:fill="auto" w:val="clear"/>
            <w:vAlign w:val="center"/>
          </w:tcPr>
          <w:p>
            <w:pPr>
              <w:pStyle w:val="TableContents"/>
              <w:spacing w:lineRule="auto" w:line="285" w:before="0" w:after="0"/>
              <w:ind w:left="0" w:right="0" w:hanging="0"/>
              <w:rPr/>
            </w:pPr>
            <w:r>
              <w:rPr/>
              <w:t>​</w:t>
            </w:r>
          </w:p>
        </w:tc>
        <w:tc>
          <w:tcPr>
            <w:tcW w:w="85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552" w:type="dxa"/>
            <w:tcBorders/>
            <w:shd w:fill="auto" w:val="clear"/>
            <w:vAlign w:val="center"/>
          </w:tcPr>
          <w:p>
            <w:pPr>
              <w:pStyle w:val="TableContents"/>
              <w:spacing w:lineRule="auto" w:line="285" w:before="0" w:after="0"/>
              <w:ind w:left="0" w:right="0" w:hanging="0"/>
              <w:rPr/>
            </w:pPr>
            <w:r>
              <w:rPr/>
              <w:t>​</w:t>
            </w:r>
          </w:p>
        </w:tc>
        <w:tc>
          <w:tcPr>
            <w:tcW w:w="364" w:type="dxa"/>
            <w:tcBorders/>
            <w:shd w:fill="auto" w:val="clear"/>
            <w:vAlign w:val="center"/>
          </w:tcPr>
          <w:p>
            <w:pPr>
              <w:pStyle w:val="TableContents"/>
              <w:spacing w:lineRule="auto" w:line="285" w:before="0" w:after="0"/>
              <w:ind w:left="0" w:right="0" w:hanging="0"/>
              <w:rPr/>
            </w:pPr>
            <w:r>
              <w:rPr/>
              <w:t>​</w:t>
            </w:r>
          </w:p>
        </w:tc>
      </w:tr>
      <w:tr>
        <w:trPr/>
        <w:tc>
          <w:tcPr>
            <w:tcW w:w="23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903"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6" w:type="dxa"/>
            <w:tcBorders/>
            <w:shd w:fill="auto" w:val="clear"/>
            <w:vAlign w:val="center"/>
          </w:tcPr>
          <w:p>
            <w:pPr>
              <w:pStyle w:val="TableContents"/>
              <w:spacing w:lineRule="auto" w:line="285" w:before="0" w:after="0"/>
              <w:ind w:left="0" w:right="0" w:hanging="0"/>
              <w:jc w:val="center"/>
              <w:rPr/>
            </w:pPr>
            <w:r>
              <w:rPr/>
              <w:t>    </w:t>
            </w:r>
          </w:p>
        </w:tc>
        <w:tc>
          <w:tcPr>
            <w:tcW w:w="1074"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3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lineRule="auto" w:line="285" w:before="0" w:after="0"/>
              <w:ind w:left="0" w:right="0" w:hanging="0"/>
              <w:rPr/>
            </w:pPr>
            <w:r>
              <w:rPr/>
              <w:t> </w:t>
            </w:r>
          </w:p>
        </w:tc>
        <w:tc>
          <w:tcPr>
            <w:tcW w:w="30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466" w:type="dxa"/>
            <w:tcBorders/>
            <w:shd w:fill="CCEEFF" w:val="clear"/>
            <w:vAlign w:val="center"/>
          </w:tcPr>
          <w:p>
            <w:pPr>
              <w:pStyle w:val="TableContents"/>
              <w:spacing w:lineRule="auto" w:line="285" w:before="0" w:after="0"/>
              <w:ind w:left="0" w:right="0" w:hanging="0"/>
              <w:rPr/>
            </w:pPr>
            <w:r>
              <w:rPr/>
              <w:t> </w:t>
            </w:r>
          </w:p>
        </w:tc>
        <w:tc>
          <w:tcPr>
            <w:tcW w:w="30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spacing w:lineRule="auto" w:line="285" w:before="0" w:after="0"/>
              <w:ind w:left="0" w:right="0" w:hanging="0"/>
              <w:rPr/>
            </w:pPr>
            <w:r>
              <w:rPr/>
              <w:t> </w:t>
            </w:r>
          </w:p>
        </w:tc>
        <w:tc>
          <w:tcPr>
            <w:tcW w:w="315"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326" w:type="dxa"/>
            <w:tcBorders/>
            <w:shd w:fill="CCEEFF" w:val="clear"/>
            <w:vAlign w:val="center"/>
          </w:tcPr>
          <w:p>
            <w:pPr>
              <w:pStyle w:val="TableContents"/>
              <w:spacing w:lineRule="auto" w:line="285" w:before="0" w:after="0"/>
              <w:ind w:left="0" w:right="0" w:hanging="0"/>
              <w:rPr/>
            </w:pPr>
            <w:r>
              <w:rPr/>
              <w:t> </w:t>
            </w:r>
          </w:p>
        </w:tc>
        <w:tc>
          <w:tcPr>
            <w:tcW w:w="55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64"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Other income, net, increased for the three months ended March 31, 2023 as compared to the three months ended March 31, 2022 primarily due to the transfer of our pre-launch inventory to a third party.</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Income Tax Expense</w:t>
      </w:r>
    </w:p>
    <w:tbl>
      <w:tblPr>
        <w:tblW w:w="7234" w:type="dxa"/>
        <w:jc w:val="left"/>
        <w:tblInd w:w="0" w:type="dxa"/>
        <w:tblCellMar>
          <w:top w:w="0" w:type="dxa"/>
          <w:left w:w="0" w:type="dxa"/>
          <w:bottom w:w="0" w:type="dxa"/>
          <w:right w:w="0" w:type="dxa"/>
        </w:tblCellMar>
      </w:tblPr>
      <w:tblGrid>
        <w:gridCol w:w="1726"/>
        <w:gridCol w:w="326"/>
        <w:gridCol w:w="324"/>
        <w:gridCol w:w="647"/>
        <w:gridCol w:w="501"/>
        <w:gridCol w:w="324"/>
        <w:gridCol w:w="647"/>
        <w:gridCol w:w="326"/>
        <w:gridCol w:w="390"/>
        <w:gridCol w:w="781"/>
        <w:gridCol w:w="326"/>
        <w:gridCol w:w="523"/>
        <w:gridCol w:w="393"/>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096010" cy="175260"/>
                      <wp:effectExtent l="0" t="0" r="0" b="0"/>
                      <wp:wrapNone/>
                      <wp:docPr id="447" name="Frame447"/>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5740" cy="175260"/>
                      <wp:effectExtent l="0" t="0" r="0" b="0"/>
                      <wp:wrapNone/>
                      <wp:docPr id="449" name="Frame449"/>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10845" cy="175260"/>
                      <wp:effectExtent l="0" t="0" r="0" b="0"/>
                      <wp:wrapNone/>
                      <wp:docPr id="450" name="Frame450"/>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18135" cy="175260"/>
                      <wp:effectExtent l="0" t="0" r="0" b="0"/>
                      <wp:wrapNone/>
                      <wp:docPr id="451" name="Frame451"/>
                      <a:graphic xmlns:a="http://schemas.openxmlformats.org/drawingml/2006/main">
                        <a:graphicData uri="http://schemas.microsoft.com/office/word/2010/wordprocessingShape">
                          <wps:wsp>
                            <wps:cNvSpPr txBox="1"/>
                            <wps:spPr>
                              <a:xfrm>
                                <a:off x="0" y="0"/>
                                <a:ext cx="318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5740" cy="175260"/>
                      <wp:effectExtent l="0" t="0" r="0" b="0"/>
                      <wp:wrapNone/>
                      <wp:docPr id="452" name="Frame452"/>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10845" cy="175260"/>
                      <wp:effectExtent l="0" t="0" r="0" b="0"/>
                      <wp:wrapNone/>
                      <wp:docPr id="453" name="Frame453"/>
                      <a:graphic xmlns:a="http://schemas.openxmlformats.org/drawingml/2006/main">
                        <a:graphicData uri="http://schemas.microsoft.com/office/word/2010/wordprocessingShape">
                          <wps:wsp>
                            <wps:cNvSpPr txBox="1"/>
                            <wps:spPr>
                              <a:xfrm>
                                <a:off x="0" y="0"/>
                                <a:ext cx="4108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47650" cy="175260"/>
                      <wp:effectExtent l="0" t="0" r="0" b="0"/>
                      <wp:wrapNone/>
                      <wp:docPr id="455" name="Frame455"/>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95935" cy="175260"/>
                      <wp:effectExtent l="0" t="0" r="0" b="0"/>
                      <wp:wrapNone/>
                      <wp:docPr id="456" name="Frame45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32105" cy="175260"/>
                      <wp:effectExtent l="0" t="0" r="0" b="0"/>
                      <wp:wrapNone/>
                      <wp:docPr id="458" name="Frame458"/>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49555" cy="175260"/>
                      <wp:effectExtent l="0" t="0" r="0" b="0"/>
                      <wp:wrapNone/>
                      <wp:docPr id="459" name="Frame459"/>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shd w:fill="auto" w:val="clear"/>
            <w:vAlign w:val="center"/>
          </w:tcPr>
          <w:p>
            <w:pPr>
              <w:pStyle w:val="TableContents"/>
              <w:spacing w:lineRule="auto" w:line="285" w:before="0" w:after="0"/>
              <w:ind w:left="0" w:right="0" w:hanging="0"/>
              <w:rPr/>
            </w:pPr>
            <w:r>
              <w:rPr/>
              <w:t>​</w:t>
            </w:r>
          </w:p>
        </w:tc>
        <w:tc>
          <w:tcPr>
            <w:tcW w:w="390" w:type="dxa"/>
            <w:tcBorders/>
            <w:shd w:fill="auto" w:val="clear"/>
            <w:vAlign w:val="center"/>
          </w:tcPr>
          <w:p>
            <w:pPr>
              <w:pStyle w:val="TableContents"/>
              <w:spacing w:lineRule="auto" w:line="285" w:before="0" w:after="0"/>
              <w:ind w:left="0" w:right="0" w:hanging="0"/>
              <w:rPr/>
            </w:pPr>
            <w:r>
              <w:rPr/>
              <w:t>​</w:t>
            </w:r>
          </w:p>
        </w:tc>
        <w:tc>
          <w:tcPr>
            <w:tcW w:w="78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523" w:type="dxa"/>
            <w:tcBorders/>
            <w:shd w:fill="auto" w:val="clear"/>
            <w:vAlign w:val="center"/>
          </w:tcPr>
          <w:p>
            <w:pPr>
              <w:pStyle w:val="TableContents"/>
              <w:spacing w:lineRule="auto" w:line="285" w:before="0" w:after="0"/>
              <w:ind w:left="0" w:right="0" w:hanging="0"/>
              <w:rPr/>
            </w:pPr>
            <w:r>
              <w:rPr/>
              <w:t>​</w:t>
            </w:r>
          </w:p>
        </w:tc>
        <w:tc>
          <w:tcPr>
            <w:tcW w:w="393" w:type="dxa"/>
            <w:tcBorders/>
            <w:shd w:fill="auto" w:val="clear"/>
            <w:vAlign w:val="center"/>
          </w:tcPr>
          <w:p>
            <w:pPr>
              <w:pStyle w:val="TableContents"/>
              <w:spacing w:lineRule="auto" w:line="285" w:before="0" w:after="0"/>
              <w:ind w:left="0" w:right="0" w:hanging="0"/>
              <w:rPr/>
            </w:pPr>
            <w:r>
              <w:rPr/>
              <w:t>​</w:t>
            </w:r>
          </w:p>
        </w:tc>
      </w:tr>
      <w:tr>
        <w:trPr/>
        <w:tc>
          <w:tcPr>
            <w:tcW w:w="172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    </w:t>
            </w:r>
          </w:p>
        </w:tc>
        <w:tc>
          <w:tcPr>
            <w:tcW w:w="9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01" w:type="dxa"/>
            <w:tcBorders/>
            <w:shd w:fill="auto" w:val="clear"/>
            <w:vAlign w:val="center"/>
          </w:tcPr>
          <w:p>
            <w:pPr>
              <w:pStyle w:val="TableContents"/>
              <w:spacing w:lineRule="auto" w:line="285" w:before="0" w:after="0"/>
              <w:ind w:left="0" w:right="0" w:hanging="0"/>
              <w:jc w:val="center"/>
              <w:rPr/>
            </w:pPr>
            <w:r>
              <w:rPr/>
              <w:t>    </w:t>
            </w:r>
          </w:p>
        </w:tc>
        <w:tc>
          <w:tcPr>
            <w:tcW w:w="9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shd w:fill="auto" w:val="clear"/>
            <w:vAlign w:val="center"/>
          </w:tcPr>
          <w:p>
            <w:pPr>
              <w:pStyle w:val="TableContents"/>
              <w:spacing w:lineRule="auto" w:line="285"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lineRule="auto" w:line="285" w:before="0" w:after="0"/>
              <w:ind w:left="0" w:right="0" w:hanging="0"/>
              <w:rPr/>
            </w:pPr>
            <w:r>
              <w:rPr/>
              <w:t> </w:t>
            </w:r>
          </w:p>
        </w:tc>
        <w:tc>
          <w:tcPr>
            <w:tcW w:w="32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501" w:type="dxa"/>
            <w:tcBorders/>
            <w:shd w:fill="CCEEFF" w:val="clear"/>
            <w:vAlign w:val="center"/>
          </w:tcPr>
          <w:p>
            <w:pPr>
              <w:pStyle w:val="TableContents"/>
              <w:spacing w:lineRule="auto" w:line="285" w:before="0" w:after="0"/>
              <w:ind w:left="0" w:right="0" w:hanging="0"/>
              <w:rPr/>
            </w:pPr>
            <w:r>
              <w:rPr/>
              <w:t> </w:t>
            </w:r>
          </w:p>
        </w:tc>
        <w:tc>
          <w:tcPr>
            <w:tcW w:w="324"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spacing w:lineRule="auto" w:line="285" w:before="0" w:after="0"/>
              <w:ind w:left="0" w:right="0" w:hanging="0"/>
              <w:rPr/>
            </w:pPr>
            <w:r>
              <w:rPr/>
              <w:t> </w:t>
            </w:r>
          </w:p>
        </w:tc>
        <w:tc>
          <w:tcPr>
            <w:tcW w:w="390"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spacing w:lineRule="auto" w:line="285" w:before="0" w:after="0"/>
              <w:ind w:left="0" w:right="0" w:hanging="0"/>
              <w:rPr/>
            </w:pPr>
            <w:r>
              <w:rPr/>
              <w:t> </w:t>
            </w:r>
          </w:p>
        </w:tc>
        <w:tc>
          <w:tcPr>
            <w:tcW w:w="52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93" w:type="dxa"/>
            <w:tcBorders/>
            <w:shd w:fill="CCEEFF"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Income tax expense increased for the three months ended March 31, 2023 as compared to the three months ended March 31, 2022 primarily due to the impact of unfavorable discrete items in the three months ended March 31, 2023.</w:t>
      </w:r>
    </w:p>
    <w:p>
      <w:pPr>
        <w:pStyle w:val="TextBody"/>
        <w:spacing w:lineRule="auto" w:line="285" w:before="0" w:after="12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Sources of Liquidity</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collaborations and license agreements, future royalty and revenue monetization, and a term loan. Through March 31, 2023, we have received an aggregate of $3.6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Alexion, and $150.0 million in gross proceeds from a term loan from Sixth Street Partners. In addition, since January 2020, we have also generated revenue through the sales of our approved drug products.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of March 31, 2023, we had cash, cash equivalents and marketable securities of $961.3 million.</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Cash Flows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following table provides information regarding our cash flows for the three months ended March 31, 2023 and 2022:</w:t>
      </w:r>
    </w:p>
    <w:tbl>
      <w:tblPr>
        <w:tblW w:w="8532" w:type="dxa"/>
        <w:jc w:val="left"/>
        <w:tblInd w:w="0" w:type="dxa"/>
        <w:tblCellMar>
          <w:top w:w="0" w:type="dxa"/>
          <w:left w:w="0" w:type="dxa"/>
          <w:bottom w:w="0" w:type="dxa"/>
          <w:right w:w="0" w:type="dxa"/>
        </w:tblCellMar>
      </w:tblPr>
      <w:tblGrid>
        <w:gridCol w:w="5611"/>
        <w:gridCol w:w="326"/>
        <w:gridCol w:w="211"/>
        <w:gridCol w:w="901"/>
        <w:gridCol w:w="326"/>
        <w:gridCol w:w="211"/>
        <w:gridCol w:w="946"/>
      </w:tblGrid>
      <w:tr>
        <w:trPr/>
        <w:tc>
          <w:tcPr>
            <w:tcW w:w="5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3562985" cy="175260"/>
                      <wp:effectExtent l="0" t="0" r="0" b="0"/>
                      <wp:wrapNone/>
                      <wp:docPr id="460" name="Frame460"/>
                      <a:graphic xmlns:a="http://schemas.openxmlformats.org/drawingml/2006/main">
                        <a:graphicData uri="http://schemas.microsoft.com/office/word/2010/wordprocessingShape">
                          <wps:wsp>
                            <wps:cNvSpPr txBox="1"/>
                            <wps:spPr>
                              <a:xfrm>
                                <a:off x="0" y="0"/>
                                <a:ext cx="3562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2" name="Frame4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72135" cy="175260"/>
                      <wp:effectExtent l="0" t="0" r="0" b="0"/>
                      <wp:wrapNone/>
                      <wp:docPr id="463" name="Frame46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00710" cy="175260"/>
                      <wp:effectExtent l="0" t="0" r="0" b="0"/>
                      <wp:wrapNone/>
                      <wp:docPr id="466" name="Frame46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561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595" w:type="dxa"/>
            <w:gridSpan w:val="5"/>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61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2595" w:type="dxa"/>
            <w:gridSpan w:val="5"/>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11" w:type="dxa"/>
            <w:tcBorders/>
            <w:shd w:fill="auto" w:val="clear"/>
            <w:vAlign w:val="center"/>
          </w:tcPr>
          <w:p>
            <w:pPr>
              <w:pStyle w:val="TableContents"/>
              <w:spacing w:lineRule="auto" w:line="285"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285"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(122,961)</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(132,726)</w:t>
            </w:r>
          </w:p>
        </w:tc>
      </w:tr>
      <w:tr>
        <w:trPr/>
        <w:tc>
          <w:tcPr>
            <w:tcW w:w="56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0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172,791</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shd w:fill="auto" w:val="clear"/>
            <w:vAlign w:val="center"/>
          </w:tcPr>
          <w:p>
            <w:pPr>
              <w:pStyle w:val="TableContents"/>
              <w:spacing w:lineRule="auto" w:line="285" w:before="0" w:after="0"/>
              <w:ind w:left="0" w:right="0" w:hanging="0"/>
              <w:jc w:val="right"/>
              <w:rPr/>
            </w:pPr>
            <w:r>
              <w:rPr/>
              <w:t> </w:t>
            </w:r>
          </w:p>
        </w:tc>
        <w:tc>
          <w:tcPr>
            <w:tcW w:w="94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(41,090)</w:t>
            </w:r>
          </w:p>
        </w:tc>
      </w:tr>
      <w:tr>
        <w:trPr/>
        <w:tc>
          <w:tcPr>
            <w:tcW w:w="561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56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49,830</w:t>
            </w:r>
          </w:p>
        </w:tc>
        <w:tc>
          <w:tcPr>
            <w:tcW w:w="326" w:type="dxa"/>
            <w:tcBorders/>
            <w:shd w:fill="auto" w:val="clear"/>
            <w:vAlign w:val="center"/>
          </w:tcPr>
          <w:p>
            <w:pPr>
              <w:pStyle w:val="TableContents"/>
              <w:spacing w:lineRule="auto" w:line="285"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(172,552)</w:t>
            </w:r>
          </w:p>
        </w:tc>
      </w:tr>
    </w:tbl>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 xml:space="preserve">For the three months ended March 31, 2023, compared to the same period in 2022, the $9.8 million decrease in net cash used in operating activities was primarily due to the $38.7 million increase in cash provided by prepaid expenses and other assets which partially offset by a $23.6 million increase in net loss. </w:t>
      </w:r>
    </w:p>
    <w:p>
      <w:pPr>
        <w:pStyle w:val="TextBody"/>
        <w:spacing w:lineRule="auto" w:line="285" w:before="0" w:after="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 xml:space="preserve">Net Cash Provided by (Used in) Investing Activities. </w:t>
      </w:r>
      <w:r>
        <w:rPr>
          <w:rFonts w:ascii="Times New Roman;Times;serif" w:hAnsi="Times New Roman;Times;serif"/>
          <w:sz w:val="20"/>
        </w:rPr>
        <w:t xml:space="preserve">For the three months ended March 31, 2023, compared to the same period in 2022, the $213.9 million increase in net cash provided by investing activities was primarily due to a $215.3 million increase in net proceeds received from maturities of available for sale investments. </w:t>
      </w:r>
    </w:p>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three months ended March 31, 2023, compared to the same period in 2022, the $1.3 million decrease in net cash provided by financing activities was due to a $1.3 million decrease in net proceeds received from stock option exercises and employee stock purchase plan. </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Debt Financing</w:t>
      </w:r>
    </w:p>
    <w:p>
      <w:pPr>
        <w:pStyle w:val="TextBody"/>
        <w:spacing w:lineRule="auto" w:line="285" w:before="280" w:after="0"/>
        <w:ind w:left="0" w:right="0" w:hanging="0"/>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March 31, 2023, the net carrying value of the liability related to this arrangement was $176.1 million. </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March 31, 2023, the net carrying value of the liability related to this arrangement was $258.5 million. </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July 2022. In addition, we may at any time request an incremental term loan in an amount not to exceed $260.0 million on terms to be agreed and subject to the consent of the lenders providing such incremental term loan. As of March 31, 2023, the net carrying value of the term loan was $139.5 million. </w:t>
      </w:r>
    </w:p>
    <w:p>
      <w:pPr>
        <w:pStyle w:val="TextBody"/>
        <w:spacing w:lineRule="auto" w:line="285" w:before="0" w:after="0"/>
        <w:ind w:left="0" w:right="0" w:hanging="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Our obligations under the Financing Agreement are secured, subject to certain exceptions, by security interests in the substantially all of our assets and our certain subsidiaries. The financing agreement contains negative covenants that, among other things and subject to certain exceptions, could restrict the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spacing w:lineRule="auto" w:line="285" w:before="280" w:after="0"/>
        <w:ind w:left="0" w:right="0" w:hanging="0"/>
        <w:rPr>
          <w:rFonts w:ascii="Times New Roman;Times;serif" w:hAnsi="Times New Roman;Times;serif"/>
          <w:i/>
          <w:sz w:val="20"/>
        </w:rPr>
      </w:pPr>
      <w:r>
        <w:rPr>
          <w:rFonts w:ascii="Times New Roman;Times;serif" w:hAnsi="Times New Roman;Times;serif"/>
          <w:i/>
          <w:sz w:val="20"/>
        </w:rPr>
        <w:t>Funding Requirements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avapritinib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As of March 31, 2023, we had cash, cash equivalents and marketable securities of $961.3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Our future capital requirements will depend on and could increase significantly as a result of many factors,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GAVRETO or any of our current or future drug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including seeking marketing approval for avapritinib and pralsetinib for additional indications or avapritinib in additional geographies;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CStone, Zai Lab and Proteovant and our license agreements with Clementia and IDRx, as well as our ability to establish and maintain additional collaborations, partnerships or licenses on favorable terms, if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or license agreements, our financing arrangements, or any collaboration, partnership, financing or license agreements that we may enter into in the future;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current or future collaborations for the development and commercialization of companion diagnostic tests;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Until such time, if ever, as we can generate substantial drug revenues, we expect to finance our cash needs primarily through a combination of public and private equity offerings, debt financings, future revenue monetizations, collaborations, strategic alliances and licensing arrangements. We do not have any committed external source of funds, other than our collaborations with CStone and Zai Lab,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spacing w:lineRule="auto" w:line="285" w:before="280" w:after="240"/>
        <w:ind w:left="0" w:right="0" w:hanging="0"/>
        <w:rPr>
          <w:rFonts w:ascii="Times New Roman;Times;serif" w:hAnsi="Times New Roman;Times;serif"/>
          <w:b/>
          <w:sz w:val="20"/>
        </w:rPr>
      </w:pPr>
      <w:r>
        <w:rPr>
          <w:rFonts w:ascii="Times New Roman;Times;serif" w:hAnsi="Times New Roman;Times;serif"/>
          <w:b/>
          <w:sz w:val="20"/>
        </w:rPr>
        <w:t>Contractual Obligations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non-cancellable operating leases and unconditional purchase obligations related to certain commercial manufacturing agreements. </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there was a decrease of $7.3 million in our contractual obligations described under “Management’s Discussion and Analysis of Financial Condition and Results of Operations” included in the Annual Report on Form 10-K for the year ended December 31, 2022. </w:t>
      </w:r>
    </w:p>
    <w:p>
      <w:pPr>
        <w:pStyle w:val="TextBody"/>
        <w:spacing w:lineRule="auto" w:line="285" w:before="0" w:after="240"/>
        <w:ind w:left="0" w:right="0" w:hanging="0"/>
        <w:rPr>
          <w:rFonts w:ascii="Times New Roman;Times;serif" w:hAnsi="Times New Roman;Times;serif"/>
          <w:b/>
          <w:sz w:val="20"/>
        </w:rPr>
      </w:pPr>
      <w:bookmarkStart w:id="986" w:name="Quantitative_675574"/>
      <w:bookmarkStart w:id="987" w:name="_3dbdd255_e391_4732_9a1f_df6b1bc95929"/>
      <w:bookmarkEnd w:id="986"/>
      <w:bookmarkEnd w:id="987"/>
      <w:r>
        <w:rPr>
          <w:rFonts w:ascii="Times New Roman;Times;serif" w:hAnsi="Times New Roman;Times;serif"/>
          <w:b/>
          <w:sz w:val="20"/>
        </w:rPr>
        <w:t>Item 3. Quantitative and Qualitative Disclosures About Market Risk</w:t>
      </w:r>
    </w:p>
    <w:p>
      <w:pPr>
        <w:pStyle w:val="TextBody"/>
        <w:spacing w:lineRule="auto" w:line="285" w:before="0" w:after="200"/>
        <w:ind w:left="0" w:right="0" w:firstLine="720"/>
        <w:rPr>
          <w:rFonts w:ascii="Times New Roman;Times;serif" w:hAnsi="Times New Roman;Times;serif"/>
          <w:sz w:val="20"/>
        </w:rPr>
      </w:pPr>
      <w:r>
        <w:rPr>
          <w:rFonts w:ascii="Times New Roman;Times;serif" w:hAnsi="Times New Roman;Times;serif"/>
          <w:sz w:val="20"/>
        </w:rPr>
        <w:t>As of March 31, 2023 and December 31, 2022, we had cash, cash equivalents and marketable securities of $961.3 million and $1,078.5 million, respectively, consisting primarily of money market funds and investments in U.S. government agency and treasury obligations.</w:t>
      </w:r>
    </w:p>
    <w:p>
      <w:pPr>
        <w:pStyle w:val="TextBody"/>
        <w:spacing w:lineRule="auto" w:line="285" w:before="0" w:after="200"/>
        <w:ind w:left="0" w:right="0" w:firstLine="720"/>
        <w:rPr>
          <w:rFonts w:ascii="Times New Roman;Times;serif" w:hAnsi="Times New Roman;Times;serif"/>
          <w:sz w:val="20"/>
        </w:rPr>
      </w:pPr>
      <w:r>
        <w:rPr>
          <w:rFonts w:ascii="Times New Roman;Times;serif" w:hAnsi="Times New Roman;Times;serif"/>
          <w:sz w:val="20"/>
        </w:rPr>
        <w:t xml:space="preserve">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spacing w:lineRule="auto" w:line="285" w:before="0" w:after="200"/>
        <w:ind w:left="0" w:right="0" w:firstLine="720"/>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recent changes resulting from monetary policy from the U.S. and international central banks, inflationary pressures and the Russian invasion of Ukraine.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2023 and December 31, 2022, we held limited funds and future obligations denominated in foreign currencies.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months ended March 31, 2023. However, if inflation remains at current levels for an extended period of time, or increases, our costs are likely to increase, which may negatively impact our margins and cash flows.</w:t>
      </w:r>
    </w:p>
    <w:p>
      <w:pPr>
        <w:pStyle w:val="TextBody"/>
        <w:spacing w:lineRule="auto" w:line="285" w:before="0" w:after="240"/>
        <w:ind w:left="0" w:right="0" w:hanging="0"/>
        <w:rPr>
          <w:rFonts w:ascii="Times New Roman;Times;serif" w:hAnsi="Times New Roman;Times;serif"/>
          <w:b/>
          <w:sz w:val="20"/>
        </w:rPr>
      </w:pPr>
      <w:bookmarkStart w:id="988" w:name="ControlsandProcedures_819554"/>
      <w:bookmarkStart w:id="989" w:name="_b8562632_f2c9_44ff_a382_15c3ef52c563"/>
      <w:bookmarkEnd w:id="988"/>
      <w:bookmarkEnd w:id="989"/>
      <w:r>
        <w:rPr>
          <w:rFonts w:ascii="Times New Roman;Times;serif" w:hAnsi="Times New Roman;Times;serif"/>
          <w:b/>
          <w:sz w:val="20"/>
        </w:rPr>
        <w:t>Item 4. Controls and Procedures</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2023. Based upon such evaluation, our Chief Executive Officer and Chief Financial Officer have concluded that, as of March 31, 2023, our disclosure controls and procedures were effective at the reasonable assurance level.</w:t>
      </w:r>
    </w:p>
    <w:p>
      <w:pPr>
        <w:pStyle w:val="TextBody"/>
        <w:spacing w:lineRule="auto" w:line="285" w:before="0" w:after="240"/>
        <w:ind w:left="0" w:right="0" w:hanging="0"/>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spacing w:lineRule="auto" w:line="285" w:before="120" w:after="0"/>
        <w:ind w:left="0" w:right="0" w:hanging="0"/>
        <w:jc w:val="center"/>
        <w:rPr>
          <w:rFonts w:ascii="Times New Roman;Times;serif" w:hAnsi="Times New Roman;Times;serif"/>
          <w:b/>
          <w:caps/>
          <w:sz w:val="20"/>
        </w:rPr>
      </w:pPr>
      <w:bookmarkStart w:id="990" w:name="PARTII_568397"/>
      <w:bookmarkStart w:id="991" w:name="_dcb74518_398a_4a50_9385_863adb8f1528"/>
      <w:bookmarkEnd w:id="990"/>
      <w:bookmarkEnd w:id="991"/>
      <w:r>
        <w:rPr>
          <w:rFonts w:ascii="Times New Roman;Times;serif" w:hAnsi="Times New Roman;Times;serif"/>
          <w:b/>
          <w:caps/>
          <w:sz w:val="20"/>
        </w:rPr>
        <w:t>Part II – OTHER INFORMATION</w:t>
      </w:r>
    </w:p>
    <w:p>
      <w:pPr>
        <w:pStyle w:val="TextBody"/>
        <w:spacing w:lineRule="auto" w:line="285" w:before="120" w:after="0"/>
        <w:ind w:left="0" w:right="0" w:hanging="0"/>
        <w:rPr/>
      </w:pPr>
      <w:r>
        <w:rPr/>
        <w:t>​</w:t>
      </w:r>
    </w:p>
    <w:p>
      <w:pPr>
        <w:pStyle w:val="TextBody"/>
        <w:spacing w:lineRule="auto" w:line="285" w:before="0" w:after="240"/>
        <w:ind w:left="0" w:right="0" w:hanging="0"/>
        <w:rPr>
          <w:rFonts w:ascii="Times New Roman;Times;serif" w:hAnsi="Times New Roman;Times;serif"/>
          <w:b/>
          <w:sz w:val="20"/>
        </w:rPr>
      </w:pPr>
      <w:bookmarkStart w:id="992" w:name="LegalProceedings_161281"/>
      <w:bookmarkStart w:id="993" w:name="_8f73094a_2fa0_4d89_aa38_a7d3eccd99ce"/>
      <w:bookmarkEnd w:id="992"/>
      <w:bookmarkEnd w:id="993"/>
      <w:r>
        <w:rPr>
          <w:rFonts w:ascii="Times New Roman;Times;serif" w:hAnsi="Times New Roman;Times;serif"/>
          <w:b/>
          <w:sz w:val="20"/>
        </w:rPr>
        <w:t>Item 1. Legal Proceedings</w:t>
      </w:r>
    </w:p>
    <w:p>
      <w:pPr>
        <w:pStyle w:val="TextBody"/>
        <w:pBd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are not currently a party to any material legal proceedings, nor are we aware of any governmental proceedings involving potential monetary sanctions of $300,000 or more. </w:t>
      </w:r>
    </w:p>
    <w:p>
      <w:pPr>
        <w:pStyle w:val="TextBody"/>
        <w:pBdr/>
        <w:shd w:fill="FFFFFF" w:val="clear"/>
        <w:spacing w:lineRule="auto" w:line="285" w:before="0" w:after="0"/>
        <w:ind w:left="0" w:right="0" w:hanging="0"/>
        <w:rPr>
          <w:rFonts w:ascii="Times New Roman;Times;serif" w:hAnsi="Times New Roman;Times;serif"/>
          <w:b/>
          <w:sz w:val="20"/>
        </w:rPr>
      </w:pPr>
      <w:bookmarkStart w:id="994" w:name="Item1ARiskFactors"/>
      <w:bookmarkStart w:id="995" w:name="_17d37a01_88b3_4286_801e_e949b148c5bd"/>
      <w:bookmarkEnd w:id="994"/>
      <w:bookmarkEnd w:id="995"/>
      <w:r>
        <w:rPr>
          <w:rFonts w:ascii="Times New Roman;Times;serif" w:hAnsi="Times New Roman;Times;serif"/>
          <w:b/>
          <w:sz w:val="20"/>
        </w:rPr>
        <w:t>Item 1A. Risk Factors</w:t>
      </w:r>
    </w:p>
    <w:p>
      <w:pPr>
        <w:pStyle w:val="TextBody"/>
        <w:shd w:fill="FFFFFF" w:val="clear"/>
        <w:spacing w:lineRule="auto" w:line="285" w:before="0" w:after="0"/>
        <w:ind w:left="0" w:right="0" w:firstLine="720"/>
        <w:rPr>
          <w:rFonts w:ascii="Times New Roman;Times;serif" w:hAnsi="Times New Roman;Times;serif"/>
          <w:i/>
          <w:sz w:val="20"/>
        </w:rPr>
      </w:pPr>
      <w:r>
        <w:rPr>
          <w:rFonts w:ascii="Times New Roman;Times;serif" w:hAnsi="Times New Roman;Times;serif"/>
          <w:i/>
          <w:sz w:val="20"/>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spacing w:lineRule="auto" w:line="285" w:before="100" w:after="100"/>
        <w:ind w:left="0" w:right="0" w:hanging="0"/>
        <w:jc w:val="center"/>
        <w:rPr/>
      </w:pPr>
      <w:r>
        <w:rPr/>
        <w:t>​</w:t>
      </w:r>
    </w:p>
    <w:p>
      <w:pPr>
        <w:pStyle w:val="TextBody"/>
        <w:shd w:fill="FFFFFF" w:val="clear"/>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spacing w:lineRule="auto" w:line="285" w:before="100" w:after="100"/>
        <w:ind w:left="0" w:right="0" w:hanging="0"/>
        <w:jc w:val="center"/>
        <w:rPr/>
      </w:pPr>
      <w:r>
        <w:rPr/>
        <w:t>​</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growing as a commercial company and the marketing and sale of AYVAKIT® (avapritinib) (marketed in Europe under the brand name AYVAKYT®), GAVRETO® (pralsetinib) or any future approved drugs may be unsuccessful or less successful than anticipated.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which may result in our commercial opportunity being reduced or limited by others commercializing, developing or discovering drugs before or more successfully than we do.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regulatory approval for our drug candidates, including for avapritinib and pralsetinib for additional indications or in additional geographies, and ultimately commercialize them, or experience significant delays in doing so, our business may be materially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CellMar>
          <w:top w:w="28" w:type="dxa"/>
          <w:left w:w="28" w:type="dxa"/>
          <w:bottom w:w="28" w:type="dxa"/>
          <w:right w:w="28" w:type="dxa"/>
        </w:tblCellMar>
      </w:tblPr>
      <w:tblGrid>
        <w:gridCol w:w="124"/>
        <w:gridCol w:w="256"/>
        <w:gridCol w:w="6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anticipate that we will incur continued losses for the foreseeable future.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future growth prospects could be materially and adversely affected by the ongoing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8736" w:type="dxa"/>
        <w:jc w:val="left"/>
        <w:tblInd w:w="0" w:type="dxa"/>
        <w:tblCellMar>
          <w:top w:w="28" w:type="dxa"/>
          <w:left w:w="28" w:type="dxa"/>
          <w:bottom w:w="28" w:type="dxa"/>
          <w:right w:w="28" w:type="dxa"/>
        </w:tblCellMar>
      </w:tblPr>
      <w:tblGrid>
        <w:gridCol w:w="124"/>
        <w:gridCol w:w="256"/>
        <w:gridCol w:w="8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pBdr/>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We are in the process of growing as a commercial company and the marketing and sale of AYVAKIT/AYVAKYT, GAVRETO or any future approved drugs may be unsuccessful or less successful than anticipated.</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have two approved precision therapies, AYVAKIT/AYVAKYT and GAVRETO. While we have been commercializing AYVAKIT in the U.S. and AYVAKYT in Europe and co-commercializing GAVRETO with Roche in the U.S., we only have several years’ experience as a commercial company, and we have a limited track record demonstrating our ability to successfully overcome the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pStyle w:val="TextBody"/>
        <w:spacing w:lineRule="auto" w:line="285" w:before="0" w:after="240"/>
        <w:ind w:left="1080" w:right="0" w:hanging="0"/>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spacing w:lineRule="auto" w:line="285" w:before="0" w:after="240"/>
        <w:ind w:left="1080" w:right="0" w:hanging="0"/>
        <w:rPr/>
      </w:pPr>
      <w:r>
        <w:rPr/>
        <w:t>●</w:t>
      </w:r>
      <w:r>
        <w:rPr>
          <w:rFonts w:ascii="Times New Roman;Times;serif" w:hAnsi="Times New Roman;Times;serif"/>
          <w:sz w:val="20"/>
        </w:rPr>
        <w:t>obtain and maintain adequate pricing and reimbursement for AYVAKIT/AYVAKYT and any future drugs;</w:t>
      </w:r>
    </w:p>
    <w:p>
      <w:pPr>
        <w:pStyle w:val="TextBody"/>
        <w:spacing w:lineRule="auto" w:line="285" w:before="0" w:after="240"/>
        <w:ind w:left="1080" w:right="0" w:hanging="0"/>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spacing w:lineRule="auto" w:line="285" w:before="0" w:after="240"/>
        <w:ind w:left="1080" w:right="0" w:hanging="0"/>
        <w:rPr/>
      </w:pPr>
      <w:r>
        <w:rPr/>
        <w:t>●</w:t>
      </w:r>
      <w:r>
        <w:rPr>
          <w:rFonts w:ascii="Times New Roman;Times;serif" w:hAnsi="Times New Roman;Times;serif"/>
          <w:sz w:val="20"/>
        </w:rPr>
        <w:t xml:space="preserve">maintain our existing collaborations with CStone Pharmaceuticals, or CStone, and Zai Lab; </w:t>
      </w:r>
    </w:p>
    <w:p>
      <w:pPr>
        <w:pStyle w:val="TextBody"/>
        <w:spacing w:lineRule="auto" w:line="285" w:before="0" w:after="240"/>
        <w:ind w:left="1080" w:right="0" w:hanging="0"/>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spacing w:lineRule="auto" w:line="285"/>
        <w:ind w:left="1080" w:right="0" w:hanging="0"/>
        <w:rPr/>
      </w:pPr>
      <w:r>
        <w:rPr/>
        <w:t>●</w:t>
      </w:r>
      <w:r>
        <w:rPr>
          <w:rFonts w:ascii="Times New Roman;Times;serif" w:hAnsi="Times New Roman;Times;serif"/>
          <w:sz w:val="20"/>
        </w:rPr>
        <w:t>manage our spending as costs and expenses increase due to clinical trials, marketing approvals, and commercialization.</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The commercial success of AYVAKIT/AYVAKYT and GAVRETO, as well as any other drugs that we may bring to the market, will depend upon the degree of market acceptance by physicians, patients, third-party payors and others in the medical community.</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06" w:type="dxa"/>
        <w:jc w:val="left"/>
        <w:tblInd w:w="0" w:type="dxa"/>
        <w:shd w:fill="FFFFFF" w:val="clear"/>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before="0" w:after="283"/>
              <w:rPr/>
            </w:pPr>
            <w:r>
              <w:rPr/>
              <w:t>●</w:t>
            </w:r>
          </w:p>
        </w:tc>
        <w:tc>
          <w:tcPr>
            <w:tcW w:w="6226" w:type="dxa"/>
            <w:tcBorders/>
            <w:shd w:fill="FFFFFF"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spacing w:lineRule="auto" w:line="285" w:before="0" w:after="240"/>
        <w:ind w:left="1080" w:right="0" w:hanging="0"/>
        <w:rPr/>
      </w:pPr>
      <w:r>
        <w:rPr/>
        <w:t>●</w:t>
      </w:r>
      <w:r>
        <w:rPr>
          <w:rFonts w:ascii="Times New Roman;Times;serif" w:hAnsi="Times New Roman;Times;serif"/>
          <w:sz w:val="20"/>
        </w:rPr>
        <w:t>the relative convenience and ease of administration;</w:t>
      </w:r>
    </w:p>
    <w:p>
      <w:pPr>
        <w:pStyle w:val="TextBody"/>
        <w:spacing w:lineRule="auto" w:line="285" w:before="0" w:after="240"/>
        <w:ind w:left="1080" w:right="0" w:hanging="0"/>
        <w:rPr/>
      </w:pPr>
      <w:r>
        <w:rPr/>
        <w:t>●</w:t>
      </w:r>
      <w:r>
        <w:rPr>
          <w:rFonts w:ascii="Times New Roman;Times;serif" w:hAnsi="Times New Roman;Times;serif"/>
          <w:sz w:val="20"/>
        </w:rPr>
        <w:t>the willingness of eligible patients to try new therapies and of physicians to prescribe these therapies;</w:t>
      </w:r>
    </w:p>
    <w:p>
      <w:pPr>
        <w:pStyle w:val="TextBody"/>
        <w:spacing w:lineRule="auto" w:line="285" w:before="0" w:after="240"/>
        <w:ind w:left="1080" w:right="0" w:hanging="0"/>
        <w:rPr/>
      </w:pPr>
      <w:r>
        <w:rPr/>
        <w:t>●</w:t>
      </w:r>
      <w:r>
        <w:rPr>
          <w:rFonts w:ascii="Times New Roman;Times;serif" w:hAnsi="Times New Roman;Times;serif"/>
          <w:sz w:val="20"/>
        </w:rPr>
        <w:t>the length of time that patients who are prescribed our drugs remain on treatment;</w:t>
      </w:r>
    </w:p>
    <w:p>
      <w:pPr>
        <w:pStyle w:val="TextBody"/>
        <w:spacing w:lineRule="auto" w:line="285" w:before="0" w:after="240"/>
        <w:ind w:left="1080" w:right="0" w:hanging="0"/>
        <w:rPr/>
      </w:pPr>
      <w:r>
        <w:rPr/>
        <w:t>●</w:t>
      </w:r>
      <w:r>
        <w:rPr>
          <w:rFonts w:ascii="Times New Roman;Times;serif" w:hAnsi="Times New Roman;Times;serif"/>
          <w:sz w:val="20"/>
        </w:rPr>
        <w:t>the pricing of our drugs and any current or future drug candidates for which we receive marketing approval;</w:t>
      </w:r>
    </w:p>
    <w:p>
      <w:pPr>
        <w:pStyle w:val="TextBody"/>
        <w:spacing w:lineRule="auto" w:line="285" w:before="0" w:after="240"/>
        <w:ind w:left="1080" w:right="0" w:hanging="0"/>
        <w:rPr/>
      </w:pPr>
      <w:r>
        <w:rPr/>
        <w:t>●</w:t>
      </w:r>
      <w:r>
        <w:rPr>
          <w:rFonts w:ascii="Times New Roman;Times;serif" w:hAnsi="Times New Roman;Times;serif"/>
          <w:sz w:val="20"/>
        </w:rPr>
        <w:t>publicity concerning our current and future drugs, or competing products and treatments; and</w:t>
      </w:r>
    </w:p>
    <w:p>
      <w:pPr>
        <w:pStyle w:val="TextBody"/>
        <w:spacing w:lineRule="auto" w:line="285"/>
        <w:ind w:left="1080" w:right="0" w:hanging="0"/>
        <w:rPr/>
      </w:pPr>
      <w:r>
        <w:rPr/>
        <w:t>●</w:t>
      </w:r>
      <w:r>
        <w:rPr>
          <w:rFonts w:ascii="Times New Roman;Times;serif" w:hAnsi="Times New Roman;Times;serif"/>
          <w:sz w:val="20"/>
        </w:rPr>
        <w:t>sufficient third-party insurance coverage or reimbursement.</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pBdr/>
        <w:shd w:fill="FFFFFF" w:val="clear"/>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spacing w:lineRule="auto" w:line="285" w:before="0" w:after="240"/>
        <w:ind w:left="1080" w:right="0" w:hanging="0"/>
        <w:rPr/>
      </w:pPr>
      <w:r>
        <w:rPr/>
        <w:t>●</w:t>
      </w:r>
      <w:r>
        <w:rPr>
          <w:rFonts w:ascii="Times New Roman;Times;serif" w:hAnsi="Times New Roman;Times;serif"/>
          <w:sz w:val="20"/>
        </w:rPr>
        <w:t>our inability to recruit, train and retain adequate numbers of sales and marketing personnel;</w:t>
      </w:r>
    </w:p>
    <w:p>
      <w:pPr>
        <w:pStyle w:val="TextBody"/>
        <w:spacing w:lineRule="auto" w:line="285" w:before="0" w:after="240"/>
        <w:ind w:left="1080" w:right="0" w:hanging="0"/>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spacing w:lineRule="auto" w:line="285" w:before="0" w:after="240"/>
        <w:ind w:left="1080" w:right="0" w:hanging="0"/>
        <w:rPr/>
      </w:pPr>
      <w:r>
        <w:rPr/>
        <w:t>●</w:t>
      </w:r>
      <w:r>
        <w:rPr>
          <w:rFonts w:ascii="Times New Roman;Times;serif" w:hAnsi="Times New Roman;Times;serif"/>
          <w:sz w:val="20"/>
        </w:rPr>
        <w:t>unforeseen costs and expenses associated with maintaining an independent sales and marketing organization; and</w:t>
      </w:r>
    </w:p>
    <w:p>
      <w:pPr>
        <w:pStyle w:val="TextBody"/>
        <w:spacing w:lineRule="auto" w:line="285"/>
        <w:ind w:left="1080" w:right="0" w:hanging="0"/>
        <w:rPr/>
      </w:pPr>
      <w:r>
        <w:rPr/>
        <w:t>●</w:t>
      </w:r>
      <w:r>
        <w:rPr>
          <w:rFonts w:ascii="Times New Roman;Times;serif" w:hAnsi="Times New Roman;Times;serif"/>
          <w:sz w:val="20"/>
        </w:rPr>
        <w:t>delays or disruptions to sales and marketing activities, including due to the ongoing COVID-19 pandemic.</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precise incidence and/or prevalence for SM, RET-altered cancers, EGFR-mutated NSCLC,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spacing w:lineRule="auto" w:line="285" w:before="0" w:after="240"/>
        <w:ind w:left="0" w:right="0" w:hanging="0"/>
        <w:rPr>
          <w:rFonts w:ascii="Times New Roman;Times;serif" w:hAnsi="Times New Roman;Times;serif"/>
          <w:sz w:val="20"/>
        </w:rPr>
      </w:pPr>
      <w:bookmarkStart w:id="996" w:name="_cp_text_1_150"/>
      <w:bookmarkEnd w:id="996"/>
      <w:r>
        <w:rPr>
          <w:rFonts w:ascii="Times New Roman;Times;serif" w:hAnsi="Times New Roman;Times;serif"/>
          <w:b/>
          <w:i/>
          <w:sz w:val="20"/>
        </w:rPr>
        <w:t>We face substantial competition, which may result in others commercializing, developing or discovering drugs before or more successfully than we do.</w:t>
      </w:r>
      <w:r>
        <w:rPr>
          <w:rFonts w:ascii="Times New Roman;Times;serif" w:hAnsi="Times New Roman;Times;serif"/>
          <w:sz w:val="20"/>
        </w:rPr>
        <w:t xml:space="preserve">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AYVAKIT/AYVAKYT and elenestinib faces competition for advanced SM from Novartis AG’s midostaurin and imatinib, and may face competition from drug candidates in development, including that being developed by Cogent Biosciences, Inc. If avapritinib and elenestinib are approved for non-advanced SM, they may face competition from drug candidates in development, including those being developed by AB Science S.A., Allakos Inc., Celldex Therapuetics, and Cogent Biosciences, Inc.</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Cogent Biosciences, Inc., Deciphera Pharmaceuticals, LLC, Exelixis, Inc., Ningbo Tai Kang Medical Technology Co. Ltd. and Xencor, Inc.</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are developing BLU-525 and BLU-945 for treatment-resistant EGFR-mutated NSCLC, which, if approved, will face competition from AstraZeneca plc’s osimertinib and aumolertinib, which is under collaboration between Jiangsu Hansoh Pharmaceutical Group Co., Ltd. and EQRx, Inc. and approved in China. In addition, BLU-525 and BLU-945 may face competition from drug candidates in development for EGFR-mutated NSCLC, including those being developed by Abbisko Therapeutics Co. Ltd, Shanghai Allist Pharmaceuticals Co. Ltd. (Allist), Arrivent Biopharma, Inc., Betta Pharmaceuticals Co. Ltd., Black Diamond Therapeutics, Inc., Boehringer Ingelheim RCV GmbH &amp; Co KG, Bridge Biotherapeutics, Inc., C4 Therapeutics, Inc., Daiichi Sankyo Company, Limited, Janssen Pharmaceuticals, Inc., J INTS Bio, Kanaph Therapeutics Inc., Qilu Pharmaceutical Co., Ltd., RedCloud Bio, Suzhou Junjing Biosciences, Suzhou Puhe Biopharma Co. Limited, Taiho Oncology, Therapex, Theseus Pharmaceuticals, Inc.</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Avistone, Bayer AG, Cullinan Oncology, Inc., Daiichi Sankyo Company, Limited, Dizal Pharmaceutical Co. Ltd., Shenzhen Forward Pharmaceutical Co., Ltd., Shanghai Junshi Biosciences Co., Ltd., Oric Pharmaceuticals, Inc, Scorpion Therapeutics, Inc; TYK Medicines, Inc.</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are developing BLU-222 for cancers vulnerable to CDK2 inhibition, including cancers with aberrant cyclin E, which, if approved, will face competition from indication-specific therapies such as Genentech’s bevacizumab, AstraZeneca and Merck’s olaparib, AstraZeneca and Daiichi Sankyo’s Enhertu, Clovis Oncology’s rucaparib, GSK’s niraparib, GSK’s dostarlimab, Merck’s pembrolizumab, Menarini Group &amp; Stemline Therapeutics’ elacestrant, and Eisai’s lenvatinib. In addition, BLU-222 may face competition from drug candidates in development, including those being developed by Acrivon Therapeutics, Allorion Therapeutics, Inc., Anrui Biomedical Technology, Arvinas, AstraZeneca plc, Aucentra Therapeutics, BioTheryX, Inc., Cedilla Therapeutics, Inc., Cyclacel Pharmaceuticals Inc., Eli Lilly and Company, Exelixis, Gilead Sciences, Inc., IMPACT Therapeutics, Inc., Incyclix Bio, LLC, Incyte Corporation, Monte Rosa Therapeutics, Inc., Pfizer Inc., Plexium, Inc., Regor Therapeutics Inc., Relay Therapeutics, Inc., Repare Therapeutics, Inc., and Zentalis Pharmaceuticals, Inc.</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We are developing BLU-852 for advanced cancers susceptible to MAP4K1 inhibition, which, if approved, will face competition from immuno-oncology products, including those developed by Bristol-Myers Squibb Company, Merck &amp; 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 xml:space="preserve">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effectiveness of any related companion diagnostic tests, the level of generic competition and the availability of reimbursement from government and other third-party payors.</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We are developing BLU-222 for cancers vulnerable to CDK2 inhibition, including cancers with aberrant cyclin E, which, if approved, will face competition from indication-specific therapies such as Genentech’s bevacizumab, AstraZeneca and Merck’s olaparib, AstraZeneca and Daiichi Sankyo’s Enhertu, Clovis Oncology’s rucaparib, GSK’s niraparib, Merck’s pembrolizumab, Menarini Group &amp; Stemline Therapeutics’ Elacestrant, and Eisai’s lenvatinib. In addition, BLU-222 may face competition from drug candidates in development, including those being developed by Acrivon Therapeutics, Allorion Therapeutics, Inc., Anrui Biomedical Technology, Arvinas, Aucentra Therapeutics, BioTheryX, Inc., Cedilla Therapeutics, Inc., Cyclacel Pharmaceuticals Inc., Eli Lilly and company, Exelixis, Gilead Sciences, Inc., Impact Therapeutics, Incyclix Bio, Incyte Corporation, Monte Rosa Therapeutics, Inc., Regor Therapeutics Inc., Relay Therapeutics, Pfizer Inc., AstraZeneca plc, Zentalis Pharmaceuticals, Inc. and Repare Therapeutics, Inc.</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are developing BLU-852 for advanced cancers susceptible to MAP4K1 inhibition, which, if approved, will face competition from immuno-oncology products, including those developed by Bristol-Myers Squibb Company, Merck &amp; 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CellMar>
          <w:top w:w="28" w:type="dxa"/>
          <w:left w:w="28" w:type="dxa"/>
          <w:bottom w:w="28" w:type="dxa"/>
          <w:right w:w="28" w:type="dxa"/>
        </w:tblCellMar>
      </w:tblPr>
      <w:tblGrid>
        <w:gridCol w:w="124"/>
        <w:gridCol w:w="25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tbl>
      <w:tblPr>
        <w:tblW w:w="5826" w:type="dxa"/>
        <w:jc w:val="left"/>
        <w:tblInd w:w="0" w:type="dxa"/>
        <w:tblCellMar>
          <w:top w:w="28" w:type="dxa"/>
          <w:left w:w="28" w:type="dxa"/>
          <w:bottom w:w="28" w:type="dxa"/>
          <w:right w:w="28" w:type="dxa"/>
        </w:tblCellMar>
      </w:tblPr>
      <w:tblGrid>
        <w:gridCol w:w="124"/>
        <w:gridCol w:w="256"/>
        <w:gridCol w:w="5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CellMar>
          <w:top w:w="28" w:type="dxa"/>
          <w:left w:w="28" w:type="dxa"/>
          <w:bottom w:w="28" w:type="dxa"/>
          <w:right w:w="28" w:type="dxa"/>
        </w:tblCellMar>
      </w:tblPr>
      <w:tblGrid>
        <w:gridCol w:w="124"/>
        <w:gridCol w:w="256"/>
        <w:gridCol w:w="3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CellMar>
          <w:top w:w="28" w:type="dxa"/>
          <w:left w:w="28" w:type="dxa"/>
          <w:bottom w:w="28" w:type="dxa"/>
          <w:right w:w="28" w:type="dxa"/>
        </w:tblCellMar>
      </w:tblPr>
      <w:tblGrid>
        <w:gridCol w:w="124"/>
        <w:gridCol w:w="256"/>
        <w:gridCol w:w="4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CellMar>
          <w:top w:w="28" w:type="dxa"/>
          <w:left w:w="28" w:type="dxa"/>
          <w:bottom w:w="28" w:type="dxa"/>
          <w:right w:w="28" w:type="dxa"/>
        </w:tblCellMar>
      </w:tblPr>
      <w:tblGrid>
        <w:gridCol w:w="124"/>
        <w:gridCol w:w="256"/>
        <w:gridCol w:w="1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 </w:t>
      </w:r>
    </w:p>
    <w:p>
      <w:pPr>
        <w:pStyle w:val="TextBody"/>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spacing w:lineRule="auto" w:line="285" w:before="0" w:after="0"/>
        <w:ind w:left="0" w:right="0" w:hanging="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pStyle w:val="TextBody"/>
        <w:spacing w:lineRule="auto" w:line="285" w:before="0" w:after="240"/>
        <w:ind w:left="1080" w:right="0" w:hanging="0"/>
        <w:rPr/>
      </w:pPr>
      <w:r>
        <w:rPr/>
        <w:t>●</w:t>
      </w:r>
      <w:r>
        <w:rPr>
          <w:rFonts w:ascii="Times New Roman;Times;serif" w:hAnsi="Times New Roman;Times;serif"/>
          <w:sz w:val="20"/>
        </w:rPr>
        <w:t>may not perform their respective obligations as expected or as required under our agreements with them;</w:t>
      </w:r>
    </w:p>
    <w:p>
      <w:pPr>
        <w:pStyle w:val="TextBody"/>
        <w:spacing w:lineRule="auto" w:line="285" w:before="0" w:after="240"/>
        <w:ind w:left="1080" w:right="0" w:hanging="0"/>
        <w:rPr/>
      </w:pPr>
      <w:r>
        <w:rPr/>
        <w:t>●</w:t>
      </w:r>
      <w:r>
        <w:rPr>
          <w:rFonts w:ascii="Times New Roman;Times;serif" w:hAnsi="Times New Roman;Times;serif"/>
          <w:sz w:val="20"/>
        </w:rPr>
        <w:t>may not pursue commercialization of a companion diagnostic test even if it receives any required regulatory clearances or approvals;</w:t>
      </w:r>
    </w:p>
    <w:p>
      <w:pPr>
        <w:pStyle w:val="TextBody"/>
        <w:spacing w:lineRule="auto" w:line="285" w:before="0" w:after="240"/>
        <w:ind w:left="1080" w:right="0" w:hanging="0"/>
        <w:rPr/>
      </w:pPr>
      <w:r>
        <w:rPr/>
        <w:t>●</w:t>
      </w:r>
      <w:r>
        <w:rPr>
          <w:rFonts w:ascii="Times New Roman;Times;serif" w:hAnsi="Times New Roman;Times;serif"/>
          <w:sz w:val="20"/>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pStyle w:val="TextBody"/>
        <w:spacing w:lineRule="auto" w:line="285" w:before="0" w:after="240"/>
        <w:ind w:left="1080" w:right="0" w:hanging="0"/>
        <w:rPr/>
      </w:pPr>
      <w:r>
        <w:rPr/>
        <w:t>●</w:t>
      </w:r>
      <w:r>
        <w:rPr>
          <w:rFonts w:ascii="Times New Roman;Times;serif" w:hAnsi="Times New Roman;Times;serif"/>
          <w:sz w:val="20"/>
        </w:rPr>
        <w:t>may not commit sufficient resources to the marketing and distribution of a companion diagnostic test; and</w:t>
      </w:r>
    </w:p>
    <w:p>
      <w:pPr>
        <w:pStyle w:val="TextBody"/>
        <w:spacing w:lineRule="auto" w:line="285"/>
        <w:ind w:left="1080" w:right="0" w:hanging="0"/>
        <w:rPr/>
      </w:pPr>
      <w:r>
        <w:rPr/>
        <w:t>●</w:t>
      </w:r>
      <w:r>
        <w:rPr>
          <w:rFonts w:ascii="Times New Roman;Times;serif" w:hAnsi="Times New Roman;Times;serif"/>
          <w:sz w:val="20"/>
        </w:rPr>
        <w:t>may terminate their relationship with us.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pStyle w:val="TextBody"/>
        <w:spacing w:lineRule="auto" w:line="285" w:before="0" w:after="240"/>
        <w:ind w:left="1080" w:right="0" w:hanging="0"/>
        <w:rPr/>
      </w:pPr>
      <w:r>
        <w:rPr/>
        <w:t>●</w:t>
      </w:r>
      <w:r>
        <w:rPr>
          <w:rFonts w:ascii="Times New Roman;Times;serif" w:hAnsi="Times New Roman;Times;serif"/>
          <w:sz w:val="20"/>
        </w:rPr>
        <w:t>the development of our approved drugs and drug candidates may be adversely affected if we are unable to appropriately select patients for enrollment in our clinical trials;</w:t>
      </w:r>
    </w:p>
    <w:p>
      <w:pPr>
        <w:pStyle w:val="TextBody"/>
        <w:spacing w:lineRule="auto" w:line="285" w:before="0" w:after="240"/>
        <w:ind w:left="1080" w:right="0" w:hanging="0"/>
        <w:rPr/>
      </w:pPr>
      <w:r>
        <w:rPr/>
        <w:t>●</w:t>
      </w:r>
      <w:r>
        <w:rPr>
          <w:rFonts w:ascii="Times New Roman;Times;serif" w:hAnsi="Times New Roman;Times;serif"/>
          <w:sz w:val="20"/>
        </w:rPr>
        <w:t xml:space="preserve">our drug candidates may not receive marketing approval if safe and effective use of a therapeutic drug candidate depends on an in vitro diagnostic; </w:t>
      </w:r>
    </w:p>
    <w:p>
      <w:pPr>
        <w:pStyle w:val="TextBody"/>
        <w:spacing w:lineRule="auto" w:line="285" w:before="0" w:after="240"/>
        <w:ind w:left="1080" w:right="0" w:hanging="0"/>
        <w:rPr/>
      </w:pPr>
      <w:r>
        <w:rPr/>
        <w:t>●</w:t>
      </w:r>
      <w:r>
        <w:rPr>
          <w:rFonts w:ascii="Times New Roman;Times;serif" w:hAnsi="Times New Roman;Times;serif"/>
          <w:sz w:val="20"/>
        </w:rPr>
        <w:t>regulatory authorities may impose post-marketing requirements regarding the development and commercialization of companion diagnostic tests for our drugs and drug candidates; and</w:t>
      </w:r>
    </w:p>
    <w:p>
      <w:pPr>
        <w:pStyle w:val="TextBody"/>
        <w:spacing w:lineRule="auto" w:line="285"/>
        <w:ind w:left="1080" w:right="0" w:hanging="0"/>
        <w:rPr/>
      </w:pPr>
      <w:r>
        <w:rPr/>
        <w:t>●</w:t>
      </w:r>
      <w:r>
        <w:rPr>
          <w:rFonts w:ascii="Times New Roman;Times;serif" w:hAnsi="Times New Roman;Times;serif"/>
          <w:sz w:val="20"/>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a result, our business may be materially harmed.</w:t>
      </w:r>
    </w:p>
    <w:p>
      <w:pPr>
        <w:pStyle w:val="TextBody"/>
        <w:pBdr/>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In addition, third-party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Our reliance on single-source third-party suppliers could harm our ability to commercialize our drugs or any drug candidates that may be approved in the future.</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highlight w:val="white"/>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pStyle w:val="TextBody"/>
        <w:spacing w:lineRule="auto" w:line="285" w:before="0" w:after="240"/>
        <w:ind w:left="1080" w:right="0" w:hanging="0"/>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highlight w:val="white"/>
        </w:rPr>
        <w:t>as monotherapies and in combination with other agents</w:t>
      </w:r>
      <w:r>
        <w:rPr>
          <w:rFonts w:ascii="Times New Roman;Times;serif" w:hAnsi="Times New Roman;Times;serif"/>
          <w:sz w:val="20"/>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1080" w:right="0" w:hanging="0"/>
        <w:rPr/>
      </w:pPr>
      <w:r>
        <w:rPr/>
        <w:t>●</w:t>
      </w:r>
      <w:r>
        <w:rPr>
          <w:rFonts w:ascii="Times New Roman;Times;serif" w:hAnsi="Times New Roman;Times;serif"/>
          <w:sz w:val="20"/>
        </w:rPr>
        <w:t>successful initiation and completion of preclinical studies for our other drug candidates;</w:t>
      </w:r>
    </w:p>
    <w:p>
      <w:pPr>
        <w:pStyle w:val="TextBody"/>
        <w:spacing w:lineRule="auto" w:line="285" w:before="0" w:after="240"/>
        <w:ind w:left="1080" w:right="0" w:hanging="0"/>
        <w:rPr/>
      </w:pPr>
      <w:r>
        <w:rPr/>
        <w:t>●</w:t>
      </w:r>
      <w:r>
        <w:rPr>
          <w:rFonts w:ascii="Times New Roman;Times;serif" w:hAnsi="Times New Roman;Times;serif"/>
          <w:sz w:val="20"/>
        </w:rPr>
        <w:t>successful development of any companion diagnostic tests for use with our drugs and drug candidates;</w:t>
      </w:r>
    </w:p>
    <w:p>
      <w:pPr>
        <w:pStyle w:val="TextBody"/>
        <w:spacing w:lineRule="auto" w:line="285" w:before="0" w:after="240"/>
        <w:ind w:left="1080" w:right="0" w:hanging="0"/>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spacing w:lineRule="auto" w:line="285" w:before="0" w:after="240"/>
        <w:ind w:left="1080" w:right="0" w:hanging="0"/>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spacing w:lineRule="auto" w:line="285" w:before="0" w:after="240"/>
        <w:ind w:left="1080" w:right="0" w:hanging="0"/>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spacing w:lineRule="auto" w:line="285" w:before="0" w:after="240"/>
        <w:ind w:left="1080" w:right="0" w:hanging="0"/>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spacing w:lineRule="auto" w:line="285" w:before="0" w:after="240"/>
        <w:ind w:left="1080" w:right="0" w:hanging="0"/>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spacing w:lineRule="auto" w:line="285" w:before="0" w:after="240"/>
        <w:ind w:left="1080" w:right="0" w:hanging="0"/>
        <w:rPr/>
      </w:pPr>
      <w:r>
        <w:rPr/>
        <w:t>●</w:t>
      </w:r>
      <w:r>
        <w:rPr>
          <w:rFonts w:ascii="Times New Roman;Times;serif" w:hAnsi="Times New Roman;Times;serif"/>
          <w:sz w:val="20"/>
        </w:rPr>
        <w:t>effectively competing with other therapies;</w:t>
      </w:r>
    </w:p>
    <w:p>
      <w:pPr>
        <w:pStyle w:val="TextBody"/>
        <w:spacing w:lineRule="auto" w:line="285" w:before="0" w:after="240"/>
        <w:ind w:left="1080" w:right="0" w:hanging="0"/>
        <w:rPr/>
      </w:pPr>
      <w:r>
        <w:rPr/>
        <w:t>●</w:t>
      </w:r>
      <w:r>
        <w:rPr>
          <w:rFonts w:ascii="Times New Roman;Times;serif" w:hAnsi="Times New Roman;Times;serif"/>
          <w:sz w:val="20"/>
        </w:rPr>
        <w:t>obtaining and maintaining healthcare coverage and adequate reimbursement;</w:t>
      </w:r>
    </w:p>
    <w:p>
      <w:pPr>
        <w:pStyle w:val="TextBody"/>
        <w:spacing w:lineRule="auto" w:line="285" w:before="0" w:after="240"/>
        <w:ind w:left="1080" w:right="0" w:hanging="0"/>
        <w:rPr/>
      </w:pPr>
      <w:r>
        <w:rPr/>
        <w:t>●</w:t>
      </w:r>
      <w:r>
        <w:rPr>
          <w:rFonts w:ascii="Times New Roman;Times;serif" w:hAnsi="Times New Roman;Times;serif"/>
          <w:sz w:val="20"/>
        </w:rPr>
        <w:t>enforcing and defending intellectual property rights and claims; and</w:t>
      </w:r>
    </w:p>
    <w:p>
      <w:pPr>
        <w:pStyle w:val="TextBody"/>
        <w:spacing w:lineRule="auto" w:line="285"/>
        <w:ind w:left="1080" w:right="0" w:hanging="0"/>
        <w:rPr/>
      </w:pPr>
      <w:r>
        <w:rPr/>
        <w:t>●</w:t>
      </w:r>
      <w:r>
        <w:rPr>
          <w:rFonts w:ascii="Times New Roman;Times;serif" w:hAnsi="Times New Roman;Times;serif"/>
          <w:sz w:val="20"/>
        </w:rPr>
        <w:t>maintaining a continued acceptable safety profile of our drugs and drug candidates following approval.</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experience delays or difficulties in the enrollment of patients in clinical trials, our receipt of necessary regulatory approvals could be delayed or prevented.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CellMar>
          <w:top w:w="28" w:type="dxa"/>
          <w:left w:w="28" w:type="dxa"/>
          <w:bottom w:w="28" w:type="dxa"/>
          <w:right w:w="28" w:type="dxa"/>
        </w:tblCellMar>
      </w:tblPr>
      <w:tblGrid>
        <w:gridCol w:w="124"/>
        <w:gridCol w:w="256"/>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CellMar>
          <w:top w:w="28" w:type="dxa"/>
          <w:left w:w="28" w:type="dxa"/>
          <w:bottom w:w="28" w:type="dxa"/>
          <w:right w:w="28" w:type="dxa"/>
        </w:tblCellMar>
      </w:tblPr>
      <w:tblGrid>
        <w:gridCol w:w="124"/>
        <w:gridCol w:w="256"/>
        <w:gridCol w:w="3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CellMar>
          <w:top w:w="28" w:type="dxa"/>
          <w:left w:w="28" w:type="dxa"/>
          <w:bottom w:w="28" w:type="dxa"/>
          <w:right w:w="28" w:type="dxa"/>
        </w:tblCellMar>
      </w:tblPr>
      <w:tblGrid>
        <w:gridCol w:w="124"/>
        <w:gridCol w:w="256"/>
        <w:gridCol w:w="3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CellMar>
          <w:top w:w="28" w:type="dxa"/>
          <w:left w:w="28" w:type="dxa"/>
          <w:bottom w:w="28" w:type="dxa"/>
          <w:right w:w="28" w:type="dxa"/>
        </w:tblCellMar>
      </w:tblPr>
      <w:tblGrid>
        <w:gridCol w:w="124"/>
        <w:gridCol w:w="256"/>
        <w:gridCol w:w="47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CellMar>
          <w:top w:w="28" w:type="dxa"/>
          <w:left w:w="28" w:type="dxa"/>
          <w:bottom w:w="28" w:type="dxa"/>
          <w:right w:w="28" w:type="dxa"/>
        </w:tblCellMar>
      </w:tblPr>
      <w:tblGrid>
        <w:gridCol w:w="124"/>
        <w:gridCol w:w="256"/>
        <w:gridCol w:w="5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CellMar>
          <w:top w:w="28" w:type="dxa"/>
          <w:left w:w="28" w:type="dxa"/>
          <w:bottom w:w="28" w:type="dxa"/>
          <w:right w:w="28" w:type="dxa"/>
        </w:tblCellMar>
      </w:tblPr>
      <w:tblGrid>
        <w:gridCol w:w="124"/>
        <w:gridCol w:w="256"/>
        <w:gridCol w:w="48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lineRule="auto" w:line="285" w:before="0" w:after="0"/>
        <w:ind w:left="0" w:right="0" w:hanging="0"/>
        <w:rPr>
          <w:rFonts w:ascii="Times New Roman;Times;serif" w:hAnsi="Times New Roman;Times;serif"/>
          <w:sz w:val="20"/>
        </w:rPr>
      </w:pPr>
      <w:r>
        <w:rPr>
          <w:rFonts w:ascii="Times New Roman;Times;serif" w:hAnsi="Times New Roman;Times;serif"/>
          <w:sz w:val="20"/>
        </w:rPr>
        <w:t>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CellMar>
          <w:top w:w="28" w:type="dxa"/>
          <w:left w:w="28" w:type="dxa"/>
          <w:bottom w:w="28" w:type="dxa"/>
          <w:right w:w="28" w:type="dxa"/>
        </w:tblCellMar>
      </w:tblPr>
      <w:tblGrid>
        <w:gridCol w:w="124"/>
        <w:gridCol w:w="256"/>
        <w:gridCol w:w="8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or comparable foreign regulatory authorities may find deficiencies with or fail to approve the manufacturing processes or facilities of third-party manufacturers with which we contract for clinical and commercial supplies;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impacting the FDA or comparable foreign regulatory authorities due to the ongoing COVID-19 pandemic.</w:t>
            </w:r>
          </w:p>
        </w:tc>
      </w:tr>
    </w:tbl>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 xml:space="preserve">Moreover, during the COVID-19 pandemic,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pStyle w:val="TextBody"/>
        <w:spacing w:lineRule="auto" w:line="285" w:before="0" w:after="0"/>
        <w:ind w:left="0" w:right="0" w:hanging="0"/>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lineRule="auto" w:line="285"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lineRule="auto" w:line="285" w:before="0" w:after="0"/>
        <w:ind w:left="0" w:right="0" w:hanging="0"/>
        <w:jc w:val="both"/>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CellMar>
          <w:top w:w="28" w:type="dxa"/>
          <w:left w:w="28" w:type="dxa"/>
          <w:bottom w:w="28" w:type="dxa"/>
          <w:right w:w="28" w:type="dxa"/>
        </w:tblCellMar>
      </w:tblPr>
      <w:tblGrid>
        <w:gridCol w:w="124"/>
        <w:gridCol w:w="256"/>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9786" w:type="dxa"/>
        <w:jc w:val="left"/>
        <w:tblInd w:w="0" w:type="dxa"/>
        <w:tblCellMar>
          <w:top w:w="28" w:type="dxa"/>
          <w:left w:w="28" w:type="dxa"/>
          <w:bottom w:w="28" w:type="dxa"/>
          <w:right w:w="28" w:type="dxa"/>
        </w:tblCellMar>
      </w:tblPr>
      <w:tblGrid>
        <w:gridCol w:w="124"/>
        <w:gridCol w:w="256"/>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CellMar>
          <w:top w:w="28" w:type="dxa"/>
          <w:left w:w="28" w:type="dxa"/>
          <w:bottom w:w="28" w:type="dxa"/>
          <w:right w:w="28" w:type="dxa"/>
        </w:tblCellMar>
      </w:tblPr>
      <w:tblGrid>
        <w:gridCol w:w="124"/>
        <w:gridCol w:w="256"/>
        <w:gridCol w:w="2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spacing w:before="240" w:after="240"/>
        <w:ind w:left="0" w:right="0" w:hanging="0"/>
        <w:rPr>
          <w:rFonts w:ascii="Times New Roman;Times;serif" w:hAnsi="Times New Roman;Times;serif"/>
          <w:b/>
          <w:i/>
          <w:sz w:val="20"/>
        </w:rPr>
      </w:pPr>
      <w:r>
        <w:rPr>
          <w:rFonts w:ascii="Times New Roman;Times;serif" w:hAnsi="Times New Roman;Times;serif"/>
          <w:b/>
          <w:i/>
          <w:sz w:val="20"/>
        </w:rPr>
        <w:t xml:space="preserve">We may seek designation for our discovery platform as a designated platform technology, but we might not receive such designation, and even if we do, such designation may not lead to faster drug development or a faster regulatory review or approval process.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investigational new drug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moderate to severe indolent SM and RET-altered cancers, respectively.</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for the treatment of HCC. In addition, the European Commission, or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Similarly, in the EU, the European Commission grants orphan medicinal product designation after receiving the opinion of the European Medicines Agency’s, or EMA, Committee for Orphan Medicinal Products on an orphan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acquisitions or in-licenses.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in the past and may in the future seek approval of current or future drug candidates, where applicable, under the FDA’s accelerated approval pathway. 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restrictions on the marketing or manufacturing of the drug, withdrawal of the drug from the market, </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294" w:type="dxa"/>
        <w:jc w:val="left"/>
        <w:tblInd w:w="0" w:type="dxa"/>
        <w:tblCellMar>
          <w:top w:w="28" w:type="dxa"/>
          <w:left w:w="28" w:type="dxa"/>
          <w:bottom w:w="28" w:type="dxa"/>
          <w:right w:w="28" w:type="dxa"/>
        </w:tblCellMar>
      </w:tblPr>
      <w:tblGrid>
        <w:gridCol w:w="124"/>
        <w:gridCol w:w="109"/>
        <w:gridCol w:w="30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dear doctor” letters or drug recalls;</w:t>
            </w:r>
          </w:p>
        </w:tc>
      </w:tr>
    </w:tbl>
    <w:tbl>
      <w:tblPr>
        <w:tblW w:w="4341" w:type="dxa"/>
        <w:jc w:val="left"/>
        <w:tblInd w:w="0" w:type="dxa"/>
        <w:tblCellMar>
          <w:top w:w="28" w:type="dxa"/>
          <w:left w:w="28" w:type="dxa"/>
          <w:bottom w:w="28" w:type="dxa"/>
          <w:right w:w="28" w:type="dxa"/>
        </w:tblCellMar>
      </w:tblPr>
      <w:tblGrid>
        <w:gridCol w:w="124"/>
        <w:gridCol w:w="256"/>
        <w:gridCol w:w="3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CellMar>
          <w:top w:w="28" w:type="dxa"/>
          <w:left w:w="28" w:type="dxa"/>
          <w:bottom w:w="28" w:type="dxa"/>
          <w:right w:w="28" w:type="dxa"/>
        </w:tblCellMar>
      </w:tblPr>
      <w:tblGrid>
        <w:gridCol w:w="124"/>
        <w:gridCol w:w="256"/>
        <w:gridCol w:w="6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CellMar>
          <w:top w:w="28" w:type="dxa"/>
          <w:left w:w="28" w:type="dxa"/>
          <w:bottom w:w="28" w:type="dxa"/>
          <w:right w:w="28" w:type="dxa"/>
        </w:tblCellMar>
      </w:tblPr>
      <w:tblGrid>
        <w:gridCol w:w="124"/>
        <w:gridCol w:w="256"/>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spacing w:lineRule="auto" w:line="285"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spacing w:lineRule="auto" w:line="285"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w:t>
      </w:r>
      <w:r>
        <w:rPr>
          <w:rFonts w:ascii="Times New Roman;Times;serif" w:hAnsi="Times New Roman;Times;serif"/>
          <w:i/>
          <w:sz w:val="20"/>
        </w:rPr>
        <w:t>Business – Coverage and Reimbursement</w:t>
      </w:r>
      <w:r>
        <w:rPr>
          <w:rFonts w:ascii="Times New Roman;Times;serif" w:hAnsi="Times New Roman;Times;serif"/>
          <w:sz w:val="20"/>
        </w:rPr>
        <w:t xml:space="preserve">” included in our Annual Report on Form 10-K for the year ended December 31, 2022. </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In August 2022, the Inflation Reduction Act of 2022, or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 See section entitled “</w:t>
      </w:r>
      <w:r>
        <w:rPr>
          <w:rFonts w:ascii="Times New Roman;Times;serif" w:hAnsi="Times New Roman;Times;serif"/>
          <w:i/>
          <w:sz w:val="20"/>
        </w:rPr>
        <w:t>Business – Coverage and Reimbursement</w:t>
      </w:r>
      <w:r>
        <w:rPr>
          <w:rFonts w:ascii="Times New Roman;Times;serif" w:hAnsi="Times New Roman;Times;serif"/>
          <w:sz w:val="20"/>
        </w:rPr>
        <w:t xml:space="preserve">” included in our Annual Report on Form 10-K for the year ended December 31, 2022.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For example, on July 9, 2021, President Biden issued an executive order directing the FDA to, among other things, continue to clarify and improve the approval framework for generic drugs and identify and address any efforts to impede generic drug competition which could adversely impact our business.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Creating and Restoring Equal Access to Equivalent Samples Act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the Physician Payment Sunshine Act, as amended by the Health Information Technology for Economic and Clinical Health Act of 2009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rPr>
        <w:t>Business – Other Healthcare Laws</w:t>
      </w:r>
      <w:r>
        <w:rPr>
          <w:rFonts w:ascii="Times New Roman;Times;serif" w:hAnsi="Times New Roman;Times;serif"/>
          <w:sz w:val="20"/>
        </w:rPr>
        <w:t>” included in our Annual Report on Form 10-K for the year ended December 31, 2022.</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spacing w:lineRule="auto" w:line="285" w:before="0" w:after="240"/>
        <w:ind w:left="1080" w:right="0" w:hanging="0"/>
        <w:rPr/>
      </w:pPr>
      <w:r>
        <w:rPr/>
        <w:t>●</w:t>
      </w:r>
      <w:r>
        <w:rPr>
          <w:rFonts w:ascii="Times New Roman;Times;serif" w:hAnsi="Times New Roman;Times;serif"/>
          <w:sz w:val="20"/>
        </w:rPr>
        <w:t>our customers’ ability to obtain reimbursement for our drug candidates in foreign markets;</w:t>
      </w:r>
    </w:p>
    <w:p>
      <w:pPr>
        <w:pStyle w:val="TextBody"/>
        <w:spacing w:lineRule="auto" w:line="285" w:before="0" w:after="240"/>
        <w:ind w:left="1080" w:right="0" w:hanging="0"/>
        <w:rPr/>
      </w:pPr>
      <w:r>
        <w:rPr/>
        <w:t>●</w:t>
      </w:r>
      <w:r>
        <w:rPr>
          <w:rFonts w:ascii="Times New Roman;Times;serif" w:hAnsi="Times New Roman;Times;serif"/>
          <w:sz w:val="20"/>
        </w:rPr>
        <w:t>our inability to directly control commercial activities because we are relying on third parties;</w:t>
      </w:r>
    </w:p>
    <w:p>
      <w:pPr>
        <w:pStyle w:val="TextBody"/>
        <w:spacing w:lineRule="auto" w:line="285" w:before="0" w:after="240"/>
        <w:ind w:left="1080" w:right="0" w:hanging="0"/>
        <w:rPr/>
      </w:pPr>
      <w:r>
        <w:rPr/>
        <w:t>●</w:t>
      </w:r>
      <w:r>
        <w:rPr>
          <w:rFonts w:ascii="Times New Roman;Times;serif" w:hAnsi="Times New Roman;Times;serif"/>
          <w:sz w:val="20"/>
        </w:rPr>
        <w:t>the burden of complying with complex and changing foreign regulatory, tax, accounting and legal requirements, including the European General Data Protection Regulation 2016/679, commonly referred to as GDPR;</w:t>
      </w:r>
    </w:p>
    <w:p>
      <w:pPr>
        <w:pStyle w:val="TextBody"/>
        <w:spacing w:lineRule="auto" w:line="285" w:before="0" w:after="240"/>
        <w:ind w:left="1080" w:right="0" w:hanging="0"/>
        <w:rPr/>
      </w:pPr>
      <w:r>
        <w:rPr/>
        <w:t>●</w:t>
      </w:r>
      <w:r>
        <w:rPr>
          <w:rFonts w:ascii="Times New Roman;Times;serif" w:hAnsi="Times New Roman;Times;serif"/>
          <w:sz w:val="20"/>
        </w:rPr>
        <w:t>different medical practices and customs in foreign countries affecting acceptance in the marketplace;</w:t>
      </w:r>
    </w:p>
    <w:p>
      <w:pPr>
        <w:pStyle w:val="TextBody"/>
        <w:spacing w:lineRule="auto" w:line="285" w:before="0" w:after="240"/>
        <w:ind w:left="1080" w:right="0" w:hanging="0"/>
        <w:rPr/>
      </w:pPr>
      <w:r>
        <w:rPr/>
        <w:t>●</w:t>
      </w:r>
      <w:r>
        <w:rPr>
          <w:rFonts w:ascii="Times New Roman;Times;serif" w:hAnsi="Times New Roman;Times;serif"/>
          <w:sz w:val="20"/>
        </w:rPr>
        <w:t>import or export licensing requirements;</w:t>
      </w:r>
    </w:p>
    <w:p>
      <w:pPr>
        <w:pStyle w:val="TextBody"/>
        <w:spacing w:lineRule="auto" w:line="285" w:before="0" w:after="240"/>
        <w:ind w:left="1080" w:right="0" w:hanging="0"/>
        <w:rPr/>
      </w:pPr>
      <w:r>
        <w:rPr/>
        <w:t>●</w:t>
      </w:r>
      <w:r>
        <w:rPr>
          <w:rFonts w:ascii="Times New Roman;Times;serif" w:hAnsi="Times New Roman;Times;serif"/>
          <w:sz w:val="20"/>
        </w:rPr>
        <w:t>longer accounts receivable collection times;</w:t>
      </w:r>
    </w:p>
    <w:p>
      <w:pPr>
        <w:pStyle w:val="TextBody"/>
        <w:spacing w:lineRule="auto" w:line="285" w:before="0" w:after="240"/>
        <w:ind w:left="1080" w:right="0" w:hanging="0"/>
        <w:rPr/>
      </w:pPr>
      <w:r>
        <w:rPr/>
        <w:t>●</w:t>
      </w:r>
      <w:r>
        <w:rPr>
          <w:rFonts w:ascii="Times New Roman;Times;serif" w:hAnsi="Times New Roman;Times;serif"/>
          <w:sz w:val="20"/>
        </w:rPr>
        <w:t>longer lead times for shipping;</w:t>
      </w:r>
    </w:p>
    <w:p>
      <w:pPr>
        <w:pStyle w:val="TextBody"/>
        <w:spacing w:lineRule="auto" w:line="285" w:before="0" w:after="240"/>
        <w:ind w:left="1080" w:right="0" w:hanging="0"/>
        <w:rPr/>
      </w:pPr>
      <w:r>
        <w:rPr/>
        <w:t>●</w:t>
      </w:r>
      <w:r>
        <w:rPr>
          <w:rFonts w:ascii="Times New Roman;Times;serif" w:hAnsi="Times New Roman;Times;serif"/>
          <w:sz w:val="20"/>
        </w:rPr>
        <w:t>language barriers for technical training;</w:t>
      </w:r>
    </w:p>
    <w:p>
      <w:pPr>
        <w:pStyle w:val="TextBody"/>
        <w:spacing w:lineRule="auto" w:line="285" w:before="0" w:after="240"/>
        <w:ind w:left="1080" w:right="0" w:hanging="0"/>
        <w:rPr/>
      </w:pPr>
      <w:r>
        <w:rPr/>
        <w:t>●</w:t>
      </w:r>
      <w:r>
        <w:rPr>
          <w:rFonts w:ascii="Times New Roman;Times;serif" w:hAnsi="Times New Roman;Times;serif"/>
          <w:sz w:val="20"/>
        </w:rPr>
        <w:t>reduced protection of intellectual property rights in some foreign countries;</w:t>
      </w:r>
    </w:p>
    <w:p>
      <w:pPr>
        <w:pStyle w:val="TextBody"/>
        <w:spacing w:lineRule="auto" w:line="285" w:before="0" w:after="240"/>
        <w:ind w:left="1080" w:right="0" w:hanging="0"/>
        <w:rPr/>
      </w:pPr>
      <w:r>
        <w:rPr/>
        <w:t>●</w:t>
      </w:r>
      <w:r>
        <w:rPr>
          <w:rFonts w:ascii="Times New Roman;Times;serif" w:hAnsi="Times New Roman;Times;serif"/>
          <w:sz w:val="20"/>
        </w:rPr>
        <w:t>the existence of additional potentially relevant third-party intellectual property rights;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1080" w:right="0" w:hanging="0"/>
        <w:rPr/>
      </w:pPr>
      <w:r>
        <w:rPr/>
        <w:t>●</w:t>
      </w:r>
      <w:r>
        <w:rPr>
          <w:rFonts w:ascii="Times New Roman;Times;serif" w:hAnsi="Times New Roman;Times;serif"/>
          <w:sz w:val="20"/>
        </w:rPr>
        <w:t>foreign currency exchange rate fluctuations; and</w:t>
      </w:r>
    </w:p>
    <w:p>
      <w:pPr>
        <w:pStyle w:val="TextBody"/>
        <w:spacing w:lineRule="auto" w:line="285"/>
        <w:ind w:left="1080" w:right="0" w:hanging="0"/>
        <w:rPr/>
      </w:pPr>
      <w:r>
        <w:rPr/>
        <w:t>●</w:t>
      </w:r>
      <w:r>
        <w:rPr>
          <w:rFonts w:ascii="Times New Roman;Times;serif" w:hAnsi="Times New Roman;Times;serif"/>
          <w:sz w:val="20"/>
        </w:rPr>
        <w:t>the interpretation of contractual provisions governed by foreign laws in the event of a contract dispute.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anticipate that we will incur continued losses for the foreseeable future.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March 31, 2023, we have received an aggregate of $3.6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with Alexion Pharma Holding, or Alexion and $150.0 million in gross proceeds from a term loan from Sixth Street Partners. In addition, since January 2020, we also have generated revenue through sales of our drug products.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loss was $129.6 million for the three months ended March 31, 2023. Our net losses were $557.5 million and $644.1 million for the years ended December 31, 2022 and 2021, respectively. As of March 31, 2023, we had an accumulated deficit of $1,962.5 million.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spacing w:lineRule="auto" w:line="285" w:before="0" w:after="240"/>
        <w:ind w:left="1080" w:right="0" w:hanging="0"/>
        <w:rPr/>
      </w:pPr>
      <w:r>
        <w:rPr/>
        <w:t>●</w:t>
      </w:r>
      <w:r>
        <w:rPr>
          <w:rFonts w:ascii="Times New Roman;Times;serif" w:hAnsi="Times New Roman;Times;serif"/>
          <w:sz w:val="20"/>
        </w:rPr>
        <w:t>initiate and successfully complete clinical trials that meet their clinical endpoints;</w:t>
      </w:r>
    </w:p>
    <w:p>
      <w:pPr>
        <w:pStyle w:val="TextBody"/>
        <w:spacing w:lineRule="auto" w:line="285" w:before="0" w:after="240"/>
        <w:ind w:left="1080" w:right="0" w:hanging="0"/>
        <w:rPr/>
      </w:pPr>
      <w:r>
        <w:rPr/>
        <w:t>●</w:t>
      </w:r>
      <w:r>
        <w:rPr>
          <w:rFonts w:ascii="Times New Roman;Times;serif" w:hAnsi="Times New Roman;Times;serif"/>
          <w:sz w:val="20"/>
        </w:rPr>
        <w:t>initiate and successfully complete all safety studies required to obtain U.S. and foreign marketing approval for our drug candidates, including for avapritinib and pralsetinib</w:t>
      </w:r>
      <w:r>
        <w:rPr>
          <w:rFonts w:ascii="Times New Roman;Times;serif" w:hAnsi="Times New Roman;Times;serif"/>
          <w:sz w:val="20"/>
          <w:highlight w:val="white"/>
        </w:rPr>
        <w:t xml:space="preserve"> for additional indications or in additional geographies</w:t>
      </w:r>
      <w:r>
        <w:rPr>
          <w:rFonts w:ascii="Times New Roman;Times;serif" w:hAnsi="Times New Roman;Times;serif"/>
          <w:sz w:val="20"/>
        </w:rPr>
        <w:t>;</w:t>
      </w:r>
    </w:p>
    <w:p>
      <w:pPr>
        <w:pStyle w:val="TextBody"/>
        <w:spacing w:lineRule="auto" w:line="285" w:before="0" w:after="240"/>
        <w:ind w:left="1080" w:right="0" w:hanging="0"/>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spacing w:lineRule="auto" w:line="285" w:before="0" w:after="240"/>
        <w:ind w:left="1080" w:right="0" w:hanging="0"/>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spacing w:lineRule="auto" w:line="285" w:before="0" w:after="240"/>
        <w:ind w:left="1080" w:right="0" w:hanging="0"/>
        <w:rPr/>
      </w:pPr>
      <w:r>
        <w:rPr/>
        <w:t>●</w:t>
      </w:r>
      <w:r>
        <w:rPr>
          <w:rFonts w:ascii="Times New Roman;Times;serif" w:hAnsi="Times New Roman;Times;serif"/>
          <w:sz w:val="20"/>
        </w:rPr>
        <w:t>achieve market acceptance in the medical community and with third-party payors for AYVAKIT/AYVAKYT, GAVRETO and any current or future drug candidates for which we receive marketing approval; and</w:t>
      </w:r>
    </w:p>
    <w:p>
      <w:pPr>
        <w:pStyle w:val="TextBody"/>
        <w:spacing w:lineRule="auto" w:line="285"/>
        <w:ind w:left="1080" w:right="0" w:hanging="0"/>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Our future capital requirements will depend on and could increase significantly as a result of many factors, including: </w:t>
      </w:r>
    </w:p>
    <w:p>
      <w:pPr>
        <w:pStyle w:val="TextBody"/>
        <w:spacing w:lineRule="auto" w:line="285" w:before="0" w:after="240"/>
        <w:ind w:left="1080" w:right="0" w:hanging="0"/>
        <w:rPr/>
      </w:pPr>
      <w:r>
        <w:rPr/>
        <w:t>●</w:t>
      </w:r>
      <w:r>
        <w:rPr>
          <w:rFonts w:ascii="Times New Roman;Times;serif" w:hAnsi="Times New Roman;Times;serif"/>
          <w:sz w:val="20"/>
        </w:rPr>
        <w:t>the success of our commercialization efforts and market acceptance for AYVAKIT/AYVAKYT, GAVRETO or any of our current or future drug candidates for which we receive marketing approval;</w:t>
      </w:r>
    </w:p>
    <w:p>
      <w:pPr>
        <w:pStyle w:val="TextBody"/>
        <w:spacing w:lineRule="auto" w:line="285" w:before="0" w:after="240"/>
        <w:ind w:left="1080" w:right="0" w:hanging="0"/>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spacing w:lineRule="auto" w:line="285" w:before="0" w:after="240"/>
        <w:ind w:left="1080" w:right="0" w:hanging="0"/>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spacing w:lineRule="auto" w:line="285" w:before="0" w:after="240"/>
        <w:ind w:left="1080" w:right="0" w:hanging="0"/>
        <w:rPr/>
      </w:pPr>
      <w:r>
        <w:rPr/>
        <w:t>●</w:t>
      </w:r>
      <w:r>
        <w:rPr>
          <w:rFonts w:ascii="Times New Roman;Times;serif" w:hAnsi="Times New Roman;Times;serif"/>
          <w:sz w:val="20"/>
          <w:highlight w:val="white"/>
        </w:rPr>
        <w:t>the cost of purchasing quantities of agents for use in our clinical trials in connection with our efforts to develop our drugs and drug candidates, including for development as combination therapies;</w:t>
      </w:r>
    </w:p>
    <w:p>
      <w:pPr>
        <w:pStyle w:val="TextBody"/>
        <w:spacing w:lineRule="auto" w:line="285" w:before="0" w:after="240"/>
        <w:ind w:left="1080" w:right="0" w:hanging="0"/>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spacing w:lineRule="auto" w:line="285" w:before="0" w:after="240"/>
        <w:ind w:left="1080" w:right="0" w:hanging="0"/>
        <w:rPr/>
      </w:pPr>
      <w:r>
        <w:rPr/>
        <w:t>●</w:t>
      </w:r>
      <w:r>
        <w:rPr>
          <w:rFonts w:ascii="Times New Roman;Times;serif" w:hAnsi="Times New Roman;Times;serif"/>
          <w:sz w:val="20"/>
        </w:rPr>
        <w:t>the costs, timing and outcome of regulatory review of marketing applications for our drug candidates, including seeking marketing approval for avapritinib and pralsetinib for additional indications or in additional geographies;</w:t>
      </w:r>
    </w:p>
    <w:p>
      <w:pPr>
        <w:pStyle w:val="TextBody"/>
        <w:spacing w:lineRule="auto" w:line="285" w:before="0" w:after="240"/>
        <w:ind w:left="1080" w:right="0" w:hanging="0"/>
        <w:rPr/>
      </w:pPr>
      <w:r>
        <w:rPr/>
        <w:t>●</w:t>
      </w:r>
      <w:r>
        <w:rPr>
          <w:rFonts w:ascii="Times New Roman;Times;serif" w:hAnsi="Times New Roman;Times;serif"/>
          <w:sz w:val="20"/>
        </w:rPr>
        <w:t>the success of our collaborations with CStone and Zai Lab and our license agreements with Clementia and IDRx, as well as our ability to establish and maintain additional collaborations, partnerships or licenses on favorable terms, if at all;</w:t>
      </w:r>
    </w:p>
    <w:p>
      <w:pPr>
        <w:pStyle w:val="TextBody"/>
        <w:spacing w:lineRule="auto" w:line="285" w:before="0" w:after="240"/>
        <w:ind w:left="1080" w:right="0" w:hanging="0"/>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spacing w:lineRule="auto" w:line="285" w:before="0" w:after="240"/>
        <w:ind w:left="1080" w:right="0" w:hanging="0"/>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spacing w:lineRule="auto" w:line="285" w:before="0" w:after="240"/>
        <w:ind w:left="1080" w:right="0" w:hanging="0"/>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spacing w:lineRule="auto" w:line="285" w:before="0" w:after="240"/>
        <w:ind w:left="1080" w:right="0" w:hanging="0"/>
        <w:rPr/>
      </w:pPr>
      <w:r>
        <w:rPr/>
        <w:t>●</w:t>
      </w:r>
      <w:r>
        <w:rPr>
          <w:rFonts w:ascii="Times New Roman;Times;serif" w:hAnsi="Times New Roman;Times;serif"/>
          <w:sz w:val="20"/>
        </w:rPr>
        <w:t>the success of our current or future collaborations for the development and commercialization of companion diagnostic tests;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1080" w:right="0" w:hanging="0"/>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spacing w:lineRule="auto" w:line="285"/>
        <w:ind w:left="1080" w:right="0" w:hanging="0"/>
        <w:rPr/>
      </w:pPr>
      <w:r>
        <w:rPr/>
        <w:t>●</w:t>
      </w:r>
      <w:r>
        <w:rPr>
          <w:rFonts w:ascii="Times New Roman;Times;serif" w:hAnsi="Times New Roman;Times;serif"/>
          <w:sz w:val="20"/>
        </w:rPr>
        <w:t>the costs of continuing to expand our operations.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Until such time, if ever, as we can generate substantial drug revenues,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CStone and Zai Lab and the license agreements with Clementia and IDRx, </w:t>
      </w:r>
      <w:r>
        <w:rPr>
          <w:rFonts w:ascii="Times New Roman;Times;serif" w:hAnsi="Times New Roman;Times;serif"/>
          <w:sz w:val="20"/>
          <w:highlight w:val="white"/>
        </w:rPr>
        <w:t xml:space="preserve">the Royalty Purchase Agreement with Royalty Pharma, and the Financing Agreement with Sixth Street Partners, which are limited in scope and duration and subject to the achievement of milestones or royalties on sales of licensed products, if any.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which we refer to as the Roche pralsetinib collaboration agreement. As consideration for the arrangement, we received $175.0 million upfront in cash and may receive up to $165.0 million in contingent milestone payments. However, in February 2023, Roche provided written notice of its election to terminate the Roche pralsetinib collaboration agreement for convenience. Following the termination of the Roche pralsetinib collaboration agreement, if the specified net sales milestone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thresholds under the Royalty Purchase Agreement with Royalty Pharma are not otherwise met, we may no longer be eligible to receive any of the contingent milestone payments under the Royalty Purchase Agreement.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June 2022, we entered into a Future Revenue Purchase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 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 in July 2022 upon the transactions closing.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Under the Financing Agreement by and among the Company, the other lenders from time to time party thereto and Tao Talents, LLC, as the administrative agent for the lenders,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 </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Sixth Street Financing Agreement could restrict our ability to grow our business or enter into transactions that we believe would be beneficial to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have entered into collaborations and licenses with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Collaborations and licenses with pharmaceutical or biotechnology companies and other third parties often are terminated or allowed to expire by the other party. Any termination or expiration of our collaboration or license agreements with CStone, Zai Lab, Proteovant,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While we will regain rights to the development and commercialization of GAVRETO following the effective date of such termination, there can be no assurance that we will be able to successfully enter into a new arrangement with a third party to collaborate on the development and commercialization or GAVRETO, or that we will be able to successfully commercialize GAVRETO through our own organization. Further, following the termination of such collaboration agreement, if the specified net sales milestone thresholds under the Royalty Purchase Agreement with Royalty Pharma are not otherwise met, we may no longer be eligible to receive any of the contingent milestone payments under the Royalty Purchase Agreement.</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spacing w:lineRule="auto" w:line="285" w:before="0" w:after="240"/>
        <w:ind w:left="1080" w:right="0" w:hanging="0"/>
        <w:rPr/>
      </w:pPr>
      <w:r>
        <w:rPr/>
        <w:t>●</w:t>
      </w:r>
      <w:r>
        <w:rPr>
          <w:rFonts w:ascii="Times New Roman;Times;serif" w:hAnsi="Times New Roman;Times;serif"/>
          <w:sz w:val="20"/>
        </w:rPr>
        <w:t>have staffing difficulties;</w:t>
      </w:r>
    </w:p>
    <w:p>
      <w:pPr>
        <w:pStyle w:val="TextBody"/>
        <w:spacing w:lineRule="auto" w:line="285" w:before="0" w:after="240"/>
        <w:ind w:left="1080" w:right="0" w:hanging="0"/>
        <w:rPr/>
      </w:pPr>
      <w:r>
        <w:rPr/>
        <w:t>●</w:t>
      </w:r>
      <w:r>
        <w:rPr>
          <w:rFonts w:ascii="Times New Roman;Times;serif" w:hAnsi="Times New Roman;Times;serif"/>
          <w:sz w:val="20"/>
        </w:rPr>
        <w:t>fail to comply with contractual obligations;</w:t>
      </w:r>
    </w:p>
    <w:p>
      <w:pPr>
        <w:pStyle w:val="TextBody"/>
        <w:spacing w:lineRule="auto" w:line="285" w:before="0" w:after="240"/>
        <w:ind w:left="1080" w:right="0" w:hanging="0"/>
        <w:rPr/>
      </w:pPr>
      <w:r>
        <w:rPr/>
        <w:t>●</w:t>
      </w:r>
      <w:r>
        <w:rPr>
          <w:rFonts w:ascii="Times New Roman;Times;serif" w:hAnsi="Times New Roman;Times;serif"/>
          <w:sz w:val="20"/>
        </w:rPr>
        <w:t>experience regulatory compliance issues;</w:t>
      </w:r>
    </w:p>
    <w:p>
      <w:pPr>
        <w:pStyle w:val="TextBody"/>
        <w:spacing w:lineRule="auto" w:line="285" w:before="0" w:after="240"/>
        <w:ind w:left="1080" w:right="0" w:hanging="0"/>
        <w:rPr/>
      </w:pPr>
      <w:r>
        <w:rPr/>
        <w:t>●</w:t>
      </w:r>
      <w:r>
        <w:rPr>
          <w:rFonts w:ascii="Times New Roman;Times;serif" w:hAnsi="Times New Roman;Times;serif"/>
          <w:sz w:val="20"/>
        </w:rPr>
        <w:t>undergo changes in priorities or become financially distressed; or</w:t>
      </w:r>
    </w:p>
    <w:p>
      <w:pPr>
        <w:pStyle w:val="TextBody"/>
        <w:spacing w:lineRule="auto" w:line="285"/>
        <w:ind w:left="1080" w:right="0" w:hanging="0"/>
        <w:rPr/>
      </w:pPr>
      <w:r>
        <w:rPr/>
        <w:t>●</w:t>
      </w:r>
      <w:r>
        <w:rPr>
          <w:rFonts w:ascii="Times New Roman;Times;serif" w:hAnsi="Times New Roman;Times;serif"/>
          <w:sz w:val="20"/>
        </w:rPr>
        <w:t>form relationships with other entities, some of which may be our competitors.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spacing w:lineRule="auto" w:line="285" w:before="0" w:after="0"/>
        <w:ind w:left="0" w:right="0" w:firstLine="720"/>
        <w:rPr/>
      </w:pPr>
      <w:r>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 Regulatory authorities outside the U.S. may adopt similar restrictions or other policy measures in response to the ongoing COVID-</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19 pandemic and may experience delays in their regulatory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spacing w:lineRule="auto" w:line="285" w:before="0" w:after="240"/>
        <w:ind w:left="1080" w:right="0" w:hanging="0"/>
        <w:rPr/>
      </w:pPr>
      <w:r>
        <w:rPr/>
        <w:t>●</w:t>
      </w:r>
      <w:r>
        <w:rPr>
          <w:rFonts w:ascii="Times New Roman;Times;serif" w:hAnsi="Times New Roman;Times;serif"/>
          <w:sz w:val="20"/>
        </w:rPr>
        <w:t>reliance on the third party for regulatory compliance and quality assurance;</w:t>
      </w:r>
    </w:p>
    <w:p>
      <w:pPr>
        <w:pStyle w:val="TextBody"/>
        <w:spacing w:lineRule="auto" w:line="285" w:before="0" w:after="240"/>
        <w:ind w:left="1080" w:right="0" w:hanging="0"/>
        <w:rPr/>
      </w:pPr>
      <w:r>
        <w:rPr/>
        <w:t>●</w:t>
      </w:r>
      <w:r>
        <w:rPr>
          <w:rFonts w:ascii="Times New Roman;Times;serif" w:hAnsi="Times New Roman;Times;serif"/>
          <w:sz w:val="20"/>
        </w:rPr>
        <w:t>the possible breach of the manufacturing agreement by the third party;</w:t>
      </w:r>
    </w:p>
    <w:p>
      <w:pPr>
        <w:pStyle w:val="TextBody"/>
        <w:spacing w:lineRule="auto" w:line="285" w:before="0" w:after="240"/>
        <w:ind w:left="1080" w:right="0" w:hanging="0"/>
        <w:rPr/>
      </w:pPr>
      <w:r>
        <w:rPr/>
        <w:t>●</w:t>
      </w:r>
      <w:r>
        <w:rPr>
          <w:rFonts w:ascii="Times New Roman;Times;serif" w:hAnsi="Times New Roman;Times;serif"/>
          <w:sz w:val="20"/>
        </w:rPr>
        <w:t>the possible misappropriation of our proprietary information, including our trade secrets and know-how; and</w:t>
      </w:r>
    </w:p>
    <w:p>
      <w:pPr>
        <w:pStyle w:val="TextBody"/>
        <w:spacing w:lineRule="auto" w:line="285"/>
        <w:ind w:left="1080" w:right="0" w:hanging="0"/>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highlight w:val="white"/>
        </w:rPr>
        <w:t>If we experience shortages in the supply of our marketed products, our results could be materially impacted.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and pralsetinib are our sole source of supply, and the loss of any of these suppliers could significantly harm our business.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firstLine="720"/>
        <w:rPr>
          <w:rFonts w:ascii="Times New Roman;Times;serif" w:hAnsi="Times New Roman;Times;serif"/>
          <w:sz w:val="20"/>
        </w:rPr>
      </w:pPr>
      <w:bookmarkStart w:id="997" w:name="_cp_text_1_156"/>
      <w:bookmarkEnd w:id="997"/>
      <w:r>
        <w:rPr>
          <w:rFonts w:ascii="Times New Roman;Times;serif" w:hAnsi="Times New Roman;Times;serif"/>
          <w:sz w:val="20"/>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spacing w:lineRule="auto" w:line="285" w:before="0" w:after="240"/>
        <w:ind w:left="0" w:right="0" w:hanging="0"/>
        <w:jc w:val="center"/>
        <w:rPr>
          <w:rFonts w:ascii="Times New Roman;Times;serif" w:hAnsi="Times New Roman;Times;serif"/>
          <w:sz w:val="20"/>
        </w:rPr>
      </w:pPr>
      <w:bookmarkStart w:id="998" w:name="_cp_text_1_157"/>
      <w:bookmarkEnd w:id="998"/>
      <w:r>
        <w:rPr>
          <w:rFonts w:ascii="Times New Roman;Times;serif" w:hAnsi="Times New Roman;Times;serif"/>
          <w:b/>
          <w:sz w:val="20"/>
        </w:rPr>
        <w:t>Risks Related to Intellectual Property</w:t>
      </w:r>
      <w:r>
        <w:rPr>
          <w:rFonts w:ascii="Times New Roman;Times;serif" w:hAnsi="Times New Roman;Times;serif"/>
          <w:sz w:val="20"/>
          <w:highlight w:val="white"/>
        </w:rPr>
        <w:t xml:space="preserve"> </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and improvements that are important to the development and implementation of our business. We also rely on copyright, trade secrets, know-how and continuing technological innovation to develop and maintain our proprietary and intellectual property position.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spacing w:lineRule="auto" w:line="285" w:before="100" w:after="100"/>
        <w:ind w:left="0" w:right="0" w:firstLine="720"/>
        <w:rPr/>
      </w:pPr>
      <w:r>
        <w:rPr/>
        <w:t>​</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spacing w:lineRule="auto" w:line="285" w:before="100" w:after="100"/>
        <w:ind w:left="0" w:right="0" w:firstLine="720"/>
        <w:rPr/>
      </w:pPr>
      <w:r>
        <w:rPr/>
        <w: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of validity that attaches to every U.S. patent. This means that in order to prevail, we would have to present clear and convincing evidence as to the invalidity of the patent’s claims.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spacing w:lineRule="auto" w:line="285" w:before="160" w:after="0"/>
        <w:ind w:left="0" w:right="0" w:hanging="0"/>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United States under the Hatch-Waxman Act and in foreign countries under similar legislation, thereby potentially extending the marketing exclusivity term of our products or product candidates, our business may be materially harmed. </w:t>
      </w:r>
    </w:p>
    <w:p>
      <w:pPr>
        <w:pStyle w:val="TextBody"/>
        <w:spacing w:lineRule="auto" w:line="285" w:before="120" w:after="0"/>
        <w:ind w:left="0" w:right="0" w:firstLine="555"/>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spacing w:lineRule="auto" w:line="285" w:before="240" w:after="0"/>
        <w:ind w:left="0" w:right="0" w:firstLine="555"/>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spacing w:lineRule="auto" w:line="285" w:before="240" w:after="0"/>
        <w:ind w:left="0" w:right="0" w:firstLine="555"/>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spacing w:lineRule="auto" w:line="285" w:before="240" w:after="0"/>
        <w:ind w:left="0" w:right="0" w:firstLine="555"/>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abbreviated new drug application, or ANDA, filed with the FDA to obtain permission to sell a generic version of such product. </w:t>
      </w:r>
    </w:p>
    <w:p>
      <w:pPr>
        <w:pStyle w:val="TextBody"/>
        <w:spacing w:lineRule="auto" w:line="285" w:before="240" w:after="0"/>
        <w:ind w:left="0" w:right="0" w:firstLine="555"/>
        <w:rPr>
          <w:rFonts w:ascii="Times New Roman;Times;serif" w:hAnsi="Times New Roman;Times;serif"/>
          <w:sz w:val="20"/>
        </w:rPr>
      </w:pPr>
      <w:r>
        <w:rPr>
          <w:rFonts w:ascii="Times New Roman;Times;serif" w:hAnsi="Times New Roman;Times;serif"/>
          <w:sz w:val="20"/>
        </w:rPr>
        <w:t xml:space="preserve">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spacing w:lineRule="auto" w:line="285" w:before="0" w:after="0"/>
        <w:ind w:left="0" w:right="0" w:firstLine="555"/>
        <w:rPr/>
      </w:pPr>
      <w:r>
        <w:rPr/>
        <w:t>​</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Under our current license agreements, we may not have the final or sole decision on whether we are able to opt out certain of our in-licensed European patents and patent applications from the recently created Unified Patent Court (UPC) for the European Union, that is expected to be fully ratified in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European patents and patent applications could be challenged in the recently created UPC for the European Union,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Our business, results of operations and future growth prospects could be materially and adversely affected by the ongoing COVID-19 pandemic.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pStyle w:val="TextBody"/>
        <w:spacing w:lineRule="auto" w:line="285" w:before="0" w:after="240"/>
        <w:ind w:left="1080" w:right="0" w:hanging="0"/>
        <w:rPr/>
      </w:pPr>
      <w:r>
        <w:rPr/>
        <w:t>●</w:t>
      </w:r>
      <w:r>
        <w:rPr>
          <w:rFonts w:ascii="Times New Roman;Times;serif" w:hAnsi="Times New Roman;Times;serif"/>
          <w:sz w:val="20"/>
        </w:rPr>
        <w:t xml:space="preserve">ongoing and planned clinical trials; </w:t>
      </w:r>
    </w:p>
    <w:p>
      <w:pPr>
        <w:pStyle w:val="TextBody"/>
        <w:spacing w:lineRule="auto" w:line="285" w:before="0" w:after="240"/>
        <w:ind w:left="1080" w:right="0" w:hanging="0"/>
        <w:rPr/>
      </w:pPr>
      <w:r>
        <w:rPr/>
        <w:t>●</w:t>
      </w:r>
      <w:r>
        <w:rPr>
          <w:rFonts w:ascii="Times New Roman;Times;serif" w:hAnsi="Times New Roman;Times;serif"/>
          <w:sz w:val="20"/>
        </w:rPr>
        <w:t xml:space="preserve">our employees and business operations; </w:t>
      </w:r>
    </w:p>
    <w:p>
      <w:pPr>
        <w:pStyle w:val="TextBody"/>
        <w:spacing w:lineRule="auto" w:line="285" w:before="0" w:after="240"/>
        <w:ind w:left="1080" w:right="0" w:hanging="0"/>
        <w:rPr/>
      </w:pPr>
      <w:r>
        <w:rPr/>
        <w:t>●</w:t>
      </w:r>
      <w:r>
        <w:rPr>
          <w:rFonts w:ascii="Times New Roman;Times;serif" w:hAnsi="Times New Roman;Times;serif"/>
          <w:sz w:val="20"/>
        </w:rPr>
        <w:t xml:space="preserve">personnel at our third-party suppliers and other vendors in the U.S. and other countries; </w:t>
      </w:r>
    </w:p>
    <w:p>
      <w:pPr>
        <w:pStyle w:val="TextBody"/>
        <w:spacing w:lineRule="auto" w:line="285" w:before="0" w:after="240"/>
        <w:ind w:left="1080" w:right="0" w:hanging="0"/>
        <w:rPr/>
      </w:pPr>
      <w:r>
        <w:rPr/>
        <w:t>●</w:t>
      </w:r>
      <w:r>
        <w:rPr>
          <w:rFonts w:ascii="Times New Roman;Times;serif" w:hAnsi="Times New Roman;Times;serif"/>
          <w:sz w:val="20"/>
        </w:rPr>
        <w:t xml:space="preserve">the availability, cost or supply of materials, which may cause delays or disruptions to development plans for our drug candidates or clinical or commercial supply chains for our current or future approved drugs and drug candidates; and </w:t>
      </w:r>
    </w:p>
    <w:p>
      <w:pPr>
        <w:pStyle w:val="TextBody"/>
        <w:spacing w:lineRule="auto" w:line="285"/>
        <w:ind w:left="1080" w:right="0" w:hanging="0"/>
        <w:rPr/>
      </w:pPr>
      <w:r>
        <w:rPr/>
        <w:t>●</w:t>
      </w:r>
      <w:r>
        <w:rPr>
          <w:rFonts w:ascii="Times New Roman;Times;serif" w:hAnsi="Times New Roman;Times;serif"/>
          <w:sz w:val="20"/>
        </w:rPr>
        <w:t>sales and marketing activities related to AYVAKIT/AYVAKYT, GAVRETO and any drug candidates for which we may receive marketing approval in the U.S. or other geographies in the future.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To the extent the ongoing COVID-19 pandemic adversely affects our business, results of operations and future growth prospects, it may also have the effect of heightening many of the other risks described in this “Risk Factors” section.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competition for the hiring of scientific and clinical personnel from universities and research institutions. Failure to succeed in clinical trials may make it more challenging to recruit and retain qualified scientific personnel.</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of April 15, 2023, we had 651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the ongoing COVID-19 pandemic has caused extreme volatility and disruptions in the capital and credit markets. In addition, geopolitical developments, such as the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Political development can also lead to uncertainty around regulations and rules that may materially affect our business. For example, as the UK regulatory system is now independent from the EU, a long 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Geopolitical risks associated with the Russian invasion of Ukraine could have an adverse impact on our business, financial condition and results of operations, including our clinical trials.</w:t>
      </w:r>
    </w:p>
    <w:p>
      <w:pPr>
        <w:pStyle w:val="TextBody"/>
        <w:spacing w:lineRule="auto" w:line="285"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uncertain nature of this evolving situation, including the potential effects of sanctions limitations, retaliatory cyber-attacks on the world economy and markets, have also contributed to increased market volatility and uncertainty, which could have an adverse impact on macroeconomic factors that affect our business and operations.</w:t>
      </w:r>
    </w:p>
    <w:p>
      <w:pPr>
        <w:pStyle w:val="TextBody"/>
        <w:spacing w:lineRule="auto" w:line="285" w:before="0" w:after="0"/>
        <w:ind w:left="0" w:right="0" w:hanging="0"/>
        <w:jc w:val="both"/>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ongoing conflict in Ukraine may disrupt the ability of our commercial research organizations, or CROs, to conduct clinical trials at certain sites in Ukraine. Moreover, enrollment and retention of clinical trial participants may be adversely affected. The overall impact of this conflict on our ability to conduct clinical trials at certain sites in future periods is hard to predict. However, interruptions of our clinical trials could significantly delay our clinical development plans and potential authorization or approval of our product candidates, which could increase our costs and impact our timelines for commercializing certain of our product candidates.</w:t>
      </w:r>
    </w:p>
    <w:p>
      <w:pPr>
        <w:pStyle w:val="TextBody"/>
        <w:spacing w:lineRule="auto" w:line="285" w:before="0" w:after="0"/>
        <w:ind w:left="0" w:right="0" w:firstLine="360"/>
        <w:jc w:val="both"/>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spacing w:lineRule="auto" w:line="285" w:before="0" w:after="0"/>
        <w:ind w:left="0" w:right="0" w:hanging="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highlight w:val="white"/>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Our internal computer systems and those of our current or future third-party collaborators, service providers, contractors and consultants are vulnerable to damage from computer viruses, unauthorized access, natural disasters,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 data, including, for example, expanded disclosures about how personal information is to be used, ensuring we have a valid legal basis to process personal data, maintaining records of our processing activities and to document data protection impact assessments where there is high risk processing, limitations on retention of information, mandatory data breach notification requirements, ensuring appropriate technical and organizational measures to be put in place to safeguard personal data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 </w:t>
      </w:r>
    </w:p>
    <w:p>
      <w:pPr>
        <w:pStyle w:val="TextBody"/>
        <w:spacing w:lineRule="auto" w:line="285"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 In addition, the UK has announced plans to reform the country’s data protection legal framework in its Data Reform Bill, but these plans have been put on hold.</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or SCCs, approved by the European Commission, or EC, or binding corporate rules, or a derogation applies. In the past, companies in the U.S. were able to rely upon the Privacy Shield framework to legitimize data transfers from the EEA to the U.S. In July 2020, the Court of Justice of the European Union, or CJEU, in Case C-311/18 (Data Protection Commissioner v Facebook Ireland and Maximillian Schrems, or Schrems II) invalidated the EU-U.S. Privacy Shield on the grounds that the Privacy Shield failed to offer adequate protections to EU personal data transferred to the U.S. The CJEU, in the same decision, deemed that the Standard Contractual Clauses, or SCCs, published by the EC are valid. However, the CJEU ruled that transfers made pursuant to the SCCs need to be assessed on a case-by-case basis to ensure the law in the recipient country provides “essentially equivalent” protections to safeguard the transferred personal data as the EEA, and required businesses to adopt supplementary measures if such standard is not met.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June 4, 2021, the European Commission issued new SCCs that account for the CJEU’s decision and other developments, which need to be put in place for new contracts involving the transfer of personal data from the EEA to a third country since September 27, 2021, and incorporated into existing contracts since December 27, 2022. The New SCCs do not apply to the UK, but the UK Information Commissioner’s Office has published its own transfer mechanism, the International Data Transfer Agreement, or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On March 25, 2022, the EC and the US announced to have reached a political agreement on a new “Trans-Atlantic Data Privacy Framework”, which will replace the invalidated Privacy Shield and on December 13, 2022. The EC published a draft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adequacy decision on the Trans-Atlantic Data Privacy Framework.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Although the UK is regarded as a third country under the EU’s GDPR, the EC has issued a decision recognizing the UK as providing adequate protection under the EU GDPR and, therefore, transfers of personal data originating in the EEA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 Complying with this guidance as it exists today and evolves will be expensive and time consuming and may ultimately prevent us from transferring personal data outside the EEA, which would cause significant business disruption for ourselves and our customers and potentially require the changes in the way our products are configured, hosted and supported.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or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It is unclear when the Draft Regulation will enter into force.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Additionally, a new California ballot initiative, the California Privacy Rights Act (CPRA) was passed in November 2020 and became effective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spacing w:lineRule="auto" w:line="285"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Also, on March 2, 2021, Virginia enacted the Consumer Data Protection Act, or CDPA. The CDPA became effective on January 1, 2023. The CDPA regulates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CDPA regulates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Moreover, on March 24, 2022, Utah’s governor signed the Utah Consumer Privacy Act, or UCPA, into law. The UCPA will take effect on December 31, 2023. Also, in 2022, Connecticut Governor Lamont signed the Connecticut Data Privacy Act, or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spacing w:lineRule="auto" w:line="285" w:before="0" w:after="0"/>
        <w:ind w:left="0" w:right="0" w:firstLine="720"/>
        <w:rPr>
          <w:rFonts w:ascii="Times New Roman;Times;serif" w:hAnsi="Times New Roman;Times;serif"/>
          <w:sz w:val="20"/>
        </w:rPr>
      </w:pPr>
      <w:r>
        <w:rPr>
          <w:rFonts w:ascii="Times New Roman;Times;serif" w:hAnsi="Times New Roman;Times;serif"/>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March 31, 2023, the U.S. Congress has not passed legislation that would defer the amortization requirement to future periods and as such the inability to deduct research and development expenditures in their entirety in 2022 and 2023 will have a material impact on the carryover of taxable losses used to offset future taxable income, and in turn will impact our cash flows in future years. </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April 28, 2023. As a result of this volatility, our stockholders could incur substantial losses.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tbl>
      <w:tblPr>
        <w:tblW w:w="4521" w:type="dxa"/>
        <w:jc w:val="left"/>
        <w:tblInd w:w="0" w:type="dxa"/>
        <w:tblCellMar>
          <w:top w:w="28" w:type="dxa"/>
          <w:left w:w="28" w:type="dxa"/>
          <w:bottom w:w="28" w:type="dxa"/>
          <w:right w:w="28" w:type="dxa"/>
        </w:tblCellMar>
      </w:tblPr>
      <w:tblGrid>
        <w:gridCol w:w="124"/>
        <w:gridCol w:w="256"/>
        <w:gridCol w:w="4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CellMar>
          <w:top w:w="28" w:type="dxa"/>
          <w:left w:w="28" w:type="dxa"/>
          <w:bottom w:w="28" w:type="dxa"/>
          <w:right w:w="28" w:type="dxa"/>
        </w:tblCellMar>
      </w:tblPr>
      <w:tblGrid>
        <w:gridCol w:w="124"/>
        <w:gridCol w:w="256"/>
        <w:gridCol w:w="7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CellMar>
          <w:top w:w="28" w:type="dxa"/>
          <w:left w:w="28" w:type="dxa"/>
          <w:bottom w:w="28" w:type="dxa"/>
          <w:right w:w="28" w:type="dxa"/>
        </w:tblCellMar>
      </w:tblPr>
      <w:tblGrid>
        <w:gridCol w:w="124"/>
        <w:gridCol w:w="256"/>
        <w:gridCol w:w="8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CellMar>
          <w:top w:w="28" w:type="dxa"/>
          <w:left w:w="28" w:type="dxa"/>
          <w:bottom w:w="28" w:type="dxa"/>
          <w:right w:w="28" w:type="dxa"/>
        </w:tblCellMar>
      </w:tblPr>
      <w:tblGrid>
        <w:gridCol w:w="124"/>
        <w:gridCol w:w="256"/>
        <w:gridCol w:w="5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including the COVID-19 pandemic, trade wars, political unrest or other similar events;</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5121" w:type="dxa"/>
        <w:jc w:val="left"/>
        <w:tblInd w:w="0" w:type="dxa"/>
        <w:tblCellMar>
          <w:top w:w="28" w:type="dxa"/>
          <w:left w:w="28" w:type="dxa"/>
          <w:bottom w:w="28" w:type="dxa"/>
          <w:right w:w="28" w:type="dxa"/>
        </w:tblCellMar>
      </w:tblPr>
      <w:tblGrid>
        <w:gridCol w:w="124"/>
        <w:gridCol w:w="256"/>
        <w:gridCol w:w="47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Future sales or issuances of common stock or other equity related securities may also adversely affect the market price of our common stock. In February 2022, we entered into a new sales agreement with Cowen and Company, LLC through which we may, from time to time, issue and sell shares of our common stock having an aggregate offering price of up to $300.0 million, subject to the terms and conditions of the sales agreement. We did not sell any shares of common stock under this sales agreement as of March 31, 2023. If we seek authorization to sell shares of common stock under the new sales agreement, enter into new “at the market” stock offering programs, or conduct a public offering or private offering through other means, it could lead to additional dilution for our stockholders and may impact our stock price adversely.</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February 2022, we commenced a new at-the-market, or ATM, program to raise capital. Under our ATM program, we have entered into a sales agreement to sell common shares, up to a maximum aggregate market value of $300.0 million, through one or more at-the-market offerings. Given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pStyle w:val="TextBody"/>
        <w:spacing w:lineRule="auto" w:line="285"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pStyle w:val="TextBody"/>
        <w:spacing w:lineRule="auto" w:line="285"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spacing w:lineRule="auto" w:line="285" w:before="0" w:after="0"/>
        <w:ind w:left="0" w:right="0" w:firstLine="720"/>
        <w:rPr/>
      </w:pPr>
      <w:r>
        <w:rPr/>
        <w:t>​</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tbl>
      <w:tblPr>
        <w:tblW w:w="5316" w:type="dxa"/>
        <w:jc w:val="left"/>
        <w:tblInd w:w="0" w:type="dxa"/>
        <w:tblCellMar>
          <w:top w:w="28" w:type="dxa"/>
          <w:left w:w="28" w:type="dxa"/>
          <w:bottom w:w="28" w:type="dxa"/>
          <w:right w:w="28" w:type="dxa"/>
        </w:tblCellMar>
      </w:tblPr>
      <w:tblGrid>
        <w:gridCol w:w="124"/>
        <w:gridCol w:w="25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spacing w:lineRule="auto" w:line="285" w:before="0" w:after="0"/>
        <w:ind w:left="0" w:right="0" w:firstLine="720"/>
        <w:rPr/>
      </w:pPr>
      <w:r>
        <w:rPr/>
        <w:t>​</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federal district courts of the United States will be the exclusive forum for resolving any complaint asserting a cause of action arising under the Securities Act, which we refer to as the federal forum provision. We have chosen the federal district courts of the United States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spacing w:lineRule="auto" w:line="285" w:before="280" w:after="0"/>
        <w:ind w:left="0" w:right="0" w:firstLine="720"/>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spacing w:lineRule="auto" w:line="285" w:before="280" w:after="240"/>
        <w:ind w:left="0" w:right="0" w:firstLine="720"/>
        <w:rPr>
          <w:rFonts w:ascii="Times New Roman;Times;serif" w:hAnsi="Times New Roman;Times;serif"/>
          <w:sz w:val="20"/>
        </w:rPr>
      </w:pPr>
      <w:r>
        <w:rPr>
          <w:rFonts w:ascii="Times New Roman;Times;serif" w:hAnsi="Times New Roman;Times;serif"/>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Congress recently enacted a new 1% excise tax on certain stock repurchases (or similar transactions) effected by publicly traded domestic corporations such as Blueprint. This tax could make stock repurchases less desirable (and therefore less likely) as compared with other possible uses of our funds, and could reduce the amount of cash available if we do determine to pursue a stock repurchase.</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$648.1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With respect to the net operating losses and research and development tax credit carryforwards acquired from the acquisition of Lengo, the Company has completed a study to assess whether an ownership change under Section 382 of the Code has occurred, or whether there have been multiple ownership changes since Lengo’s formation. Based on the study all the net operating losses and research and development credits acquired will be available for utilization within their applicable carryforward periods.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ownership change. The previous section 382 model, through December 31, 2021, was updated for reported transactions among the Company’s 5-percent owners. The analysis concluded that there was no additional Blueprint equity activity through December 31, 2022 that would rise to the level of a &gt;50% ownership change.</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As part of this update, the Company also analyzed the shifts in the stock ownership of Lengo Therapeutics, Inc. (Lengo), a company acquired on December 29, 2021, for purposes of determining (1) whether and when Lengo experienced an “ownership change,” as defined in section 382(g)(1) of the Internal Revenue Code, during the period beginning March 6, 2019, the date of the first reported issuance of Lengo stock, and ending on the date of the Company’s acquisition by Blueprint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Blueprint’s acquisition of the Company. An analysis of Lengo Therapeutics, Inc. was not required as it was merged into the Company effective June 24, 2022.</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5" w:before="0" w:after="240"/>
        <w:ind w:left="0" w:right="0" w:hanging="0"/>
        <w:rPr>
          <w:rFonts w:ascii="Times New Roman;Times;serif" w:hAnsi="Times New Roman;Times;serif"/>
          <w:b/>
          <w:sz w:val="20"/>
        </w:rPr>
      </w:pPr>
      <w:bookmarkStart w:id="999" w:name="Item5OtherInformation_346096"/>
      <w:bookmarkStart w:id="1000" w:name="_3335fc6d_c9d3_4d5b_aee5_69c6756a47e6"/>
      <w:bookmarkEnd w:id="999"/>
      <w:bookmarkEnd w:id="1000"/>
      <w:r>
        <w:rPr>
          <w:rFonts w:ascii="Times New Roman;Times;serif" w:hAnsi="Times New Roman;Times;serif"/>
          <w:b/>
          <w:sz w:val="20"/>
        </w:rPr>
        <w:t>Item 5. Other Information</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VELA Trial</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On February 10, 2023, </w:t>
      </w:r>
      <w:r>
        <w:rPr>
          <w:rFonts w:ascii="Times New Roman;Times;serif" w:hAnsi="Times New Roman;Times;serif"/>
          <w:sz w:val="20"/>
          <w:highlight w:val="white"/>
        </w:rPr>
        <w:t>we received a letter from the FDA reiterating its verbal communication on February 8, 2023 notifying us that it had placed a partial clinical hold on our VELA trial, a Phase 1/2 trial of BLU-222 in CDK2-vulnerable cancers, due to visual AEs observed in a limited number of patients.</w:t>
      </w:r>
      <w:r>
        <w:rPr>
          <w:rFonts w:ascii="Times New Roman;Times;serif" w:hAnsi="Times New Roman;Times;serif"/>
          <w:sz w:val="20"/>
        </w:rPr>
        <w:t xml:space="preserve"> On March 28, 2023, we announced that the FDA lifted its partial clinical hold. We have reinitiated patient enrollment in the VELA trial now that the partial clinical hold has been lifted.</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Roche Immunotherapy Agreement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Effective April 30, 2023, the Company entered into a Mutual Termination Agreement with Roche, pursuant to which the parties mutually agreed to terminate the Roche immunotherapy agreement for the discovery, development and commercialization of small molecule therapeutics targeting kinases believed to be important in cancer immunotherapy.  Pursuant to the Termination Agreement, the rights and licenses granted by the Company to Roche related to MAP4K1 have terminated in their entirety. Certain licenses granted by Roche to the Company survived and became exclusive, worldwide, perpetual, royalty-free and irrevocable. Further, the Company retained ownership of the collaboration compounds directed to MAP4K1 and all other previously terminated kinase targets and the flexibility to research, develop, manufacture, commercialize and otherwise exploit the assets developed under the collaboration. We will explore opportunities to re-partner the assets for future development. We plan to deprioritize advancement of the program and will explore opportunities to re-partner the assets for future development.</w:t>
      </w:r>
    </w:p>
    <w:p>
      <w:pPr>
        <w:pStyle w:val="TextBody"/>
        <w:spacing w:lineRule="auto" w:line="285" w:before="0" w:after="240"/>
        <w:ind w:left="0" w:right="0" w:hanging="0"/>
        <w:rPr>
          <w:rFonts w:ascii="Times New Roman;Times;serif" w:hAnsi="Times New Roman;Times;serif"/>
          <w:b/>
          <w:sz w:val="20"/>
        </w:rPr>
      </w:pPr>
      <w:bookmarkStart w:id="1001" w:name="Item6Exhibits_734890"/>
      <w:bookmarkStart w:id="1002" w:name="_40fbb1af_eca7_4b2a_9025_5ea5bbc1cf3b"/>
      <w:bookmarkEnd w:id="1001"/>
      <w:bookmarkEnd w:id="1002"/>
      <w:r>
        <w:rPr>
          <w:rFonts w:ascii="Times New Roman;Times;serif" w:hAnsi="Times New Roman;Times;serif"/>
          <w:b/>
          <w:sz w:val="20"/>
        </w:rPr>
        <w:t>Item 6. Exhibits</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CellMar>
          <w:top w:w="0" w:type="dxa"/>
          <w:left w:w="0" w:type="dxa"/>
          <w:bottom w:w="0" w:type="dxa"/>
          <w:right w:w="0" w:type="dxa"/>
        </w:tblCellMar>
      </w:tblPr>
      <w:tblGrid>
        <w:gridCol w:w="898"/>
        <w:gridCol w:w="326"/>
        <w:gridCol w:w="8981"/>
      </w:tblGrid>
      <w:tr>
        <w:trPr/>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70230" cy="29210"/>
                      <wp:effectExtent l="0" t="0" r="0" b="0"/>
                      <wp:wrapNone/>
                      <wp:docPr id="467" name="Frame467"/>
                      <a:graphic xmlns:a="http://schemas.openxmlformats.org/drawingml/2006/main">
                        <a:graphicData uri="http://schemas.microsoft.com/office/word/2010/wordprocessingShape">
                          <wps:wsp>
                            <wps:cNvSpPr txBox="1"/>
                            <wps:spPr>
                              <a:xfrm>
                                <a:off x="0" y="0"/>
                                <a:ext cx="5702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29210"/>
                      <wp:effectExtent l="0" t="0" r="0" b="0"/>
                      <wp:wrapNone/>
                      <wp:docPr id="468" name="Frame46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702935" cy="29210"/>
                      <wp:effectExtent l="0" t="0" r="0" b="0"/>
                      <wp:wrapNone/>
                      <wp:docPr id="469" name="Frame469"/>
                      <a:graphic xmlns:a="http://schemas.openxmlformats.org/drawingml/2006/main">
                        <a:graphicData uri="http://schemas.microsoft.com/office/word/2010/wordprocessingShape">
                          <wps:wsp>
                            <wps:cNvSpPr txBox="1"/>
                            <wps:spPr>
                              <a:xfrm>
                                <a:off x="0" y="0"/>
                                <a:ext cx="5702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98" w:type="dxa"/>
            <w:tcBorders>
              <w:bottom w:val="single" w:sz="2" w:space="0" w:color="000000"/>
            </w:tcBorders>
            <w:shd w:fill="auto" w:val="clear"/>
            <w:tcMar>
              <w:bottom w:w="28" w:type="dxa"/>
            </w:tcMar>
            <w:vAlign w:val="center"/>
          </w:tcPr>
          <w:p>
            <w:pPr>
              <w:pStyle w:val="TableContents"/>
              <w:pBdr/>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c>
          <w:tcPr>
            <w:tcW w:w="8981" w:type="dxa"/>
            <w:tcBorders>
              <w:bottom w:val="single" w:sz="2" w:space="0" w:color="000000"/>
            </w:tcBorders>
            <w:shd w:fill="auto" w:val="clear"/>
            <w:tcMar>
              <w:bottom w:w="28" w:type="dxa"/>
            </w:tcMar>
            <w:vAlign w:val="center"/>
          </w:tcPr>
          <w:p>
            <w:pPr>
              <w:pStyle w:val="TableContents"/>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98" w:type="dxa"/>
            <w:tcBorders/>
            <w:shd w:fill="auto" w:val="clear"/>
            <w:vAlign w:val="center"/>
          </w:tcPr>
          <w:p>
            <w:pPr>
              <w:pStyle w:val="TableContents"/>
              <w:spacing w:lineRule="auto" w:line="285" w:before="0" w:after="100"/>
              <w:ind w:left="0" w:right="0" w:hanging="0"/>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285" w:before="0" w:after="100"/>
              <w:ind w:left="0" w:right="0" w:hanging="0"/>
              <w:rPr/>
            </w:pPr>
            <w:hyperlink w:anchor="bpmc-20230331xex10d1.htm">
              <w:r>
                <w:rPr>
                  <w:rStyle w:val="InternetLink"/>
                  <w:rFonts w:ascii="Times New Roman;Times;serif" w:hAnsi="Times New Roman;Times;serif"/>
                  <w:b w:val="false"/>
                  <w:i w:val="false"/>
                  <w:caps w:val="false"/>
                  <w:smallCaps w:val="false"/>
                  <w:sz w:val="20"/>
                </w:rPr>
                <w:t>Mutual Termination Agreement, effective as of April 30, 2023, by and between F. Hoffman La Roche Ltd, Hoffman-La Roche Inc. and the Registrant</w:t>
              </w:r>
            </w:hyperlink>
          </w:p>
        </w:tc>
      </w:tr>
      <w:tr>
        <w:trPr/>
        <w:tc>
          <w:tcPr>
            <w:tcW w:w="898" w:type="dxa"/>
            <w:tcBorders/>
            <w:shd w:fill="auto" w:val="clear"/>
            <w:vAlign w:val="center"/>
          </w:tcPr>
          <w:p>
            <w:pPr>
              <w:pStyle w:val="TableContents"/>
              <w:spacing w:lineRule="auto" w:line="285" w:before="0" w:after="10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285" w:before="0" w:after="100"/>
              <w:ind w:left="0" w:right="0" w:hanging="0"/>
              <w:rPr/>
            </w:pPr>
            <w:hyperlink w:anchor="bpmc-20230331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98" w:type="dxa"/>
            <w:tcBorders/>
            <w:shd w:fill="auto" w:val="clear"/>
            <w:vAlign w:val="center"/>
          </w:tcPr>
          <w:p>
            <w:pPr>
              <w:pStyle w:val="TableContents"/>
              <w:spacing w:lineRule="auto" w:line="285" w:before="0" w:after="10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285" w:before="0" w:after="100"/>
              <w:ind w:left="0" w:right="0" w:hanging="0"/>
              <w:rPr/>
            </w:pPr>
            <w:hyperlink w:anchor="bpmc-20230331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98"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pPr>
            <w:hyperlink w:anchor="bpmc-20230331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98"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285" w:before="0" w:after="10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98"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8"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pBdr/>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8" w:type="dxa"/>
            <w:tcBorders/>
            <w:shd w:fill="auto" w:val="clear"/>
            <w:vAlign w:val="center"/>
          </w:tcPr>
          <w:p>
            <w:pPr>
              <w:pStyle w:val="TableContents"/>
              <w:pBdr/>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8" w:type="dxa"/>
            <w:tcBorders/>
            <w:shd w:fill="auto" w:val="clear"/>
            <w:vAlign w:val="center"/>
          </w:tcPr>
          <w:p>
            <w:pPr>
              <w:pStyle w:val="TableContents"/>
              <w:pBdr/>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8" w:type="dxa"/>
            <w:tcBorders/>
            <w:shd w:fill="auto" w:val="clear"/>
            <w:vAlign w:val="center"/>
          </w:tcPr>
          <w:p>
            <w:pPr>
              <w:pStyle w:val="TableContents"/>
              <w:pBdr/>
              <w:spacing w:lineRule="auto" w:line="304" w:before="0" w:after="10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10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8"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lineRule="auto" w:line="285" w:before="0" w:after="0"/>
              <w:ind w:left="0" w:right="0" w:hanging="0"/>
              <w:rPr/>
            </w:pPr>
            <w:r>
              <w:rPr/>
              <w:t>​</w:t>
            </w:r>
          </w:p>
        </w:tc>
        <w:tc>
          <w:tcPr>
            <w:tcW w:w="8981"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98" w:type="dxa"/>
            <w:tcBorders/>
            <w:shd w:fill="auto" w:val="clear"/>
            <w:vAlign w:val="center"/>
          </w:tcPr>
          <w:p>
            <w:pPr>
              <w:pStyle w:val="TableContents"/>
              <w:pBdr/>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8981" w:type="dxa"/>
            <w:tcBorders/>
            <w:shd w:fill="auto" w:val="clear"/>
            <w:vAlign w:val="center"/>
          </w:tcPr>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w:t>
      </w:r>
    </w:p>
    <w:tbl>
      <w:tblPr>
        <w:tblW w:w="1592" w:type="dxa"/>
        <w:jc w:val="left"/>
        <w:tblInd w:w="0" w:type="dxa"/>
        <w:shd w:fill="FFFFFF" w:val="clear"/>
        <w:tblCellMar>
          <w:top w:w="0" w:type="dxa"/>
          <w:left w:w="0" w:type="dxa"/>
          <w:bottom w:w="0" w:type="dxa"/>
          <w:right w:w="0" w:type="dxa"/>
        </w:tblCellMar>
      </w:tblPr>
      <w:tblGrid>
        <w:gridCol w:w="226"/>
        <w:gridCol w:w="1366"/>
      </w:tblGrid>
      <w:tr>
        <w:trPr/>
        <w:tc>
          <w:tcPr>
            <w:tcW w:w="226" w:type="dxa"/>
            <w:tcBorders/>
            <w:shd w:fill="FFFFFF" w:val="clear"/>
            <w:vAlign w:val="center"/>
          </w:tcPr>
          <w:p>
            <w:pPr>
              <w:pStyle w:val="TableContents"/>
              <w:spacing w:before="0" w:after="283"/>
              <w:ind w:left="0" w:right="0" w:hanging="0"/>
              <w:rPr>
                <w:sz w:val="4"/>
                <w:szCs w:val="4"/>
              </w:rPr>
            </w:pPr>
            <w:r>
              <w:rPr>
                <w:sz w:val="4"/>
                <w:szCs w:val="4"/>
              </w:rPr>
            </w:r>
          </w:p>
        </w:tc>
        <w:tc>
          <w:tcPr>
            <w:tcW w:w="1366" w:type="dxa"/>
            <w:tcBorders/>
            <w:shd w:fill="FFFFFF" w:val="clear"/>
            <w:vAlign w:val="center"/>
          </w:tcPr>
          <w:p>
            <w:pPr>
              <w:pStyle w:val="TableContents"/>
              <w:spacing w:before="0" w:after="283"/>
              <w:ind w:left="0" w:right="0" w:hanging="0"/>
              <w:rPr>
                <w:sz w:val="4"/>
                <w:szCs w:val="4"/>
              </w:rPr>
            </w:pPr>
            <w:r>
              <w:rPr>
                <w:sz w:val="4"/>
                <w:szCs w:val="4"/>
              </w:rPr>
            </w:r>
          </w:p>
        </w:tc>
      </w:tr>
      <w:tr>
        <w:trPr/>
        <w:tc>
          <w:tcPr>
            <w:tcW w:w="226" w:type="dxa"/>
            <w:tcBorders/>
            <w:shd w:fill="FFFFFF"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w:t>
            </w:r>
          </w:p>
        </w:tc>
        <w:tc>
          <w:tcPr>
            <w:tcW w:w="1366" w:type="dxa"/>
            <w:tcBorders/>
            <w:shd w:fill="FFFFFF" w:val="clear"/>
            <w:vAlign w:val="center"/>
          </w:tcPr>
          <w:p>
            <w:pPr>
              <w:pStyle w:val="TableContents"/>
              <w:spacing w:lineRule="auto" w:line="285" w:before="0" w:after="120"/>
              <w:ind w:left="0" w:right="0" w:hanging="0"/>
              <w:rPr>
                <w:rFonts w:ascii="Times New Roman;Times;serif" w:hAnsi="Times New Roman;Times;serif"/>
                <w:sz w:val="20"/>
              </w:rPr>
            </w:pPr>
            <w:r>
              <w:rPr>
                <w:rFonts w:ascii="Times New Roman;Times;serif" w:hAnsi="Times New Roman;Times;serif"/>
                <w:sz w:val="20"/>
              </w:rPr>
              <w:t>Filed herewith.</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lineRule="auto" w:line="285"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CellMar>
          <w:top w:w="0" w:type="dxa"/>
          <w:left w:w="0" w:type="dxa"/>
          <w:bottom w:w="0" w:type="dxa"/>
          <w:right w:w="0" w:type="dxa"/>
        </w:tblCellMar>
      </w:tblPr>
      <w:tblGrid>
        <w:gridCol w:w="241"/>
        <w:gridCol w:w="9964"/>
      </w:tblGrid>
      <w:tr>
        <w:trPr/>
        <w:tc>
          <w:tcPr>
            <w:tcW w:w="241" w:type="dxa"/>
            <w:tcBorders/>
            <w:shd w:fill="FFFFFF"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spacing w:lineRule="auto" w:line="285" w:before="0" w:after="120"/>
              <w:ind w:left="0" w:right="0" w:hanging="0"/>
              <w:rPr>
                <w:rFonts w:ascii="Times New Roman;Times;serif" w:hAnsi="Times New Roman;Times;serif"/>
                <w:sz w:val="20"/>
                <w:highlight w:val="white"/>
              </w:rPr>
            </w:pPr>
            <w:r>
              <w:rPr>
                <w:rFonts w:ascii="Times New Roman;Times;serif" w:hAnsi="Times New Roman;Times;serif"/>
                <w:sz w:val="20"/>
                <w:highlight w:val="white"/>
              </w:rPr>
              <w:t>Indicates management contract or compensatory plan or arrangement.</w:t>
            </w:r>
          </w:p>
        </w:tc>
      </w:tr>
      <w:tr>
        <w:trPr/>
        <w:tc>
          <w:tcPr>
            <w:tcW w:w="241" w:type="dxa"/>
            <w:tcBorders/>
            <w:shd w:fill="FFFFFF" w:val="clear"/>
            <w:vAlign w:val="center"/>
          </w:tcPr>
          <w:p>
            <w:pPr>
              <w:pStyle w:val="TableContents"/>
              <w:spacing w:lineRule="auto" w:line="304" w:before="0" w:after="0"/>
              <w:ind w:left="0" w:right="0" w:hanging="0"/>
              <w:rPr>
                <w:highlight w:val="white"/>
              </w:rPr>
            </w:pPr>
            <w:r>
              <w:rPr>
                <w:highlight w:val="white"/>
              </w:rPr>
              <w:t>†</w:t>
            </w:r>
          </w:p>
        </w:tc>
        <w:tc>
          <w:tcPr>
            <w:tcW w:w="9964" w:type="dxa"/>
            <w:tcBorders/>
            <w:shd w:fill="FFFFFF" w:val="clear"/>
            <w:vAlign w:val="center"/>
          </w:tcPr>
          <w:p>
            <w:pPr>
              <w:pStyle w:val="TableContents"/>
              <w:spacing w:lineRule="auto" w:line="285" w:before="0" w:after="120"/>
              <w:ind w:left="0" w:right="0" w:hanging="0"/>
              <w:rPr>
                <w:rFonts w:ascii="Times New Roman;Times;serif" w:hAnsi="Times New Roman;Times;serif"/>
                <w:sz w:val="20"/>
                <w:highlight w:val="white"/>
              </w:rPr>
            </w:pPr>
            <w:r>
              <w:rPr>
                <w:rFonts w:ascii="Times New Roman;Times;serif" w:hAnsi="Times New Roman;Times;serif"/>
                <w:sz w:val="20"/>
                <w:highlight w:val="white"/>
              </w:rPr>
              <w:t>Certain portions of the exhibit have been omitted pursuant to Regulation S-K Item 601(b) because it is both (i) not material to investors and (ii) information that the Company treats as private or confidential.</w:t>
            </w:r>
          </w:p>
        </w:tc>
      </w:tr>
      <w:tr>
        <w:trPr/>
        <w:tc>
          <w:tcPr>
            <w:tcW w:w="241" w:type="dxa"/>
            <w:tcBorders/>
            <w:shd w:fill="FFFFFF"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spacing w:lineRule="auto" w:line="285" w:before="0" w:after="120"/>
              <w:ind w:left="0" w:right="0" w:hanging="0"/>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tc>
      </w:tr>
    </w:tbl>
    <w:p>
      <w:pPr>
        <w:pStyle w:val="TextBody"/>
        <w:pBdr/>
        <w:shd w:fill="FFFFFF" w:val="clear"/>
        <w:spacing w:lineRule="auto" w:line="285" w:before="0" w:after="0"/>
        <w:ind w:left="0" w:right="0" w:hanging="0"/>
        <w:rPr>
          <w:highlight w:val="yellow"/>
        </w:rPr>
      </w:pPr>
      <w:r>
        <w:rPr>
          <w:highlight w:val="yellow"/>
        </w:rPr>
        <w:t>​</w:t>
      </w:r>
    </w:p>
    <w:p>
      <w:pPr>
        <w:pStyle w:val="TextBody"/>
        <w:shd w:fill="FFFFFF" w:val="clear"/>
        <w:spacing w:lineRule="auto" w:line="285" w:before="0" w:after="0"/>
        <w:ind w:left="0" w:right="0" w:hanging="0"/>
        <w:jc w:val="center"/>
        <w:rPr>
          <w:rFonts w:ascii="Times New Roman;Times;serif" w:hAnsi="Times New Roman;Times;serif"/>
          <w:b/>
          <w:sz w:val="20"/>
        </w:rPr>
      </w:pPr>
      <w:bookmarkStart w:id="1003" w:name="SIGNATURES_862342"/>
      <w:bookmarkStart w:id="1004" w:name="_5129eaf5_6e5e_41bb_b3bf_94452917c092"/>
      <w:bookmarkEnd w:id="1003"/>
      <w:bookmarkEnd w:id="1004"/>
      <w:r>
        <w:rPr>
          <w:rFonts w:ascii="Times New Roman;Times;serif" w:hAnsi="Times New Roman;Times;serif"/>
          <w:b/>
          <w:sz w:val="20"/>
        </w:rPr>
        <w:t>SIGNATURES</w:t>
      </w:r>
    </w:p>
    <w:p>
      <w:pPr>
        <w:pStyle w:val="TextBody"/>
        <w:pBdr/>
        <w:spacing w:lineRule="auto" w:line="285" w:before="0" w:after="0"/>
        <w:ind w:left="0" w:right="0" w:firstLine="490"/>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355" w:type="dxa"/>
        <w:jc w:val="left"/>
        <w:tblInd w:w="0" w:type="dxa"/>
        <w:tblCellMar>
          <w:top w:w="0" w:type="dxa"/>
          <w:left w:w="0" w:type="dxa"/>
          <w:bottom w:w="0" w:type="dxa"/>
          <w:right w:w="0" w:type="dxa"/>
        </w:tblCellMar>
      </w:tblPr>
      <w:tblGrid>
        <w:gridCol w:w="1636"/>
        <w:gridCol w:w="146"/>
        <w:gridCol w:w="406"/>
        <w:gridCol w:w="146"/>
        <w:gridCol w:w="4021"/>
      </w:tblGrid>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2710" cy="175260"/>
                      <wp:effectExtent l="0" t="0" r="0" b="0"/>
                      <wp:wrapNone/>
                      <wp:docPr id="470" name="Frame47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92710" cy="175260"/>
                      <wp:effectExtent l="0" t="0" r="0" b="0"/>
                      <wp:wrapNone/>
                      <wp:docPr id="471" name="Frame47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02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285" w:before="0" w:after="0"/>
              <w:ind w:left="0" w:right="0" w:hanging="0"/>
              <w:rPr/>
            </w:pPr>
            <w:r>
              <w:rPr/>
              <w:t>​</w:t>
            </w:r>
          </w:p>
        </w:tc>
        <w:tc>
          <w:tcPr>
            <w:tcW w:w="402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573" w:type="dxa"/>
            <w:gridSpan w:val="3"/>
            <w:tcBorders/>
            <w:shd w:fill="auto" w:val="clear"/>
            <w:vAlign w:val="center"/>
          </w:tcPr>
          <w:p>
            <w:pPr>
              <w:pStyle w:val="TableContents"/>
              <w:spacing w:lineRule="auto" w:line="328" w:before="0" w:after="0"/>
              <w:ind w:left="0" w:right="0" w:hanging="0"/>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552" w:type="dxa"/>
            <w:gridSpan w:val="2"/>
            <w:tcBorders/>
            <w:shd w:fill="auto" w:val="clear"/>
            <w:vAlign w:val="center"/>
          </w:tcPr>
          <w:p>
            <w:pPr>
              <w:pStyle w:val="TableContents"/>
              <w:spacing w:lineRule="auto" w:line="285" w:before="0" w:after="0"/>
              <w:ind w:left="0" w:right="0" w:hanging="0"/>
              <w:rPr/>
            </w:pPr>
            <w:r>
              <w:rPr/>
              <w:t>​</w:t>
            </w:r>
          </w:p>
        </w:tc>
        <w:tc>
          <w:tcPr>
            <w:tcW w:w="4167" w:type="dxa"/>
            <w:gridSpan w:val="2"/>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pBdr>
                <w:bottom w:val="single" w:sz="2" w:space="1" w:color="000000"/>
              </w:pBdr>
              <w:spacing w:lineRule="auto" w:line="328" w:before="0" w:after="15"/>
              <w:ind w:left="0" w:right="0" w:hanging="0"/>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Kathryn Haviland</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552" w:type="dxa"/>
            <w:gridSpan w:val="2"/>
            <w:tcBorders/>
            <w:shd w:fill="auto" w:val="clear"/>
            <w:vAlign w:val="center"/>
          </w:tcPr>
          <w:p>
            <w:pPr>
              <w:pStyle w:val="TableContents"/>
              <w:spacing w:lineRule="auto" w:line="285" w:before="0" w:after="0"/>
              <w:ind w:left="0" w:right="0" w:hanging="0"/>
              <w:rPr/>
            </w:pPr>
            <w:r>
              <w:rPr/>
              <w:t>​</w:t>
            </w:r>
          </w:p>
        </w:tc>
        <w:tc>
          <w:tcPr>
            <w:tcW w:w="4167" w:type="dxa"/>
            <w:gridSpan w:val="2"/>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By:</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pBdr>
                <w:bottom w:val="single" w:sz="2" w:space="1" w:color="000000"/>
              </w:pBdr>
              <w:spacing w:lineRule="auto" w:line="328" w:before="0" w:after="15"/>
              <w:ind w:left="0" w:right="0" w:hanging="0"/>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Michael Landsittel</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6" w:type="dxa"/>
            <w:tcBorders/>
            <w:shd w:fill="auto" w:val="clear"/>
            <w:vAlign w:val="center"/>
          </w:tcPr>
          <w:p>
            <w:pPr>
              <w:pStyle w:val="TableContents"/>
              <w:spacing w:lineRule="auto" w:line="285" w:before="0" w:after="0"/>
              <w:ind w:left="0" w:right="0" w:hanging="0"/>
              <w:rPr/>
            </w:pPr>
            <w:r>
              <w:rPr/>
              <w:t>​</w:t>
            </w:r>
          </w:p>
        </w:tc>
        <w:tc>
          <w:tcPr>
            <w:tcW w:w="146" w:type="dxa"/>
            <w:tcBorders/>
            <w:shd w:fill="auto" w:val="clear"/>
            <w:vAlign w:val="center"/>
          </w:tcPr>
          <w:p>
            <w:pPr>
              <w:pStyle w:val="TableContents"/>
              <w:spacing w:lineRule="auto" w:line="328" w:before="0" w:after="0"/>
              <w:ind w:left="0" w:right="0" w:hanging="0"/>
              <w:rPr/>
            </w:pPr>
            <w:r>
              <w:rPr/>
              <w:t> </w:t>
            </w:r>
          </w:p>
        </w:tc>
        <w:tc>
          <w:tcPr>
            <w:tcW w:w="4021" w:type="dxa"/>
            <w:tcBorders/>
            <w:shd w:fill="auto" w:val="clear"/>
            <w:vAlign w:val="center"/>
          </w:tcPr>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lineRule="auto" w:line="285" w:before="0" w:after="0"/>
        <w:ind w:left="0" w:right="0" w:hanging="0"/>
        <w:rPr>
          <w:highlight w:val="yellow"/>
        </w:rPr>
      </w:pPr>
      <w:r>
        <w:rPr>
          <w:highlight w:val="yellow"/>
        </w:rPr>
        <w:t>​</w:t>
      </w:r>
    </w:p>
    <w:p>
      <w:pPr>
        <w:pStyle w:val="TextBody"/>
        <w:spacing w:lineRule="auto" w:line="285" w:before="0" w:after="0"/>
        <w:ind w:left="0" w:right="0" w:hanging="0"/>
        <w:jc w:val="center"/>
        <w:rPr>
          <w:highlight w:val="yellow"/>
        </w:rPr>
      </w:pPr>
      <w:r>
        <w:rPr>
          <w:highlight w:val="yellow"/>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112</w:t>
      </w:r>
      <w:r>
        <w:br w:type="page"/>
      </w:r>
    </w:p>
    <w:p>
      <w:pPr>
        <w:pStyle w:val="TextBody"/>
        <w:spacing w:before="0" w:after="0"/>
        <w:ind w:left="0" w:right="0" w:hanging="0"/>
        <w:rPr/>
      </w:pPr>
      <w:bookmarkStart w:id="1005" w:name="bpmc-20230331xex10d1.htm"/>
      <w:bookmarkStart w:id="1006" w:name="ksbpmc20230331xex10d1"/>
      <w:bookmarkEnd w:id="1005"/>
      <w:bookmarkEnd w:id="1006"/>
      <w:r>
        <w:rPr/>
        <w:t>​</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 Certain information in this document has been omitted from this exhibit because it is both</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(i) not material and (ii) would be competitively harmful if publicly disclosed.</w:t>
      </w:r>
    </w:p>
    <w:p>
      <w:pPr>
        <w:pStyle w:val="TextBody"/>
        <w:spacing w:before="0" w:after="240"/>
        <w:ind w:left="0" w:right="0" w:hanging="0"/>
        <w:jc w:val="center"/>
        <w:rPr>
          <w:rFonts w:ascii="Times New Roman;Times;serif" w:hAnsi="Times New Roman;Times;serif"/>
          <w:b/>
          <w:sz w:val="22"/>
        </w:rPr>
      </w:pPr>
      <w:r>
        <w:rPr>
          <w:rFonts w:ascii="Times New Roman;Times;serif" w:hAnsi="Times New Roman;Times;serif"/>
          <w:b/>
          <w:sz w:val="22"/>
        </w:rPr>
        <w:t>MUTUAL TERMINATION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This Mutual Termination Agreement (this </w:t>
      </w:r>
      <w:r>
        <w:rPr>
          <w:rFonts w:ascii="Times New Roman;Times;serif" w:hAnsi="Times New Roman;Times;serif"/>
          <w:sz w:val="20"/>
        </w:rPr>
        <w:t>“</w:t>
      </w:r>
      <w:r>
        <w:rPr>
          <w:rFonts w:ascii="Times New Roman;Times;serif" w:hAnsi="Times New Roman;Times;serif"/>
          <w:b/>
          <w:sz w:val="22"/>
        </w:rPr>
        <w:t>Termination Agreement</w:t>
      </w:r>
      <w:r>
        <w:rPr>
          <w:rFonts w:ascii="Times New Roman;Times;serif" w:hAnsi="Times New Roman;Times;serif"/>
          <w:sz w:val="20"/>
        </w:rPr>
        <w:t>”</w:t>
      </w:r>
      <w:r>
        <w:rPr>
          <w:rFonts w:ascii="Times New Roman;Times;serif" w:hAnsi="Times New Roman;Times;serif"/>
          <w:sz w:val="22"/>
        </w:rPr>
        <w:t>), effective April 30, 2023 (</w:t>
      </w:r>
      <w:r>
        <w:rPr>
          <w:rFonts w:ascii="Times New Roman;Times;serif" w:hAnsi="Times New Roman;Times;serif"/>
          <w:sz w:val="20"/>
        </w:rPr>
        <w:t>“</w:t>
      </w:r>
      <w:r>
        <w:rPr>
          <w:rFonts w:ascii="Times New Roman;Times;serif" w:hAnsi="Times New Roman;Times;serif"/>
          <w:b/>
          <w:sz w:val="22"/>
        </w:rPr>
        <w:t>Termination Effective Date</w:t>
      </w:r>
      <w:r>
        <w:rPr>
          <w:rFonts w:ascii="Times New Roman;Times;serif" w:hAnsi="Times New Roman;Times;serif"/>
          <w:sz w:val="20"/>
        </w:rPr>
        <w:t>”</w:t>
      </w:r>
      <w:r>
        <w:rPr>
          <w:rFonts w:ascii="Times New Roman;Times;serif" w:hAnsi="Times New Roman;Times;serif"/>
          <w:sz w:val="22"/>
        </w:rPr>
        <w:t xml:space="preserve">),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Times New Roman;Times;serif" w:hAnsi="Times New Roman;Times;serif"/>
          <w:sz w:val="20"/>
        </w:rPr>
        <w:t>“</w:t>
      </w:r>
      <w:r>
        <w:rPr>
          <w:rFonts w:ascii="Times New Roman;Times;serif" w:hAnsi="Times New Roman;Times;serif"/>
          <w:b/>
          <w:sz w:val="22"/>
        </w:rPr>
        <w:t>Roche</w:t>
      </w:r>
      <w:r>
        <w:rPr>
          <w:rFonts w:ascii="Times New Roman;Times;serif" w:hAnsi="Times New Roman;Times;serif"/>
          <w:sz w:val="20"/>
        </w:rPr>
        <w:t>”</w:t>
      </w:r>
      <w:r>
        <w:rPr>
          <w:rFonts w:ascii="Times New Roman;Times;serif" w:hAnsi="Times New Roman;Times;serif"/>
          <w:sz w:val="22"/>
        </w:rPr>
        <w:t>), and Blueprint Medicines Corporation, with a principal place of business at 45 Sidney Street, Cambridge, Massachusetts 02139 U.S.A. (</w:t>
      </w:r>
      <w:r>
        <w:rPr>
          <w:rFonts w:ascii="Times New Roman;Times;serif" w:hAnsi="Times New Roman;Times;serif"/>
          <w:sz w:val="20"/>
        </w:rPr>
        <w:t>“</w:t>
      </w:r>
      <w:r>
        <w:rPr>
          <w:rFonts w:ascii="Times New Roman;Times;serif" w:hAnsi="Times New Roman;Times;serif"/>
          <w:b/>
          <w:sz w:val="22"/>
        </w:rPr>
        <w:t>BPM</w:t>
      </w:r>
      <w:r>
        <w:rPr>
          <w:rFonts w:ascii="Times New Roman;Times;serif" w:hAnsi="Times New Roman;Times;serif"/>
          <w:sz w:val="20"/>
        </w:rPr>
        <w:t>”</w:t>
      </w:r>
      <w:r>
        <w:rPr>
          <w:rFonts w:ascii="Times New Roman;Times;serif" w:hAnsi="Times New Roman;Times;serif"/>
          <w:sz w:val="22"/>
        </w:rPr>
        <w:t>). Capitalized terms used and not otherwise defined in this Termination Agreement shall have the meanings set forth in the Agreement (as defined below).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xml:space="preserve">, BPM and Roche entered into a Collaboration and License Agreement, dated March 14, 2016, as amended by an amendment, effective April 15, 2016, a second amendment, effective April 27, 2016, a third amendment, effective August 4, 2016, a fourth amendment, effective February 25, 2019, a fifth amendment, effective June 28, 2019, a sixth amendment effective November 1, 2019, a seventh amendment effective December 17, 2019, an eighth amendment effective April 30, 2020, a ninth amendment effective January 8, 2021 and a tenth amendment effective April 30, 2022 (collectively, the </w:t>
      </w:r>
      <w:r>
        <w:rPr>
          <w:rFonts w:ascii="Times New Roman;Times;serif" w:hAnsi="Times New Roman;Times;serif"/>
          <w:sz w:val="20"/>
        </w:rPr>
        <w:t>“</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Parties</w:t>
      </w:r>
      <w:r>
        <w:rPr>
          <w:rFonts w:ascii="Times New Roman;Times;serif" w:hAnsi="Times New Roman;Times;serif"/>
          <w:sz w:val="20"/>
        </w:rPr>
        <w:t xml:space="preserve">’ </w:t>
      </w:r>
      <w:r>
        <w:rPr>
          <w:rFonts w:ascii="Times New Roman;Times;serif" w:hAnsi="Times New Roman;Times;serif"/>
          <w:sz w:val="22"/>
        </w:rPr>
        <w:t>activities under the Agreement are currently limited to (i) the Collaboration Target MAP4K1 and (ii) any incomplete winddown activities related to other Terminated Targets under the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Parties have mutually agreed to terminate the Agreement effective as of the Termination Effective Date; and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Parties confirm their mutual understanding with respect to consequences of termination of the Agreement by mutual agreement, the winddown of activities under the Agreement, and other matters set forth herein.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Roche and BPM hereby agree as follows:</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Consequences of Termination by Mutual Agreement</w:t>
      </w:r>
      <w:r>
        <w:rPr>
          <w:rFonts w:ascii="Times New Roman;Times;serif" w:hAnsi="Times New Roman;Times;serif"/>
          <w:sz w:val="22"/>
        </w:rPr>
        <w:t xml:space="preserve">.  The Agreement is terminated effective as of the Termination Effective Date by the mutual agreement of the Parties effective as of the Termination Effective Date. Except as expressly provided herein, the terms and conditions set forth in Section 21.3 of the Agreement (Consequences of Termination) including, without limitation, Sections 21.3.1 (Termination by BPM for Breach by Roche, Roche Insolvency, by Roche Without Cause, or by BPM for Roche Suspension of Development or Commercialization) and 21.3.4.2(a) (Obligations Related to Manufacturing </w:t>
      </w:r>
      <w:r>
        <w:rPr>
          <w:rFonts w:ascii="Times New Roman;Times;serif" w:hAnsi="Times New Roman;Times;serif"/>
          <w:sz w:val="20"/>
        </w:rPr>
        <w:t xml:space="preserve">– </w:t>
      </w:r>
      <w:r>
        <w:rPr>
          <w:rFonts w:ascii="Times New Roman;Times;serif" w:hAnsi="Times New Roman;Times;serif"/>
          <w:sz w:val="22"/>
        </w:rPr>
        <w:t xml:space="preserve">Clinical Supply), shall apply to this termination of the Agreement by mutual agreement of the Parties, except as expressly provided herein. The Parties have agreed to treat all products containing Collaboration Compounds that are directed to MAP4K1, whether such Collaboration Compounds are in a pharmaceutical product or as its active pharmaceutical ingredient, as </w:t>
      </w:r>
      <w:r>
        <w:rPr>
          <w:rFonts w:ascii="Times New Roman;Times;serif" w:hAnsi="Times New Roman;Times;serif"/>
          <w:sz w:val="20"/>
        </w:rPr>
        <w:t>“</w:t>
      </w:r>
      <w:r>
        <w:rPr>
          <w:rFonts w:ascii="Times New Roman;Times;serif" w:hAnsi="Times New Roman;Times;serif"/>
          <w:sz w:val="22"/>
        </w:rPr>
        <w:t>Reversion Products</w:t>
      </w:r>
      <w:r>
        <w:rPr>
          <w:rFonts w:ascii="Times New Roman;Times;serif" w:hAnsi="Times New Roman;Times;serif"/>
          <w:sz w:val="20"/>
        </w:rPr>
        <w:t xml:space="preserve">” </w:t>
      </w:r>
      <w:r>
        <w:rPr>
          <w:rFonts w:ascii="Times New Roman;Times;serif" w:hAnsi="Times New Roman;Times;serif"/>
          <w:sz w:val="22"/>
        </w:rPr>
        <w:t>for the purposes of the Agreement.</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MAP4K1 Terminated Target; Continuation Notice</w:t>
      </w:r>
      <w:r>
        <w:rPr>
          <w:rFonts w:ascii="Times New Roman;Times;serif" w:hAnsi="Times New Roman;Times;serif"/>
          <w:sz w:val="22"/>
        </w:rPr>
        <w:t xml:space="preserve">.  Effective as of the Termination Effective Date, MAP4K1 is hereby classified as a </w:t>
      </w:r>
      <w:r>
        <w:rPr>
          <w:rFonts w:ascii="Times New Roman;Times;serif" w:hAnsi="Times New Roman;Times;serif"/>
          <w:sz w:val="20"/>
        </w:rPr>
        <w:t>“</w:t>
      </w:r>
      <w:r>
        <w:rPr>
          <w:rFonts w:ascii="Times New Roman;Times;serif" w:hAnsi="Times New Roman;Times;serif"/>
          <w:sz w:val="22"/>
        </w:rPr>
        <w:t>Terminated Target</w:t>
      </w:r>
      <w:r>
        <w:rPr>
          <w:rFonts w:ascii="Times New Roman;Times;serif" w:hAnsi="Times New Roman;Times;serif"/>
          <w:sz w:val="20"/>
        </w:rPr>
        <w:t xml:space="preserve">” </w:t>
      </w:r>
      <w:r>
        <w:rPr>
          <w:rFonts w:ascii="Times New Roman;Times;serif" w:hAnsi="Times New Roman;Times;serif"/>
          <w:sz w:val="22"/>
        </w:rPr>
        <w:t xml:space="preserve">under the Agreement in all countries in the Territory. As of the Termination Effective Date, this Termination Agreement will be deemed to constitute a </w:t>
      </w:r>
      <w:r>
        <w:rPr>
          <w:rFonts w:ascii="Times New Roman;Times;serif" w:hAnsi="Times New Roman;Times;serif"/>
          <w:sz w:val="20"/>
        </w:rPr>
        <w:t>“</w:t>
      </w:r>
      <w:r>
        <w:rPr>
          <w:rFonts w:ascii="Times New Roman;Times;serif" w:hAnsi="Times New Roman;Times;serif"/>
          <w:sz w:val="22"/>
        </w:rPr>
        <w:t>Continuation Election Notice</w:t>
      </w:r>
      <w:r>
        <w:rPr>
          <w:rFonts w:ascii="Times New Roman;Times;serif" w:hAnsi="Times New Roman;Times;serif"/>
          <w:sz w:val="20"/>
        </w:rPr>
        <w:t xml:space="preserve">” </w:t>
      </w:r>
      <w:r>
        <w:rPr>
          <w:rFonts w:ascii="Times New Roman;Times;serif" w:hAnsi="Times New Roman;Times;serif"/>
          <w:sz w:val="22"/>
        </w:rPr>
        <w:t>in accordance with Section 21.3.1 of the Agreement and each Party will comply with its obligations under Sections 21.3.1 and 21.3.4 of the Agreement; provided that no payment will be due or payable by BPM to Roche under Section 21.3.1(f) of the Agreement. As of the Termination Effective Date, (a) the rights and licenses granted by BPM to Roche under the Agreement related to MAP4K1 will terminate in their entirety in all countries in the Territory, (b) each Party</w:t>
      </w:r>
      <w:r>
        <w:rPr>
          <w:rFonts w:ascii="Times New Roman;Times;serif" w:hAnsi="Times New Roman;Times;serif"/>
          <w:sz w:val="20"/>
        </w:rPr>
        <w:t>’</w:t>
      </w:r>
      <w:r>
        <w:rPr>
          <w:rFonts w:ascii="Times New Roman;Times;serif" w:hAnsi="Times New Roman;Times;serif"/>
          <w:sz w:val="22"/>
        </w:rPr>
        <w:t>s obligations under Section 20.1 of the Agreement will survive with respect to MAP4K1 (provided, however, that BPM and its Affiliates and licensee(s) have the right to use or disclose Roche</w:t>
      </w:r>
      <w:r>
        <w:rPr>
          <w:rFonts w:ascii="Times New Roman;Times;serif" w:hAnsi="Times New Roman;Times;serif"/>
          <w:sz w:val="20"/>
        </w:rPr>
        <w:t>’</w:t>
      </w:r>
      <w:r>
        <w:rPr>
          <w:rFonts w:ascii="Times New Roman;Times;serif" w:hAnsi="Times New Roman;Times;serif"/>
          <w:sz w:val="22"/>
        </w:rPr>
        <w:t xml:space="preserve">s Confidential Information with respect to MAP4K1 to Third Parties described in Section 20.5(i)-(vi) (inclusive) of the Agreement provided that, in each such case, such Third Party is bound by obligations of confidentiality and non-use customary for such type and scope of disclosure), (c) BPM will solely own all Reversion Products for MAP4K1 and all Patent Rights and Know-How relating thereto </w:t>
      </w:r>
      <w:r>
        <w:rPr>
          <w:rFonts w:ascii="Times New Roman;Times;serif" w:hAnsi="Times New Roman;Times;serif"/>
          <w:sz w:val="20"/>
        </w:rPr>
        <w:t>[***]</w:t>
      </w:r>
      <w:r>
        <w:rPr>
          <w:rFonts w:ascii="Times New Roman;Times;serif" w:hAnsi="Times New Roman;Times;serif"/>
          <w:sz w:val="22"/>
        </w:rPr>
        <w:t>, and (d) for the avoidance of doubt, BPM will have the right to (i) research, develop, manufacture, commercialize and otherwise exploit Reversion Products related to MAP4K1 without any financial obligations to Roche, (ii) publish data and other Know-How related to MAP4K1 (including without limitation the name of the target and Collaboration Compounds contained in the Reversion Products for such Terminated Target) generated by or on behalf of the Parties under the Agreement prior to the Termination Effective Date or thereafter without obtaining prior review or approval from Roche and (iii) disclose, in its sole discretion, in a manner consistent with BPM</w:t>
      </w:r>
      <w:r>
        <w:rPr>
          <w:rFonts w:ascii="Times New Roman;Times;serif" w:hAnsi="Times New Roman;Times;serif"/>
          <w:sz w:val="20"/>
        </w:rPr>
        <w:t>’</w:t>
      </w:r>
      <w:r>
        <w:rPr>
          <w:rFonts w:ascii="Times New Roman;Times;serif" w:hAnsi="Times New Roman;Times;serif"/>
          <w:sz w:val="22"/>
        </w:rPr>
        <w:t>s then-current disclosure or publication practices or policies that such data or Know-How was generated under the Agreement and/or the names and affiliations of the individuals involved in the generation of such data or Know-How, if and as applicable.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Winddown Plan</w:t>
      </w:r>
      <w:r>
        <w:rPr>
          <w:rFonts w:ascii="Times New Roman;Times;serif" w:hAnsi="Times New Roman;Times;serif"/>
          <w:sz w:val="22"/>
        </w:rPr>
        <w:t xml:space="preserve">.  In order to ensure an orderly winddown of the collaboration under the Agreement, the Parties have agreed to a winddown plan set forth in </w:t>
      </w:r>
      <w:r>
        <w:rPr>
          <w:rFonts w:ascii="Times New Roman;Times;serif" w:hAnsi="Times New Roman;Times;serif"/>
          <w:sz w:val="22"/>
          <w:u w:val="single"/>
        </w:rPr>
        <w:t>Schedule 1</w:t>
      </w:r>
      <w:r>
        <w:rPr>
          <w:rFonts w:ascii="Times New Roman;Times;serif" w:hAnsi="Times New Roman;Times;serif"/>
          <w:sz w:val="20"/>
        </w:rPr>
        <w:t xml:space="preserve"> </w:t>
      </w:r>
      <w:r>
        <w:rPr>
          <w:rFonts w:ascii="Times New Roman;Times;serif" w:hAnsi="Times New Roman;Times;serif"/>
          <w:sz w:val="22"/>
        </w:rPr>
        <w:t xml:space="preserve">hereto (the </w:t>
      </w:r>
      <w:r>
        <w:rPr>
          <w:rFonts w:ascii="Times New Roman;Times;serif" w:hAnsi="Times New Roman;Times;serif"/>
          <w:sz w:val="20"/>
        </w:rPr>
        <w:t>“</w:t>
      </w:r>
      <w:r>
        <w:rPr>
          <w:rFonts w:ascii="Times New Roman;Times;serif" w:hAnsi="Times New Roman;Times;serif"/>
          <w:b/>
          <w:sz w:val="22"/>
        </w:rPr>
        <w:t>Winddown Plan</w:t>
      </w:r>
      <w:r>
        <w:rPr>
          <w:rFonts w:ascii="Times New Roman;Times;serif" w:hAnsi="Times New Roman;Times;serif"/>
          <w:sz w:val="20"/>
        </w:rPr>
        <w:t>”</w:t>
      </w:r>
      <w:r>
        <w:rPr>
          <w:rFonts w:ascii="Times New Roman;Times;serif" w:hAnsi="Times New Roman;Times;serif"/>
          <w:sz w:val="22"/>
        </w:rPr>
        <w:t>), which sets forth the deliverables, activities, responsible Party(ies)/functions, and timelines (including completion deadlines) that are not expected to be completed on or before the Termination Effective Date.  Each Party will conduct its respective activities under the Winddown Plan on a timely basis and in an effective manner consistent with prevailing standards. The respective Alliance Managers for the Parties will serve as the primary contacts for each Party designated in the Winddown Plan and will (a) review, coordinate and integrate the activities of the Parties under the relevant portion of the Winddown Plan, (b) facilitate communications between the Parties with respect to such deliverables and activities and (c) perform such other functions as the Parties mutually agree. Unless otherwise specified in this Termination Agreement or in the Winddown Plan, each Party shall bear its own costs and expenses incurred in connection with the performance of the Winddown Plan.</w:t>
      </w:r>
    </w:p>
    <w:tbl>
      <w:tblPr>
        <w:tblW w:w="2088" w:type="dxa"/>
        <w:jc w:val="left"/>
        <w:tblInd w:w="0" w:type="dxa"/>
        <w:tblCellMar>
          <w:top w:w="0" w:type="dxa"/>
          <w:left w:w="0" w:type="dxa"/>
          <w:bottom w:w="0" w:type="dxa"/>
          <w:right w:w="0" w:type="dxa"/>
        </w:tblCellMar>
      </w:tblPr>
      <w:tblGrid>
        <w:gridCol w:w="23"/>
        <w:gridCol w:w="200"/>
        <w:gridCol w:w="186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4.</w:t>
            </w:r>
          </w:p>
        </w:tc>
        <w:tc>
          <w:tcPr>
            <w:tcW w:w="18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Regulatory Matters</w:t>
            </w:r>
            <w:r>
              <w:rPr>
                <w:rFonts w:ascii="Times New Roman;Times;serif" w:hAnsi="Times New Roman;Times;serif"/>
                <w:sz w:val="22"/>
              </w:rPr>
              <w:t>.</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Roche hereby confirms that as of the Termination Effective Date, </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Notwithstanding anything to the contrary in Section 4(b) above, </w:t>
      </w:r>
      <w:r>
        <w:rPr>
          <w:rFonts w:ascii="Times New Roman;Times;serif" w:hAnsi="Times New Roman;Times;serif"/>
          <w:sz w:val="20"/>
        </w:rPr>
        <w:t>[***]</w:t>
      </w:r>
      <w:r>
        <w:rPr>
          <w:rFonts w:ascii="Times New Roman;Times;serif" w:hAnsi="Times New Roman;Times;serif"/>
          <w:sz w:val="22"/>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rPr/>
      </w:pPr>
      <w:r>
        <w:rPr/>
      </w:r>
    </w:p>
    <w:p>
      <w:pPr>
        <w:pStyle w:val="TextBody"/>
        <w:spacing w:before="0" w:after="0"/>
        <w:ind w:left="0" w:right="0" w:hanging="0"/>
        <w:rPr/>
      </w:pPr>
      <w:r>
        <w:rPr/>
        <w:t>​</w:t>
      </w:r>
    </w:p>
    <w:tbl>
      <w:tblPr>
        <w:tblW w:w="2808" w:type="dxa"/>
        <w:jc w:val="left"/>
        <w:tblInd w:w="0" w:type="dxa"/>
        <w:tblCellMar>
          <w:top w:w="0" w:type="dxa"/>
          <w:left w:w="0" w:type="dxa"/>
          <w:bottom w:w="0" w:type="dxa"/>
          <w:right w:w="0" w:type="dxa"/>
        </w:tblCellMar>
      </w:tblPr>
      <w:tblGrid>
        <w:gridCol w:w="23"/>
        <w:gridCol w:w="200"/>
        <w:gridCol w:w="258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5.</w:t>
            </w:r>
          </w:p>
        </w:tc>
        <w:tc>
          <w:tcPr>
            <w:tcW w:w="25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Manufacturing and Supply</w:t>
            </w:r>
            <w:r>
              <w:rPr>
                <w:rFonts w:ascii="Times New Roman;Times;serif" w:hAnsi="Times New Roman;Times;serif"/>
                <w:sz w:val="22"/>
              </w:rPr>
              <w:t>.</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Transfer of Materials</w:t>
      </w:r>
      <w:r>
        <w:rPr>
          <w:rFonts w:ascii="Times New Roman;Times;serif" w:hAnsi="Times New Roman;Times;serif"/>
          <w:sz w:val="22"/>
        </w:rPr>
        <w:t xml:space="preserve">.  Pursuant to Section 21.3.4.2(a) of the Agreement, BPM hereby requests that Roche transfer all existing and available MAP4K1 Reversion Product materials to BPM or its designee. Roche hereby confirms that to the best of its knowledge </w:t>
      </w:r>
      <w:r>
        <w:rPr>
          <w:rFonts w:ascii="Times New Roman;Times;serif" w:hAnsi="Times New Roman;Times;serif"/>
          <w:sz w:val="22"/>
          <w:u w:val="single"/>
        </w:rPr>
        <w:t>Schedule 1B</w:t>
      </w:r>
      <w:r>
        <w:rPr>
          <w:rFonts w:ascii="Times New Roman;Times;serif" w:hAnsi="Times New Roman;Times;serif"/>
          <w:sz w:val="20"/>
        </w:rPr>
        <w:t xml:space="preserve"> </w:t>
      </w:r>
      <w:r>
        <w:rPr>
          <w:rFonts w:ascii="Times New Roman;Times;serif" w:hAnsi="Times New Roman;Times;serif"/>
          <w:sz w:val="22"/>
        </w:rPr>
        <w:t>hereto constitutes a complete list of all significant amounts of existing MAP4K1 Reversion Product in Roche</w:t>
      </w:r>
      <w:r>
        <w:rPr>
          <w:rFonts w:ascii="Times New Roman;Times;serif" w:hAnsi="Times New Roman;Times;serif"/>
          <w:sz w:val="20"/>
        </w:rPr>
        <w:t>’</w:t>
      </w:r>
      <w:r>
        <w:rPr>
          <w:rFonts w:ascii="Times New Roman;Times;serif" w:hAnsi="Times New Roman;Times;serif"/>
          <w:sz w:val="22"/>
        </w:rPr>
        <w:t xml:space="preserve">s possession or Control as of the Termination Effective Date. After the Termination Effective Date, Roche will transfer and deliver to BPM (or its designee) </w:t>
      </w:r>
      <w:r>
        <w:rPr>
          <w:rFonts w:ascii="Times New Roman;Times;serif" w:hAnsi="Times New Roman;Times;serif"/>
          <w:sz w:val="20"/>
        </w:rPr>
        <w:t xml:space="preserve">[***] </w:t>
      </w:r>
      <w:r>
        <w:rPr>
          <w:rFonts w:ascii="Times New Roman;Times;serif" w:hAnsi="Times New Roman;Times;serif"/>
          <w:sz w:val="22"/>
        </w:rPr>
        <w:t xml:space="preserve">(i) the quantities of the MAP4K1 Reversion Product (in bulk form or finished dosage product form) and works-in-progress of the foregoing Controlled by Roche set forth in </w:t>
      </w:r>
      <w:r>
        <w:rPr>
          <w:rFonts w:ascii="Times New Roman;Times;serif" w:hAnsi="Times New Roman;Times;serif"/>
          <w:sz w:val="22"/>
          <w:u w:val="single"/>
        </w:rPr>
        <w:t>Schedule 1B</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b/>
          <w:sz w:val="22"/>
        </w:rPr>
        <w:t>Existing Manufacturing Inventory</w:t>
      </w:r>
      <w:r>
        <w:rPr>
          <w:rFonts w:ascii="Times New Roman;Times;serif" w:hAnsi="Times New Roman;Times;serif"/>
          <w:sz w:val="20"/>
        </w:rPr>
        <w:t>”</w:t>
      </w:r>
      <w:r>
        <w:rPr>
          <w:rFonts w:ascii="Times New Roman;Times;serif" w:hAnsi="Times New Roman;Times;serif"/>
          <w:sz w:val="22"/>
        </w:rPr>
        <w:t xml:space="preserve">) and (ii) after completion of investigational medicinal products testing and receipt of a certificate of analysis and GMP letter, the quantities of the MAP4K1 Reversion Product (in bulk form or finished dosage product form) and all raw materials or works-in-progress of the foregoing Controlled by Roche set forth in </w:t>
      </w:r>
      <w:r>
        <w:rPr>
          <w:rFonts w:ascii="Times New Roman;Times;serif" w:hAnsi="Times New Roman;Times;serif"/>
          <w:sz w:val="22"/>
          <w:u w:val="single"/>
        </w:rPr>
        <w:t>Schedule 1B</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b/>
          <w:sz w:val="22"/>
        </w:rPr>
        <w:t>In Process Manufacturing Inventory</w:t>
      </w:r>
      <w:r>
        <w:rPr>
          <w:rFonts w:ascii="Times New Roman;Times;serif" w:hAnsi="Times New Roman;Times;serif"/>
          <w:sz w:val="20"/>
        </w:rPr>
        <w:t>”</w:t>
      </w:r>
      <w:r>
        <w:rPr>
          <w:rFonts w:ascii="Times New Roman;Times;serif" w:hAnsi="Times New Roman;Times;serif"/>
          <w:sz w:val="22"/>
        </w:rPr>
        <w:t xml:space="preserve">), all in accordance with terms and conditions to be negotiated by BPM and Roche in good faith and executed within </w:t>
      </w:r>
      <w:r>
        <w:rPr>
          <w:rFonts w:ascii="Times New Roman;Times;serif" w:hAnsi="Times New Roman;Times;serif"/>
          <w:sz w:val="20"/>
        </w:rPr>
        <w:t xml:space="preserve">[***] </w:t>
      </w:r>
      <w:r>
        <w:rPr>
          <w:rFonts w:ascii="Times New Roman;Times;serif" w:hAnsi="Times New Roman;Times;serif"/>
          <w:sz w:val="22"/>
        </w:rPr>
        <w:t>after the Termination Effective Date.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Inventory Manufacturing Documents</w:t>
      </w:r>
      <w:r>
        <w:rPr>
          <w:rFonts w:ascii="Times New Roman;Times;serif" w:hAnsi="Times New Roman;Times;serif"/>
          <w:sz w:val="20"/>
        </w:rPr>
        <w:t>[***]</w:t>
      </w:r>
      <w:r>
        <w:rPr>
          <w:rFonts w:ascii="Times New Roman;Times;serif" w:hAnsi="Times New Roman;Times;serif"/>
          <w:sz w:val="22"/>
        </w:rPr>
        <w:t>.  Roche will transfer (or cause to be transferred) to BPM copies of Roche</w:t>
      </w:r>
      <w:r>
        <w:rPr>
          <w:rFonts w:ascii="Times New Roman;Times;serif" w:hAnsi="Times New Roman;Times;serif"/>
          <w:sz w:val="20"/>
        </w:rPr>
        <w:t>’</w:t>
      </w:r>
      <w:r>
        <w:rPr>
          <w:rFonts w:ascii="Times New Roman;Times;serif" w:hAnsi="Times New Roman;Times;serif"/>
          <w:sz w:val="22"/>
        </w:rPr>
        <w:t xml:space="preserve">s manufacturing records relating to such Existing Manufacturing Inventory and In Process Manufacturing Inventory, including copies of the applicable batch records, in-process and release test results, and certificates of analysis and, to the extent applicable, release with respect thereto (the </w:t>
      </w:r>
      <w:r>
        <w:rPr>
          <w:rFonts w:ascii="Times New Roman;Times;serif" w:hAnsi="Times New Roman;Times;serif"/>
          <w:sz w:val="20"/>
        </w:rPr>
        <w:t>“</w:t>
      </w:r>
      <w:r>
        <w:rPr>
          <w:rFonts w:ascii="Times New Roman;Times;serif" w:hAnsi="Times New Roman;Times;serif"/>
          <w:b/>
          <w:sz w:val="22"/>
        </w:rPr>
        <w:t>Manufacturing Documents</w:t>
      </w:r>
      <w:r>
        <w:rPr>
          <w:rFonts w:ascii="Times New Roman;Times;serif" w:hAnsi="Times New Roman;Times;serif"/>
          <w:sz w:val="20"/>
        </w:rPr>
        <w:t>”</w:t>
      </w:r>
      <w:r>
        <w:rPr>
          <w:rFonts w:ascii="Times New Roman;Times;serif" w:hAnsi="Times New Roman;Times;serif"/>
          <w:sz w:val="22"/>
        </w:rPr>
        <w:t xml:space="preserve">) and an electronic copy of </w:t>
      </w:r>
      <w:r>
        <w:rPr>
          <w:rFonts w:ascii="Times New Roman;Times;serif" w:hAnsi="Times New Roman;Times;serif"/>
          <w:sz w:val="20"/>
        </w:rPr>
        <w:t xml:space="preserve">[***] </w:t>
      </w:r>
      <w:r>
        <w:rPr>
          <w:rFonts w:ascii="Times New Roman;Times;serif" w:hAnsi="Times New Roman;Times;serif"/>
          <w:sz w:val="22"/>
        </w:rPr>
        <w:t>Know-How within the Roche Sole IP related to the manufacture of Reversion Products including all electronic notebook pages related to the work performed by Roche during the term of the Agreement and during the Winddown Period.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Right to Qualify Roche Facility</w:t>
      </w:r>
      <w:r>
        <w:rPr>
          <w:rFonts w:ascii="Times New Roman;Times;serif" w:hAnsi="Times New Roman;Times;serif"/>
          <w:sz w:val="22"/>
        </w:rPr>
        <w:t>.  BPM or its designee shall have the right to qualify Roche</w:t>
      </w:r>
      <w:r>
        <w:rPr>
          <w:rFonts w:ascii="Times New Roman;Times;serif" w:hAnsi="Times New Roman;Times;serif"/>
          <w:sz w:val="20"/>
        </w:rPr>
        <w:t>’</w:t>
      </w:r>
      <w:r>
        <w:rPr>
          <w:rFonts w:ascii="Times New Roman;Times;serif" w:hAnsi="Times New Roman;Times;serif"/>
          <w:sz w:val="22"/>
        </w:rPr>
        <w:t xml:space="preserve">s facility located in </w:t>
      </w:r>
      <w:r>
        <w:rPr>
          <w:rFonts w:ascii="Times New Roman;Times;serif" w:hAnsi="Times New Roman;Times;serif"/>
          <w:sz w:val="20"/>
        </w:rPr>
        <w:t xml:space="preserve">[***] </w:t>
      </w:r>
      <w:r>
        <w:rPr>
          <w:rFonts w:ascii="Times New Roman;Times;serif" w:hAnsi="Times New Roman;Times;serif"/>
          <w:sz w:val="22"/>
        </w:rPr>
        <w:t xml:space="preserve">and such other facility as may be utilized by Roche for the storage of the GMP Existing Manufacturing Inventory and In-Process Manufacturing Inventory (collectively, the </w:t>
      </w:r>
      <w:r>
        <w:rPr>
          <w:rFonts w:ascii="Times New Roman;Times;serif" w:hAnsi="Times New Roman;Times;serif"/>
          <w:sz w:val="20"/>
        </w:rPr>
        <w:t>“</w:t>
      </w:r>
      <w:r>
        <w:rPr>
          <w:rFonts w:ascii="Times New Roman;Times;serif" w:hAnsi="Times New Roman;Times;serif"/>
          <w:b/>
          <w:sz w:val="22"/>
        </w:rPr>
        <w:t>Facility</w:t>
      </w:r>
      <w:r>
        <w:rPr>
          <w:rFonts w:ascii="Times New Roman;Times;serif" w:hAnsi="Times New Roman;Times;serif"/>
          <w:sz w:val="20"/>
        </w:rPr>
        <w:t>”</w:t>
      </w:r>
      <w:r>
        <w:rPr>
          <w:rFonts w:ascii="Times New Roman;Times;serif" w:hAnsi="Times New Roman;Times;serif"/>
          <w:sz w:val="22"/>
        </w:rPr>
        <w:t xml:space="preserve">), Representatives of BPM or its designee shall be granted access upon at least </w:t>
      </w:r>
      <w:r>
        <w:rPr>
          <w:rFonts w:ascii="Times New Roman;Times;serif" w:hAnsi="Times New Roman;Times;serif"/>
          <w:sz w:val="20"/>
        </w:rPr>
        <w:t xml:space="preserve">[***] </w:t>
      </w:r>
      <w:r>
        <w:rPr>
          <w:rFonts w:ascii="Times New Roman;Times;serif" w:hAnsi="Times New Roman;Times;serif"/>
          <w:sz w:val="22"/>
        </w:rPr>
        <w:t xml:space="preserve">prior written notice, at reasonable times during regular business hours, to (i) the portion of the Facility utilized for the storage of the Existing Manufacturing Inventory and In-Process Manufacturing Inventory, (ii) relevant personnel and (iii) the relevant documentation (except for any Manufacturing Documents which have already been provided to BPM in accordance with Section 5(b) hereof), in each case solely for the purpose of verifying cGMP compliance with respect to the storage of the aforementioned inventory and evidence of the chain of custody of such inventory. </w:t>
      </w:r>
      <w:r>
        <w:rPr>
          <w:rFonts w:ascii="Times New Roman;Times;serif" w:hAnsi="Times New Roman;Times;serif"/>
          <w:sz w:val="20"/>
        </w:rPr>
        <w:t xml:space="preserve">[***] </w:t>
      </w:r>
      <w:r>
        <w:rPr>
          <w:rFonts w:ascii="Times New Roman;Times;serif" w:hAnsi="Times New Roman;Times;serif"/>
          <w:sz w:val="22"/>
        </w:rPr>
        <w:t>Such representatives shall comply with the Facility</w:t>
      </w:r>
      <w:r>
        <w:rPr>
          <w:rFonts w:ascii="Times New Roman;Times;serif" w:hAnsi="Times New Roman;Times;serif"/>
          <w:sz w:val="20"/>
        </w:rPr>
        <w:t>’</w:t>
      </w:r>
      <w:r>
        <w:rPr>
          <w:rFonts w:ascii="Times New Roman;Times;serif" w:hAnsi="Times New Roman;Times;serif"/>
          <w:sz w:val="22"/>
        </w:rPr>
        <w:t>s safety rules and regulations which shall have been provided to the representatives in advance of such audit.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Disposition of Compounds and Other Materials</w:t>
      </w:r>
      <w:r>
        <w:rPr>
          <w:rFonts w:ascii="Times New Roman;Times;serif" w:hAnsi="Times New Roman;Times;serif"/>
          <w:sz w:val="22"/>
        </w:rPr>
        <w:t xml:space="preserve">.  In accordance with the instructions set forth in </w:t>
      </w:r>
      <w:r>
        <w:rPr>
          <w:rFonts w:ascii="Times New Roman;Times;serif" w:hAnsi="Times New Roman;Times;serif"/>
          <w:sz w:val="22"/>
          <w:u w:val="single"/>
        </w:rPr>
        <w:t>Schedule 1C</w:t>
      </w:r>
      <w:r>
        <w:rPr>
          <w:rFonts w:ascii="Times New Roman;Times;serif" w:hAnsi="Times New Roman;Times;serif"/>
          <w:sz w:val="20"/>
        </w:rPr>
        <w:t xml:space="preserve"> </w:t>
      </w:r>
      <w:r>
        <w:rPr>
          <w:rFonts w:ascii="Times New Roman;Times;serif" w:hAnsi="Times New Roman;Times;serif"/>
          <w:sz w:val="22"/>
        </w:rPr>
        <w:t>hereto, Roche shall either deliver to BPM or its designee or destroy (at BPM</w:t>
      </w:r>
      <w:r>
        <w:rPr>
          <w:rFonts w:ascii="Times New Roman;Times;serif" w:hAnsi="Times New Roman;Times;serif"/>
          <w:sz w:val="20"/>
        </w:rPr>
        <w:t>’</w:t>
      </w:r>
      <w:r>
        <w:rPr>
          <w:rFonts w:ascii="Times New Roman;Times;serif" w:hAnsi="Times New Roman;Times;serif"/>
          <w:sz w:val="22"/>
        </w:rPr>
        <w:t xml:space="preserve">s election as specified in </w:t>
      </w:r>
      <w:r>
        <w:rPr>
          <w:rFonts w:ascii="Times New Roman;Times;serif" w:hAnsi="Times New Roman;Times;serif"/>
          <w:sz w:val="22"/>
          <w:u w:val="single"/>
        </w:rPr>
        <w:t>Schedule 1C</w:t>
      </w:r>
      <w:r>
        <w:rPr>
          <w:rFonts w:ascii="Times New Roman;Times;serif" w:hAnsi="Times New Roman;Times;serif"/>
          <w:sz w:val="20"/>
        </w:rPr>
        <w:t xml:space="preserve"> </w:t>
      </w:r>
      <w:r>
        <w:rPr>
          <w:rFonts w:ascii="Times New Roman;Times;serif" w:hAnsi="Times New Roman;Times;serif"/>
          <w:sz w:val="22"/>
        </w:rPr>
        <w:t xml:space="preserve">hereto) the compounds and other material listed therein. Roche will transfer or destroy (as applicable) all such compounds and materials in a manner that complies with Applicable Law. Roche will provide BPM with written certification of destruction of such compounds listed in clause (b) of </w:t>
      </w:r>
      <w:r>
        <w:rPr>
          <w:rFonts w:ascii="Times New Roman;Times;serif" w:hAnsi="Times New Roman;Times;serif"/>
          <w:sz w:val="22"/>
          <w:u w:val="single"/>
        </w:rPr>
        <w:t>Schedule 1C</w:t>
      </w:r>
      <w:r>
        <w:rPr>
          <w:rFonts w:ascii="Times New Roman;Times;serif" w:hAnsi="Times New Roman;Times;serif"/>
          <w:sz w:val="20"/>
        </w:rPr>
        <w:t xml:space="preserve"> </w:t>
      </w:r>
      <w:r>
        <w:rPr>
          <w:rFonts w:ascii="Times New Roman;Times;serif" w:hAnsi="Times New Roman;Times;serif"/>
          <w:sz w:val="22"/>
        </w:rPr>
        <w:t xml:space="preserve">hereto within </w:t>
      </w:r>
      <w:r>
        <w:rPr>
          <w:rFonts w:ascii="Times New Roman;Times;serif" w:hAnsi="Times New Roman;Times;serif"/>
          <w:sz w:val="20"/>
        </w:rPr>
        <w:t xml:space="preserve">[***] </w:t>
      </w:r>
      <w:r>
        <w:rPr>
          <w:rFonts w:ascii="Times New Roman;Times;serif" w:hAnsi="Times New Roman;Times;serif"/>
          <w:sz w:val="22"/>
        </w:rPr>
        <w:t xml:space="preserve">after such destruction is completed. In the event that BPM, its Affiliates or licensees </w:t>
      </w:r>
      <w:r>
        <w:rPr>
          <w:rFonts w:ascii="Times New Roman;Times;serif" w:hAnsi="Times New Roman;Times;serif"/>
          <w:sz w:val="20"/>
        </w:rPr>
        <w:t>[***]</w:t>
      </w:r>
      <w:r>
        <w:rPr>
          <w:rFonts w:ascii="Times New Roman;Times;serif" w:hAnsi="Times New Roman;Times;serif"/>
          <w:sz w:val="22"/>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rPr/>
      </w:pPr>
      <w:r>
        <w:rPr/>
      </w:r>
    </w:p>
    <w:p>
      <w:pPr>
        <w:pStyle w:val="TextBody"/>
        <w:spacing w:before="0" w:after="0"/>
        <w:ind w:left="0" w:right="0" w:hanging="0"/>
        <w:rPr/>
      </w:pPr>
      <w:r>
        <w:rPr/>
        <w:t>​</w:t>
      </w:r>
    </w:p>
    <w:tbl>
      <w:tblPr>
        <w:tblW w:w="2943" w:type="dxa"/>
        <w:jc w:val="left"/>
        <w:tblInd w:w="0" w:type="dxa"/>
        <w:tblCellMar>
          <w:top w:w="0" w:type="dxa"/>
          <w:left w:w="0" w:type="dxa"/>
          <w:bottom w:w="0" w:type="dxa"/>
          <w:right w:w="0" w:type="dxa"/>
        </w:tblCellMar>
      </w:tblPr>
      <w:tblGrid>
        <w:gridCol w:w="23"/>
        <w:gridCol w:w="200"/>
        <w:gridCol w:w="272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7.</w:t>
            </w:r>
          </w:p>
        </w:tc>
        <w:tc>
          <w:tcPr>
            <w:tcW w:w="27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Intellectual Property Matters</w:t>
            </w:r>
            <w:r>
              <w:rPr>
                <w:rFonts w:ascii="Times New Roman;Times;serif" w:hAnsi="Times New Roman;Times;serif"/>
                <w:sz w:val="22"/>
              </w:rPr>
              <w:t>.</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Reversion License</w:t>
      </w:r>
      <w:r>
        <w:rPr>
          <w:rFonts w:ascii="Times New Roman;Times;serif" w:hAnsi="Times New Roman;Times;serif"/>
          <w:sz w:val="22"/>
        </w:rPr>
        <w:t>.  Consistent with Section 21.3.1(f) of the Agreement, Roche hereby grants to BPM an exclusive (even as to Roche), worldwide, perpetual, irrevocable, license, with the right to grant sublicenses through multiple tiers, under the Roche Patent Rights and Roche Know-How, including Roche</w:t>
      </w:r>
      <w:r>
        <w:rPr>
          <w:rFonts w:ascii="Times New Roman;Times;serif" w:hAnsi="Times New Roman;Times;serif"/>
          <w:sz w:val="20"/>
        </w:rPr>
        <w:t>’</w:t>
      </w:r>
      <w:r>
        <w:rPr>
          <w:rFonts w:ascii="Times New Roman;Times;serif" w:hAnsi="Times New Roman;Times;serif"/>
          <w:sz w:val="22"/>
        </w:rPr>
        <w:t xml:space="preserve">s interest in the Joint Patent Rights and Joint Know-How, solely to the extent necessary to allow BPM, its Affiliates or licensees to Exploit the Reversion Product(s) in the Field (the </w:t>
      </w:r>
      <w:r>
        <w:rPr>
          <w:rFonts w:ascii="Times New Roman;Times;serif" w:hAnsi="Times New Roman;Times;serif"/>
          <w:sz w:val="20"/>
        </w:rPr>
        <w:t>“</w:t>
      </w:r>
      <w:r>
        <w:rPr>
          <w:rFonts w:ascii="Times New Roman;Times;serif" w:hAnsi="Times New Roman;Times;serif"/>
          <w:b/>
          <w:sz w:val="22"/>
        </w:rPr>
        <w:t>Reversion License</w:t>
      </w:r>
      <w:r>
        <w:rPr>
          <w:rFonts w:ascii="Times New Roman;Times;serif" w:hAnsi="Times New Roman;Times;serif"/>
          <w:sz w:val="20"/>
        </w:rPr>
        <w:t>”</w:t>
      </w:r>
      <w:r>
        <w:rPr>
          <w:rFonts w:ascii="Times New Roman;Times;serif" w:hAnsi="Times New Roman;Times;serif"/>
          <w:sz w:val="22"/>
        </w:rPr>
        <w:t>). The Reversion License includes an exclusive license under, without limitation, (i) Roche Patent Rights, Roche Know-How and Roche</w:t>
      </w:r>
      <w:r>
        <w:rPr>
          <w:rFonts w:ascii="Times New Roman;Times;serif" w:hAnsi="Times New Roman;Times;serif"/>
          <w:sz w:val="20"/>
        </w:rPr>
        <w:t>’</w:t>
      </w:r>
      <w:r>
        <w:rPr>
          <w:rFonts w:ascii="Times New Roman;Times;serif" w:hAnsi="Times New Roman;Times;serif"/>
          <w:sz w:val="22"/>
        </w:rPr>
        <w:t>s interest in Joint Patent Rights and Joint Know-How arising under this Termination Agreement or the Winddown Plan (if any) and (ii) Roche Patent Rights, Roche Know-How and Roche</w:t>
      </w:r>
      <w:r>
        <w:rPr>
          <w:rFonts w:ascii="Times New Roman;Times;serif" w:hAnsi="Times New Roman;Times;serif"/>
          <w:sz w:val="20"/>
        </w:rPr>
        <w:t>’</w:t>
      </w:r>
      <w:r>
        <w:rPr>
          <w:rFonts w:ascii="Times New Roman;Times;serif" w:hAnsi="Times New Roman;Times;serif"/>
          <w:sz w:val="22"/>
        </w:rPr>
        <w:t xml:space="preserve">s interest in Joint Patent Rights and Joint Know-How Covering </w:t>
      </w:r>
      <w:r>
        <w:rPr>
          <w:rFonts w:ascii="Times New Roman;Times;serif" w:hAnsi="Times New Roman;Times;serif"/>
          <w:sz w:val="20"/>
        </w:rPr>
        <w:t xml:space="preserve">[***] </w:t>
      </w:r>
      <w:r>
        <w:rPr>
          <w:rFonts w:ascii="Times New Roman;Times;serif" w:hAnsi="Times New Roman;Times;serif"/>
          <w:sz w:val="22"/>
        </w:rPr>
        <w:t>related to each of the Reversion Products to Exploit the Reversion Products in the Field worldwide.</w:t>
      </w:r>
    </w:p>
    <w:tbl>
      <w:tblPr>
        <w:tblW w:w="8688" w:type="dxa"/>
        <w:jc w:val="left"/>
        <w:tblInd w:w="0" w:type="dxa"/>
        <w:tblCellMar>
          <w:top w:w="0" w:type="dxa"/>
          <w:left w:w="0" w:type="dxa"/>
          <w:bottom w:w="0" w:type="dxa"/>
          <w:right w:w="0" w:type="dxa"/>
        </w:tblCellMar>
      </w:tblPr>
      <w:tblGrid>
        <w:gridCol w:w="23"/>
        <w:gridCol w:w="200"/>
        <w:gridCol w:w="846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b.</w:t>
            </w:r>
          </w:p>
        </w:tc>
        <w:tc>
          <w:tcPr>
            <w:tcW w:w="84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Handling, Enforcement and Defense of Patent Rights after the Termination Effective Date</w:t>
            </w:r>
            <w:r>
              <w:rPr>
                <w:rFonts w:ascii="Times New Roman;Times;serif" w:hAnsi="Times New Roman;Times;serif"/>
                <w:sz w:val="22"/>
              </w:rPr>
              <w:t>.</w:t>
            </w:r>
          </w:p>
        </w:tc>
      </w:tr>
    </w:tbl>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2"/>
          <w:u w:val="single"/>
        </w:rPr>
        <w:t>Consultation Regarding Additional Inventions and Patent Filings</w:t>
      </w:r>
      <w:r>
        <w:rPr>
          <w:rFonts w:ascii="Times New Roman;Times;serif" w:hAnsi="Times New Roman;Times;serif"/>
          <w:sz w:val="22"/>
        </w:rPr>
        <w:t xml:space="preserve">.  During the period ending </w:t>
      </w:r>
      <w:r>
        <w:rPr>
          <w:rFonts w:ascii="Times New Roman;Times;serif" w:hAnsi="Times New Roman;Times;serif"/>
          <w:sz w:val="20"/>
        </w:rPr>
        <w:t xml:space="preserve">[***] </w:t>
      </w:r>
      <w:r>
        <w:rPr>
          <w:rFonts w:ascii="Times New Roman;Times;serif" w:hAnsi="Times New Roman;Times;serif"/>
          <w:sz w:val="22"/>
        </w:rPr>
        <w:t>after the Termination Effective Date, the Parties will discuss in good faith and align on the potential scope of additional Inventions and patent filings related to the work performed by or on behalf of Roche during the term of the Agreement or under the Winddown Plan, including without limitation any additional Inventions or patent filings indicated based on the review of the Manufacturing Documents.</w:t>
      </w:r>
    </w:p>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2"/>
          <w:u w:val="single"/>
        </w:rPr>
        <w:t>Handling of Patent Rights after the Termination Effective Date</w:t>
      </w:r>
      <w:r>
        <w:rPr>
          <w:rFonts w:ascii="Times New Roman;Times;serif" w:hAnsi="Times New Roman;Times;serif"/>
          <w:sz w:val="22"/>
        </w:rPr>
        <w:t xml:space="preserve">.  Notwithstanding anything to the contrary in the Agreement, after the Termination Effective Date, BPM shall, </w:t>
      </w:r>
      <w:r>
        <w:rPr>
          <w:rFonts w:ascii="Times New Roman;Times;serif" w:hAnsi="Times New Roman;Times;serif"/>
          <w:sz w:val="20"/>
        </w:rPr>
        <w:t xml:space="preserve">[***] </w:t>
      </w:r>
      <w:r>
        <w:rPr>
          <w:rFonts w:ascii="Times New Roman;Times;serif" w:hAnsi="Times New Roman;Times;serif"/>
          <w:sz w:val="22"/>
        </w:rPr>
        <w:t>using outside counsel selected by BPM, Handle all (A) BPM Patent Rights, (B) Joint Patent Rights and (C) Roche Patent Rights within the Collaboration IP and Other Compound IP. At BPM</w:t>
      </w:r>
      <w:r>
        <w:rPr>
          <w:rFonts w:ascii="Times New Roman;Times;serif" w:hAnsi="Times New Roman;Times;serif"/>
          <w:sz w:val="20"/>
        </w:rPr>
        <w:t>’</w:t>
      </w:r>
      <w:r>
        <w:rPr>
          <w:rFonts w:ascii="Times New Roman;Times;serif" w:hAnsi="Times New Roman;Times;serif"/>
          <w:sz w:val="22"/>
        </w:rPr>
        <w:t xml:space="preserve">s reasonable request, Roche shall cooperate, in all reasonable ways, with the Handling of all such BPM Patent Rights and Joint Patent Rights. For any BPM Patent Rights and Joint Patent Rights related to the work performed by or on behalf of Roche during the term of the Agreement or under the Winddown Plan, Roche shall within the period ending </w:t>
      </w:r>
      <w:r>
        <w:rPr>
          <w:rFonts w:ascii="Times New Roman;Times;serif" w:hAnsi="Times New Roman;Times;serif"/>
          <w:sz w:val="20"/>
        </w:rPr>
        <w:t xml:space="preserve">[***] </w:t>
      </w:r>
      <w:r>
        <w:rPr>
          <w:rFonts w:ascii="Times New Roman;Times;serif" w:hAnsi="Times New Roman;Times;serif"/>
          <w:sz w:val="22"/>
        </w:rPr>
        <w:t>after the Termination Effective Date provide BPM with written experimental procedures related to additional Inventions and patent filings as requested by BPM, including all reports and data for all salts, polymorphs, metabolites, prodrugs, isomers, enantiomers and stereoisomers of any Reversion Products</w:t>
      </w:r>
      <w:r>
        <w:rPr>
          <w:rFonts w:ascii="Times New Roman;Times;serif" w:hAnsi="Times New Roman;Times;serif"/>
          <w:sz w:val="20"/>
        </w:rPr>
        <w:t xml:space="preserve"> </w:t>
      </w:r>
      <w:r>
        <w:rPr>
          <w:rFonts w:ascii="Times New Roman;Times;serif" w:hAnsi="Times New Roman;Times;serif"/>
          <w:sz w:val="22"/>
        </w:rPr>
        <w:t xml:space="preserve">as listed in </w:t>
      </w:r>
      <w:r>
        <w:rPr>
          <w:rFonts w:ascii="Times New Roman;Times;serif" w:hAnsi="Times New Roman;Times;serif"/>
          <w:sz w:val="22"/>
          <w:u w:val="single"/>
        </w:rPr>
        <w:t>Schedule 1F</w:t>
      </w:r>
      <w:r>
        <w:rPr>
          <w:rFonts w:ascii="Times New Roman;Times;serif" w:hAnsi="Times New Roman;Times;serif"/>
          <w:sz w:val="20"/>
        </w:rPr>
        <w:t xml:space="preserve"> </w:t>
      </w:r>
      <w:r>
        <w:rPr>
          <w:rFonts w:ascii="Times New Roman;Times;serif" w:hAnsi="Times New Roman;Times;serif"/>
          <w:sz w:val="22"/>
        </w:rPr>
        <w:t xml:space="preserve">and will assist with the execution of any agreements requiring assignment of Inventions made by Roche during the term of the Agreement or under the Winddown Plan. If requested by Roche, BPM shall furnish to Roche copies of all documents relevant to any such Handling for Joint Patent Rights included in clause (B), which shall be furnished in sufficient time before any action by BPM is due to allow Roche to provide comments thereon (which comments BPM must consider but BPM shall retain final decision-making authority with respect to such Handling), including to abandon any Patent Rights; provided, however, that in no event shall BPM be required to provide Roche with the portion(s) of any such documents that includes the chemical structure of any Reversion Products. Under the Winddown Plan within the period ending </w:t>
      </w:r>
      <w:r>
        <w:rPr>
          <w:rFonts w:ascii="Times New Roman;Times;serif" w:hAnsi="Times New Roman;Times;serif"/>
          <w:sz w:val="20"/>
        </w:rPr>
        <w:t xml:space="preserve">[***] </w:t>
      </w:r>
      <w:r>
        <w:rPr>
          <w:rFonts w:ascii="Times New Roman;Times;serif" w:hAnsi="Times New Roman;Times;serif"/>
          <w:sz w:val="22"/>
        </w:rPr>
        <w:t xml:space="preserve">after the Termination Effective Date, Roche shall provide BPM with all </w:t>
      </w:r>
      <w:r>
        <w:rPr>
          <w:rFonts w:ascii="Times New Roman;Times;serif" w:hAnsi="Times New Roman;Times;serif"/>
          <w:sz w:val="20"/>
        </w:rPr>
        <w:t xml:space="preserve">[***] </w:t>
      </w:r>
      <w:r>
        <w:rPr>
          <w:rFonts w:ascii="Times New Roman;Times;serif" w:hAnsi="Times New Roman;Times;serif"/>
          <w:sz w:val="22"/>
        </w:rPr>
        <w:t xml:space="preserve">as listed in </w:t>
      </w:r>
      <w:r>
        <w:rPr>
          <w:rFonts w:ascii="Times New Roman;Times;serif" w:hAnsi="Times New Roman;Times;serif"/>
          <w:sz w:val="22"/>
          <w:u w:val="single"/>
        </w:rPr>
        <w:t>Schedule 1F</w:t>
      </w:r>
      <w:r>
        <w:rPr>
          <w:rFonts w:ascii="Times New Roman;Times;serif" w:hAnsi="Times New Roman;Times;serif"/>
          <w:sz w:val="20"/>
        </w:rPr>
        <w:t xml:space="preserve"> </w:t>
      </w:r>
      <w:r>
        <w:rPr>
          <w:rFonts w:ascii="Times New Roman;Times;serif" w:hAnsi="Times New Roman;Times;serif"/>
          <w:sz w:val="22"/>
        </w:rPr>
        <w:t>related to BPM</w:t>
      </w:r>
      <w:r>
        <w:rPr>
          <w:rFonts w:ascii="Times New Roman;Times;serif" w:hAnsi="Times New Roman;Times;serif"/>
          <w:sz w:val="20"/>
        </w:rPr>
        <w:t>’</w:t>
      </w:r>
      <w:r>
        <w:rPr>
          <w:rFonts w:ascii="Times New Roman;Times;serif" w:hAnsi="Times New Roman;Times;serif"/>
          <w:sz w:val="22"/>
        </w:rPr>
        <w:t xml:space="preserve">s rights under the Reversion License. </w:t>
      </w:r>
      <w:r>
        <w:rPr>
          <w:rFonts w:ascii="Times New Roman;Times;serif" w:hAnsi="Times New Roman;Times;serif"/>
          <w:sz w:val="20"/>
        </w:rPr>
        <w:t xml:space="preserve">[***] </w:t>
      </w:r>
      <w:r>
        <w:rPr>
          <w:rFonts w:ascii="Times New Roman;Times;serif" w:hAnsi="Times New Roman;Times;serif"/>
          <w:sz w:val="22"/>
        </w:rPr>
        <w:t xml:space="preserve">BPM shall </w:t>
      </w:r>
      <w:r>
        <w:rPr>
          <w:rFonts w:ascii="Times New Roman;Times;serif" w:hAnsi="Times New Roman;Times;serif"/>
          <w:sz w:val="20"/>
        </w:rPr>
        <w:t xml:space="preserve">[***] </w:t>
      </w:r>
      <w:r>
        <w:rPr>
          <w:rFonts w:ascii="Times New Roman;Times;serif" w:hAnsi="Times New Roman;Times;serif"/>
          <w:sz w:val="22"/>
        </w:rPr>
        <w:t>using outside counsel selected by BPM, Handle all Roche Patent Rights related to BPM</w:t>
      </w:r>
      <w:r>
        <w:rPr>
          <w:rFonts w:ascii="Times New Roman;Times;serif" w:hAnsi="Times New Roman;Times;serif"/>
          <w:sz w:val="20"/>
        </w:rPr>
        <w:t>’</w:t>
      </w:r>
      <w:r>
        <w:rPr>
          <w:rFonts w:ascii="Times New Roman;Times;serif" w:hAnsi="Times New Roman;Times;serif"/>
          <w:sz w:val="22"/>
        </w:rPr>
        <w:t>s rights under the Reversion License</w:t>
      </w:r>
      <w:r>
        <w:rPr>
          <w:rFonts w:ascii="Times New Roman;Times;serif" w:hAnsi="Times New Roman;Times;serif"/>
          <w:sz w:val="20"/>
        </w:rPr>
        <w:t>[***]</w:t>
      </w:r>
      <w:r>
        <w:rPr>
          <w:rFonts w:ascii="Times New Roman;Times;serif" w:hAnsi="Times New Roman;Times;serif"/>
          <w:sz w:val="22"/>
        </w:rPr>
        <w:t>. At BPM</w:t>
      </w:r>
      <w:r>
        <w:rPr>
          <w:rFonts w:ascii="Times New Roman;Times;serif" w:hAnsi="Times New Roman;Times;serif"/>
          <w:sz w:val="20"/>
        </w:rPr>
        <w:t>’</w:t>
      </w:r>
      <w:r>
        <w:rPr>
          <w:rFonts w:ascii="Times New Roman;Times;serif" w:hAnsi="Times New Roman;Times;serif"/>
          <w:sz w:val="22"/>
        </w:rPr>
        <w:t>s reasonable request, Roche shall cooperate, in all reasonable ways, with the Handling of such Roche Patent Rights. BPM or its counsel shall furnish to Roche copies of all documents relevant to any such Handling of Roche Patent Rights, which shall be furnished in sufficient time before any action by BPM is due to allow Roche to provide comments thereon (which comments BPM must consider but BPM shall retain final decision-making authority with respect to such Handling).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rPr/>
      </w:pPr>
      <w:r>
        <w:rPr/>
      </w:r>
    </w:p>
    <w:p>
      <w:pPr>
        <w:pStyle w:val="TextBody"/>
        <w:spacing w:before="0" w:after="0"/>
        <w:ind w:left="0" w:right="0" w:hanging="0"/>
        <w:rPr/>
      </w:pPr>
      <w:r>
        <w:rPr/>
        <w:t>​</w:t>
      </w:r>
    </w:p>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2"/>
          <w:u w:val="single"/>
        </w:rPr>
        <w:t>SPCs</w:t>
      </w:r>
      <w:r>
        <w:rPr>
          <w:rFonts w:ascii="Times New Roman;Times;serif" w:hAnsi="Times New Roman;Times;serif"/>
          <w:sz w:val="22"/>
        </w:rPr>
        <w:t xml:space="preserve">.  Roche shall cooperate with BPM in gaining patent term restorations, extensions and/or SPCs wherever applicable to such Patent Rights within Collaboration Compound IP and Other Compound IP and Patent Rights </w:t>
      </w:r>
      <w:r>
        <w:rPr>
          <w:rFonts w:ascii="Times New Roman;Times;serif" w:hAnsi="Times New Roman;Times;serif"/>
          <w:sz w:val="20"/>
        </w:rPr>
        <w:t xml:space="preserve">[***] </w:t>
      </w:r>
      <w:r>
        <w:rPr>
          <w:rFonts w:ascii="Times New Roman;Times;serif" w:hAnsi="Times New Roman;Times;serif"/>
          <w:sz w:val="22"/>
        </w:rPr>
        <w:t>related to each of the Reversion Products.</w:t>
      </w:r>
    </w:p>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2"/>
          <w:u w:val="single"/>
        </w:rPr>
        <w:t>Infringement</w:t>
      </w:r>
      <w:r>
        <w:rPr>
          <w:rFonts w:ascii="Times New Roman;Times;serif" w:hAnsi="Times New Roman;Times;serif"/>
          <w:sz w:val="22"/>
        </w:rPr>
        <w:t xml:space="preserve">.  After the Termination Effective Date, BPM </w:t>
      </w:r>
      <w:r>
        <w:rPr>
          <w:rFonts w:ascii="Times New Roman;Times;serif" w:hAnsi="Times New Roman;Times;serif"/>
          <w:sz w:val="20"/>
        </w:rPr>
        <w:t xml:space="preserve">[***] </w:t>
      </w:r>
      <w:r>
        <w:rPr>
          <w:rFonts w:ascii="Times New Roman;Times;serif" w:hAnsi="Times New Roman;Times;serif"/>
          <w:sz w:val="22"/>
        </w:rPr>
        <w:t>using outside counsel selected by BPM, shall decide whether or not to initiate a suit or action regarding any (i) known infringement or suspected infringement by a Third Party of any BPM IP, Patent Rights within Collaboration Compound IP or Other Compound IP, Roche Patent Rights or Joint Patent Rights, or (ii) known or suspected unauthorized use or misappropriation by a Third Party of any BPM Know-How, Roche Know-How or Joint Know-How. If the BPM believes it is reasonably necessary or desirable to obtain an effective remedy, then upon BPM</w:t>
      </w:r>
      <w:r>
        <w:rPr>
          <w:rFonts w:ascii="Times New Roman;Times;serif" w:hAnsi="Times New Roman;Times;serif"/>
          <w:sz w:val="20"/>
        </w:rPr>
        <w:t>’</w:t>
      </w:r>
      <w:r>
        <w:rPr>
          <w:rFonts w:ascii="Times New Roman;Times;serif" w:hAnsi="Times New Roman;Times;serif"/>
          <w:sz w:val="22"/>
        </w:rPr>
        <w:t>s written request Roche agrees to be joined as a party to the suit or action but shall be under no obligation to participate except to the extent that such participation is required as the result of its being a named party to the suit or action. At BPM</w:t>
      </w:r>
      <w:r>
        <w:rPr>
          <w:rFonts w:ascii="Times New Roman;Times;serif" w:hAnsi="Times New Roman;Times;serif"/>
          <w:sz w:val="20"/>
        </w:rPr>
        <w:t>’</w:t>
      </w:r>
      <w:r>
        <w:rPr>
          <w:rFonts w:ascii="Times New Roman;Times;serif" w:hAnsi="Times New Roman;Times;serif"/>
          <w:sz w:val="22"/>
        </w:rPr>
        <w:t xml:space="preserve">s written request, Roche shall offer reasonable assistance to the BPM in connection therewith </w:t>
      </w:r>
      <w:r>
        <w:rPr>
          <w:rFonts w:ascii="Times New Roman;Times;serif" w:hAnsi="Times New Roman;Times;serif"/>
          <w:sz w:val="20"/>
        </w:rPr>
        <w:t>[***]</w:t>
      </w:r>
      <w:r>
        <w:rPr>
          <w:rFonts w:ascii="Times New Roman;Times;serif" w:hAnsi="Times New Roman;Times;serif"/>
          <w:sz w:val="22"/>
        </w:rPr>
        <w:t>. BPM may settle, consent judgment or otherwise voluntarily dispose of the suit or action without the written consent of Roche. Any damages, settlement fees or other consideration received as a result of such suit or action shall be allocated as follows:</w:t>
      </w:r>
      <w:r>
        <w:rPr>
          <w:rFonts w:ascii="Times New Roman;Times;serif" w:hAnsi="Times New Roman;Times;serif"/>
          <w:sz w:val="20"/>
        </w:rPr>
        <w:t xml:space="preserve"> [***]</w:t>
      </w:r>
      <w:r>
        <w:rPr>
          <w:rFonts w:ascii="Times New Roman;Times;serif" w:hAnsi="Times New Roman;Times;serif"/>
          <w:sz w:val="22"/>
        </w:rPr>
        <w:t>.</w:t>
      </w:r>
    </w:p>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2"/>
          <w:u w:val="single"/>
        </w:rPr>
        <w:t>Defense</w:t>
      </w:r>
      <w:r>
        <w:rPr>
          <w:rFonts w:ascii="Times New Roman;Times;serif" w:hAnsi="Times New Roman;Times;serif"/>
          <w:sz w:val="22"/>
        </w:rPr>
        <w:t xml:space="preserve">.  If an action for infringement of Patent Rights or trade secrets misappropriation is commenced against BPM, its licensees or its sublicensees related to the Exploitation of the Reversion Products, then BPM shall have the right (but not the obligation) to defend such action </w:t>
      </w:r>
      <w:r>
        <w:rPr>
          <w:rFonts w:ascii="Times New Roman;Times;serif" w:hAnsi="Times New Roman;Times;serif"/>
          <w:sz w:val="20"/>
        </w:rPr>
        <w:t>[***]</w:t>
      </w:r>
      <w:r>
        <w:rPr>
          <w:rFonts w:ascii="Times New Roman;Times;serif" w:hAnsi="Times New Roman;Times;serif"/>
          <w:sz w:val="22"/>
        </w:rPr>
        <w:t xml:space="preserve">, and Roche shall assist and cooperate with BPM </w:t>
      </w:r>
      <w:r>
        <w:rPr>
          <w:rFonts w:ascii="Times New Roman;Times;serif" w:hAnsi="Times New Roman;Times;serif"/>
          <w:sz w:val="20"/>
        </w:rPr>
        <w:t xml:space="preserve">[***] </w:t>
      </w:r>
      <w:r>
        <w:rPr>
          <w:rFonts w:ascii="Times New Roman;Times;serif" w:hAnsi="Times New Roman;Times;serif"/>
          <w:sz w:val="22"/>
        </w:rPr>
        <w:t xml:space="preserve">to the extent necessary in the defense of such suit. BPM shall have the right to settle the suit or consent to an adverse judgment thereto, in its sole discretion. BPM (or its licensees or sublicensees) shall </w:t>
      </w:r>
      <w:r>
        <w:rPr>
          <w:rFonts w:ascii="Times New Roman;Times;serif" w:hAnsi="Times New Roman;Times;serif"/>
          <w:sz w:val="20"/>
        </w:rPr>
        <w:t xml:space="preserve">[***] </w:t>
      </w:r>
      <w:r>
        <w:rPr>
          <w:rFonts w:ascii="Times New Roman;Times;serif" w:hAnsi="Times New Roman;Times;serif"/>
          <w:sz w:val="22"/>
        </w:rPr>
        <w:t xml:space="preserve">any settlement entered into by it with such Third Party. Notwithstanding the above, </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firstLine="2340"/>
        <w:jc w:val="both"/>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2"/>
          <w:u w:val="single"/>
        </w:rPr>
        <w:t>Common Interest Disclosures</w:t>
      </w:r>
      <w:r>
        <w:rPr>
          <w:rFonts w:ascii="Times New Roman;Times;serif" w:hAnsi="Times New Roman;Times;serif"/>
          <w:sz w:val="22"/>
        </w:rPr>
        <w:t>.  With regard to any information or opinions disclosed pursuant to this Termination Agreement by one Party to each other regarding intellectual property and/or technology owned by Third Parties, the Parties agree that they have a common legal interest in determining whether, and to what extent, Third Party intellectual property rights may affect the Reversion Products, and have a further common legal interest in defending against any actual or prospective Third Party claims based on allegations of misuse or infringement of intellectual property rights relating to the Reversion Products. Accordingly, the Parties agree that all such information and materials obtained by BPM and Roche from each other will be used solely for purposes of the Parties</w:t>
      </w:r>
      <w:r>
        <w:rPr>
          <w:rFonts w:ascii="Times New Roman;Times;serif" w:hAnsi="Times New Roman;Times;serif"/>
          <w:sz w:val="20"/>
        </w:rPr>
        <w:t xml:space="preserve">’ </w:t>
      </w:r>
      <w:r>
        <w:rPr>
          <w:rFonts w:ascii="Times New Roman;Times;serif" w:hAnsi="Times New Roman;Times;serif"/>
          <w:sz w:val="22"/>
        </w:rPr>
        <w:t>common legal interests with respect to work performed during the term of this Agreement and under the Winddown Plan.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w:t>
      </w:r>
      <w:r>
        <w:rPr>
          <w:rFonts w:ascii="Times New Roman;Times;serif" w:hAnsi="Times New Roman;Times;serif"/>
          <w:sz w:val="20"/>
        </w:rPr>
        <w:t>’</w:t>
      </w:r>
      <w:r>
        <w:rPr>
          <w:rFonts w:ascii="Times New Roman;Times;serif" w:hAnsi="Times New Roman;Times;serif"/>
          <w:sz w:val="22"/>
        </w:rPr>
        <w:t>s prior written consent, nor shall the waiver of privilege or immunity resulting from the conduct of one Party be deemed to apply against the other Party.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No Global Trademarks</w:t>
      </w:r>
      <w:r>
        <w:rPr>
          <w:rFonts w:ascii="Times New Roman;Times;serif" w:hAnsi="Times New Roman;Times;serif"/>
          <w:sz w:val="22"/>
        </w:rPr>
        <w:t>.  As of the Termination Effective Date, there are no Global Trademarks in existence or pending and, accordingly, that Section 21.3.1(g) of the Agreement is 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No In-Licensed Intellectual Property or Third Party Payments</w:t>
      </w:r>
      <w:r>
        <w:rPr>
          <w:rFonts w:ascii="Times New Roman;Times;serif" w:hAnsi="Times New Roman;Times;serif"/>
          <w:sz w:val="22"/>
        </w:rPr>
        <w:t>.  Roche hereby confirms that (i) none of the Roche Patent Rights or Roche Know-How is in-licensed by the Roche Group, (ii) no amounts are payable by Roche or its Affiliates or sublicensees to a Third Party(ies) in connection with the practice or use of the Roche Patent Rights or Roche Know-How, and (iii) BPM</w:t>
      </w:r>
      <w:r>
        <w:rPr>
          <w:rFonts w:ascii="Times New Roman;Times;serif" w:hAnsi="Times New Roman;Times;serif"/>
          <w:sz w:val="20"/>
        </w:rPr>
        <w:t>’</w:t>
      </w:r>
      <w:r>
        <w:rPr>
          <w:rFonts w:ascii="Times New Roman;Times;serif" w:hAnsi="Times New Roman;Times;serif"/>
          <w:sz w:val="22"/>
        </w:rPr>
        <w:t>s rights under the Reversion License and Collaboration IP related to the work performed by or on behalf of Roche during the term</w:t>
      </w:r>
      <w:r>
        <w:rPr>
          <w:rFonts w:ascii="Times New Roman;Times;serif" w:hAnsi="Times New Roman;Times;serif"/>
          <w:sz w:val="20"/>
        </w:rPr>
        <w:t xml:space="preserve"> </w:t>
      </w:r>
      <w:r>
        <w:rPr>
          <w:rFonts w:ascii="Times New Roman;Times;serif" w:hAnsi="Times New Roman;Times;serif"/>
          <w:sz w:val="22"/>
        </w:rPr>
        <w:t>and assigned to BPM under the Agreement are not subject to any Third Party agreement(s).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No Sublicenses Granted by Roche</w:t>
      </w:r>
      <w:r>
        <w:rPr>
          <w:rFonts w:ascii="Times New Roman;Times;serif" w:hAnsi="Times New Roman;Times;serif"/>
          <w:sz w:val="22"/>
        </w:rPr>
        <w:t>.  Roche hereby confirms that Roche has not granted any Sublicenses to any of its Affiliates or to Third Parties (including without limitation to any CRO or to Chugai, Foundation Medicine Inc. or any of their respective subsidiaries (if any)) under Section 2.1 or 2.3.1 of the Agreement and, accordingly, that Section 21.3.3 of the Agreement is not applicable.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0"/>
        </w:rPr>
        <w:t>[***]</w:t>
      </w:r>
      <w:r>
        <w:rPr>
          <w:rFonts w:ascii="Times New Roman;Times;serif" w:hAnsi="Times New Roman;Times;serif"/>
          <w:sz w:val="22"/>
          <w:u w:val="single"/>
        </w:rPr>
        <w:t>Biomarker IP</w:t>
      </w:r>
      <w:r>
        <w:rPr>
          <w:rFonts w:ascii="Times New Roman;Times;serif" w:hAnsi="Times New Roman;Times;serif"/>
          <w:sz w:val="22"/>
        </w:rPr>
        <w:t xml:space="preserve">.  As of the Termination Effective Date, </w:t>
      </w:r>
      <w:r>
        <w:rPr>
          <w:rFonts w:ascii="Times New Roman;Times;serif" w:hAnsi="Times New Roman;Times;serif"/>
          <w:sz w:val="20"/>
        </w:rPr>
        <w:t>[***]</w:t>
      </w:r>
      <w:r>
        <w:rPr>
          <w:rFonts w:ascii="Times New Roman;Times;serif" w:hAnsi="Times New Roman;Times;serif"/>
          <w:sz w:val="22"/>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Cooperation</w:t>
      </w:r>
      <w:r>
        <w:rPr>
          <w:rFonts w:ascii="Times New Roman;Times;serif" w:hAnsi="Times New Roman;Times;serif"/>
          <w:sz w:val="22"/>
        </w:rPr>
        <w:t xml:space="preserve">.  Each Party will provide the other Party all reasonable assistance and cooperation for such Party to exercise its rights and perform its obligations pursuant to under this Section 7 and Sections 16.1, 16.2, 16.3 and 21.3.1(f) of the Agreement with respect to the Patent Rights and Know-How. Without limiting the generality of the foregoing, each Party will provide the other Party with all any and all necessary powers of attorney and will execute any other required documents or instruments necessary to prosecute such Patents, and each Party agrees to provide the other Party with all information necessary or reasonably desirable to enable the other Party to comply with the duty of disclosure requirements of any patent authority, including without limitation the completion of invention disclosure forms within </w:t>
      </w:r>
      <w:r>
        <w:rPr>
          <w:rFonts w:ascii="Times New Roman;Times;serif" w:hAnsi="Times New Roman;Times;serif"/>
          <w:sz w:val="20"/>
        </w:rPr>
        <w:t xml:space="preserve">[***] </w:t>
      </w:r>
      <w:r>
        <w:rPr>
          <w:rFonts w:ascii="Times New Roman;Times;serif" w:hAnsi="Times New Roman;Times;serif"/>
          <w:sz w:val="22"/>
        </w:rPr>
        <w:t xml:space="preserve">by Roche substantially in the form attached hereto as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for any additional Inventions and patent applications identified pursuant to Section 7(b)(1) above).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Consent to Continued Use of Patent Counsel and Agents for the Reversion Products and related to the Reversion License</w:t>
      </w:r>
      <w:r>
        <w:rPr>
          <w:rFonts w:ascii="Times New Roman;Times;serif" w:hAnsi="Times New Roman;Times;serif"/>
          <w:sz w:val="22"/>
        </w:rPr>
        <w:t>.  BPM, its affiliates or licensees may desire to engage the law firm(s) and patent agents that are currently engaged by Roche or its Affiliates in connection with the preparation, maintenance, enforcement and/or defense of patents and patent applications related to the Reversion Products or covered by the Reversion License to continue such services after the Termination Effective Date, and Roche hereby irrevocably consents to such engagement(s).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CREATE Act</w:t>
      </w:r>
      <w:r>
        <w:rPr>
          <w:rFonts w:ascii="Times New Roman;Times;serif" w:hAnsi="Times New Roman;Times;serif"/>
          <w:sz w:val="22"/>
        </w:rPr>
        <w:t xml:space="preserve">.  It is the intention of the Parties that this Agreement is a </w:t>
      </w:r>
      <w:r>
        <w:rPr>
          <w:rFonts w:ascii="Times New Roman;Times;serif" w:hAnsi="Times New Roman;Times;serif"/>
          <w:sz w:val="20"/>
        </w:rPr>
        <w:t>“</w:t>
      </w:r>
      <w:r>
        <w:rPr>
          <w:rFonts w:ascii="Times New Roman;Times;serif" w:hAnsi="Times New Roman;Times;serif"/>
          <w:sz w:val="22"/>
        </w:rPr>
        <w:t>joint research agreement</w:t>
      </w:r>
      <w:r>
        <w:rPr>
          <w:rFonts w:ascii="Times New Roman;Times;serif" w:hAnsi="Times New Roman;Times;serif"/>
          <w:sz w:val="20"/>
        </w:rPr>
        <w:t xml:space="preserve">” </w:t>
      </w:r>
      <w:r>
        <w:rPr>
          <w:rFonts w:ascii="Times New Roman;Times;serif" w:hAnsi="Times New Roman;Times;serif"/>
          <w:sz w:val="22"/>
        </w:rPr>
        <w:t>as that phrase is defined in the CREATE Act. Notwithstanding anything to the contrary in this Agreement, each Party will have the right to invoke the CREATE Act when exercising its rights under this Agreement, subject to the procedures set forth in Section 16.9 of the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rPr/>
      </w:pPr>
      <w:r>
        <w:rPr/>
      </w:r>
    </w:p>
    <w:p>
      <w:pPr>
        <w:pStyle w:val="TextBody"/>
        <w:spacing w:before="0" w:after="0"/>
        <w:ind w:left="0" w:right="0" w:hanging="0"/>
        <w:rPr/>
      </w:pPr>
      <w:r>
        <w:rPr/>
        <w:t>​</w:t>
      </w:r>
    </w:p>
    <w:tbl>
      <w:tblPr>
        <w:tblW w:w="2538" w:type="dxa"/>
        <w:jc w:val="left"/>
        <w:tblInd w:w="0" w:type="dxa"/>
        <w:tblCellMar>
          <w:top w:w="0" w:type="dxa"/>
          <w:left w:w="0" w:type="dxa"/>
          <w:bottom w:w="0" w:type="dxa"/>
          <w:right w:w="0" w:type="dxa"/>
        </w:tblCellMar>
      </w:tblPr>
      <w:tblGrid>
        <w:gridCol w:w="23"/>
        <w:gridCol w:w="200"/>
        <w:gridCol w:w="231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8.</w:t>
            </w:r>
          </w:p>
        </w:tc>
        <w:tc>
          <w:tcPr>
            <w:tcW w:w="23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Third Party Agreements</w:t>
            </w:r>
            <w:r>
              <w:rPr>
                <w:rFonts w:ascii="Times New Roman;Times;serif" w:hAnsi="Times New Roman;Times;serif"/>
                <w:sz w:val="22"/>
              </w:rPr>
              <w:t>.</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Schedule 1D</w:t>
      </w:r>
      <w:r>
        <w:rPr>
          <w:rFonts w:ascii="Times New Roman;Times;serif" w:hAnsi="Times New Roman;Times;serif"/>
          <w:sz w:val="20"/>
        </w:rPr>
        <w:t xml:space="preserve"> </w:t>
      </w:r>
      <w:r>
        <w:rPr>
          <w:rFonts w:ascii="Times New Roman;Times;serif" w:hAnsi="Times New Roman;Times;serif"/>
          <w:sz w:val="22"/>
        </w:rPr>
        <w:t xml:space="preserve">hereto sets forth a list of (i) the Third Party agreements to be assigned by Roche to BPM pursuant to Sections 21.3.3(d) or (h) of the Agreement within </w:t>
      </w:r>
      <w:r>
        <w:rPr>
          <w:rFonts w:ascii="Times New Roman;Times;serif" w:hAnsi="Times New Roman;Times;serif"/>
          <w:sz w:val="20"/>
        </w:rPr>
        <w:t xml:space="preserve">[***] </w:t>
      </w:r>
      <w:r>
        <w:rPr>
          <w:rFonts w:ascii="Times New Roman;Times;serif" w:hAnsi="Times New Roman;Times;serif"/>
          <w:sz w:val="22"/>
        </w:rPr>
        <w:t xml:space="preserve">after the Termination Effective Date and (ii) the Third Party agreements to be terminated by Roche promptly after the Termination Effective Date. Roche will use Commercially Reasonable Efforts to promptly obtain to any required Third Party consents to assign any agreements to be assigned by Roche to BPM pursuant to Sections 21.3.3(d) or (h) of the Agreement.. Roche shall promptly provide BPM with copies of all documentation effecting the aforementioned assignments of Third Party Agreements (to the extent that BPM is not a signatory to such assignment documentation). Roche hereby confirms that other than as set forth on </w:t>
      </w:r>
      <w:r>
        <w:rPr>
          <w:rFonts w:ascii="Times New Roman;Times;serif" w:hAnsi="Times New Roman;Times;serif"/>
          <w:sz w:val="22"/>
          <w:u w:val="single"/>
        </w:rPr>
        <w:t>Schedule 1D</w:t>
      </w:r>
      <w:r>
        <w:rPr>
          <w:rFonts w:ascii="Times New Roman;Times;serif" w:hAnsi="Times New Roman;Times;serif"/>
          <w:sz w:val="20"/>
        </w:rPr>
        <w:t xml:space="preserve"> </w:t>
      </w:r>
      <w:r>
        <w:rPr>
          <w:rFonts w:ascii="Times New Roman;Times;serif" w:hAnsi="Times New Roman;Times;serif"/>
          <w:sz w:val="22"/>
        </w:rPr>
        <w:t>hereto, no member of the Roche Group has entered into (A) Clinical Study agreements or (B) any other Third Party agreements related to the Exploitation any of the Reversion Products that have not been terminated prior to the Termination Effective Date.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To the extent any of the data, documents or other materials referenced in the Winddown Plan are held by, stored with or otherwise controlled by Third Parties, promptly after the Termination Effective Date, Roche shall deliver such notices, consents or instructions to each such Third Party as may be necessary or advisable to give effect to the Winddown Plan, including without limitation to provide BPM (or its designee) with prompt and complete access to such data, documents or other materials.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9.</w:t>
      </w:r>
      <w:r>
        <w:rPr>
          <w:rFonts w:ascii="Times New Roman;Times;serif" w:hAnsi="Times New Roman;Times;serif"/>
          <w:sz w:val="22"/>
          <w:u w:val="single"/>
        </w:rPr>
        <w:t>Ancillary Agreements</w:t>
      </w:r>
      <w:r>
        <w:rPr>
          <w:rFonts w:ascii="Times New Roman;Times;serif" w:hAnsi="Times New Roman;Times;serif"/>
          <w:sz w:val="22"/>
        </w:rPr>
        <w:t xml:space="preserve">.  Notwithstanding anything to the contrary set forth in Section 21.3.4.3 of the Agreement or in the terms of any ancillary agreement by and between the Parties, the Parties hereby acknowledge and agree that the ancillary agreements listed in the </w:t>
      </w:r>
      <w:r>
        <w:rPr>
          <w:rFonts w:ascii="Times New Roman;Times;serif" w:hAnsi="Times New Roman;Times;serif"/>
          <w:sz w:val="22"/>
          <w:u w:val="single"/>
        </w:rPr>
        <w:t>Schedule 1E</w:t>
      </w:r>
      <w:r>
        <w:rPr>
          <w:rFonts w:ascii="Times New Roman;Times;serif" w:hAnsi="Times New Roman;Times;serif"/>
          <w:sz w:val="20"/>
        </w:rPr>
        <w:t xml:space="preserve"> </w:t>
      </w:r>
      <w:r>
        <w:rPr>
          <w:rFonts w:ascii="Times New Roman;Times;serif" w:hAnsi="Times New Roman;Times;serif"/>
          <w:sz w:val="22"/>
        </w:rPr>
        <w:t>of the Winddown Plan shall survive the termination of the Agreement the earlier of the completion of all relevant activities under the Winddown Plan or the date specified in the Winddown Plan.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w:t>
      </w:r>
      <w:r>
        <w:rPr>
          <w:rFonts w:ascii="Times New Roman;Times;serif" w:hAnsi="Times New Roman;Times;serif"/>
          <w:sz w:val="22"/>
          <w:u w:val="single"/>
        </w:rPr>
        <w:t>Samples</w:t>
      </w:r>
      <w:r>
        <w:rPr>
          <w:rFonts w:ascii="Times New Roman;Times;serif" w:hAnsi="Times New Roman;Times;serif"/>
          <w:sz w:val="22"/>
        </w:rPr>
        <w:t>.  For purposes of Section 21.3.4.4 of the Agreement, Roche hereby confirms that it has not collected Samples in connection with research studies or Clinical Studies under the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Final Payment of Phase I Development Cost Share</w:t>
      </w:r>
      <w:r>
        <w:rPr>
          <w:rFonts w:ascii="Times New Roman;Times;serif" w:hAnsi="Times New Roman;Times;serif"/>
          <w:sz w:val="22"/>
        </w:rPr>
        <w:t xml:space="preserve">.  Within </w:t>
      </w:r>
      <w:r>
        <w:rPr>
          <w:rFonts w:ascii="Times New Roman;Times;serif" w:hAnsi="Times New Roman;Times;serif"/>
          <w:sz w:val="20"/>
        </w:rPr>
        <w:t xml:space="preserve">[***] </w:t>
      </w:r>
      <w:r>
        <w:rPr>
          <w:rFonts w:ascii="Times New Roman;Times;serif" w:hAnsi="Times New Roman;Times;serif"/>
          <w:sz w:val="22"/>
        </w:rPr>
        <w:t xml:space="preserve">following the Termination Effective Date, each Party shall update such report to reflect the final amount of Phase I Development Costs incurred by such Party on or prior to the Termination Effective Date in accordance with the terms and conditions of Section 12.5 of the Agreement and the Parties will calculate the amount of the reconciliation payment (if any) in accordance therewith. The Party required to pay such reconciliation payment shall make such payment to the other Party within </w:t>
      </w:r>
      <w:r>
        <w:rPr>
          <w:rFonts w:ascii="Times New Roman;Times;serif" w:hAnsi="Times New Roman;Times;serif"/>
          <w:sz w:val="20"/>
        </w:rPr>
        <w:t xml:space="preserve">[***] </w:t>
      </w:r>
      <w:r>
        <w:rPr>
          <w:rFonts w:ascii="Times New Roman;Times;serif" w:hAnsi="Times New Roman;Times;serif"/>
          <w:sz w:val="22"/>
        </w:rPr>
        <w:t xml:space="preserve">after the Termination Effective Date;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w:t>
      </w:r>
      <w:r>
        <w:rPr>
          <w:rFonts w:ascii="Times New Roman;Times;serif" w:hAnsi="Times New Roman;Times;serif"/>
          <w:sz w:val="20"/>
        </w:rPr>
        <w:t xml:space="preserve">[***] </w:t>
      </w:r>
      <w:r>
        <w:rPr>
          <w:rFonts w:ascii="Times New Roman;Times;serif" w:hAnsi="Times New Roman;Times;serif"/>
          <w:sz w:val="22"/>
        </w:rPr>
        <w:t>after the date on which the Parties, using good faith efforts, resolve the dispute.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12.</w:t>
      </w:r>
      <w:r>
        <w:rPr>
          <w:rFonts w:ascii="Times New Roman;Times;serif" w:hAnsi="Times New Roman;Times;serif"/>
          <w:sz w:val="22"/>
          <w:u w:val="single"/>
        </w:rPr>
        <w:t>Assignment Agreement</w:t>
      </w:r>
      <w:r>
        <w:rPr>
          <w:rFonts w:ascii="Times New Roman;Times;serif" w:hAnsi="Times New Roman;Times;serif"/>
          <w:sz w:val="22"/>
        </w:rPr>
        <w:t>.  Effective as of the Termination Effective Date, the Parties shall execute and deliver an Assignment Agreement in a form to be mutually agreed upon by the Parties in good faith pursuant to which Roche shall transfer to BPM all of its rights, title and interest in the data, documents and other materials listed therein.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13.</w:t>
      </w:r>
      <w:r>
        <w:rPr>
          <w:rFonts w:ascii="Times New Roman;Times;serif" w:hAnsi="Times New Roman;Times;serif"/>
          <w:sz w:val="22"/>
          <w:u w:val="single"/>
        </w:rPr>
        <w:t>Collaboration Data Room</w:t>
      </w:r>
      <w:r>
        <w:rPr>
          <w:rFonts w:ascii="Times New Roman;Times;serif" w:hAnsi="Times New Roman;Times;serif"/>
          <w:sz w:val="22"/>
        </w:rPr>
        <w:t xml:space="preserve">.  During the term of the Agreement, the Parties utilized </w:t>
      </w:r>
      <w:r>
        <w:rPr>
          <w:rFonts w:ascii="Times New Roman;Times;serif" w:hAnsi="Times New Roman;Times;serif"/>
          <w:sz w:val="20"/>
        </w:rPr>
        <w:t xml:space="preserve">[***] </w:t>
      </w:r>
      <w:r>
        <w:rPr>
          <w:rFonts w:ascii="Times New Roman;Times;serif" w:hAnsi="Times New Roman;Times;serif"/>
          <w:sz w:val="22"/>
        </w:rPr>
        <w:t xml:space="preserve">data room hosted by Roche as a repository for data and other information related to the Collaboration Compounds and Collaboration Products, meeting minutes, and communications between the Parties (the </w:t>
      </w:r>
      <w:r>
        <w:rPr>
          <w:rFonts w:ascii="Times New Roman;Times;serif" w:hAnsi="Times New Roman;Times;serif"/>
          <w:sz w:val="20"/>
        </w:rPr>
        <w:t>“</w:t>
      </w:r>
      <w:r>
        <w:rPr>
          <w:rFonts w:ascii="Times New Roman;Times;serif" w:hAnsi="Times New Roman;Times;serif"/>
          <w:b/>
          <w:sz w:val="22"/>
        </w:rPr>
        <w:t>Collaboration Data Rooms</w:t>
      </w:r>
      <w:r>
        <w:rPr>
          <w:rFonts w:ascii="Times New Roman;Times;serif" w:hAnsi="Times New Roman;Times;serif"/>
          <w:sz w:val="20"/>
        </w:rPr>
        <w:t>”</w:t>
      </w:r>
      <w:r>
        <w:rPr>
          <w:rFonts w:ascii="Times New Roman;Times;serif" w:hAnsi="Times New Roman;Times;serif"/>
          <w:sz w:val="22"/>
        </w:rPr>
        <w:t xml:space="preserve">). Within </w:t>
      </w:r>
      <w:r>
        <w:rPr>
          <w:rFonts w:ascii="Times New Roman;Times;serif" w:hAnsi="Times New Roman;Times;serif"/>
          <w:sz w:val="20"/>
        </w:rPr>
        <w:t xml:space="preserve">[***] </w:t>
      </w:r>
      <w:r>
        <w:rPr>
          <w:rFonts w:ascii="Times New Roman;Times;serif" w:hAnsi="Times New Roman;Times;serif"/>
          <w:sz w:val="22"/>
        </w:rPr>
        <w:t>after the transfer of all of the data, reports, images, agreements and other documents covered by the Winddown Plan has been completed, Roche shall close down the jointly used Collaboration Data Room.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14.</w:t>
      </w:r>
      <w:r>
        <w:rPr>
          <w:rFonts w:ascii="Times New Roman;Times;serif" w:hAnsi="Times New Roman;Times;serif"/>
          <w:sz w:val="22"/>
          <w:u w:val="single"/>
        </w:rPr>
        <w:t>Follow-Up Period</w:t>
      </w:r>
      <w:r>
        <w:rPr>
          <w:rFonts w:ascii="Times New Roman;Times;serif" w:hAnsi="Times New Roman;Times;serif"/>
          <w:sz w:val="22"/>
        </w:rPr>
        <w:t xml:space="preserve">.  If no later than </w:t>
      </w:r>
      <w:r>
        <w:rPr>
          <w:rFonts w:ascii="Times New Roman;Times;serif" w:hAnsi="Times New Roman;Times;serif"/>
          <w:sz w:val="20"/>
        </w:rPr>
        <w:t xml:space="preserve">[***] </w:t>
      </w:r>
      <w:r>
        <w:rPr>
          <w:rFonts w:ascii="Times New Roman;Times;serif" w:hAnsi="Times New Roman;Times;serif"/>
          <w:sz w:val="22"/>
        </w:rPr>
        <w:t xml:space="preserve">after the Termination Effective Date, either Party discovers or learns of any material, non-duplicative documents or other materials that should have been included in the Winddown Plan, such Party shall provide written notice to the other Party, and Roche shall use commercially reasonable efforts to provide BPM with such documents or other materials in accordance with the manner specified in the Winddown Plan within </w:t>
      </w:r>
      <w:r>
        <w:rPr>
          <w:rFonts w:ascii="Times New Roman;Times;serif" w:hAnsi="Times New Roman;Times;serif"/>
          <w:sz w:val="20"/>
        </w:rPr>
        <w:t xml:space="preserve">[***] </w:t>
      </w:r>
      <w:r>
        <w:rPr>
          <w:rFonts w:ascii="Times New Roman;Times;serif" w:hAnsi="Times New Roman;Times;serif"/>
          <w:sz w:val="22"/>
        </w:rPr>
        <w:t>after receipt of the aforementioned notice.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15.</w:t>
      </w:r>
      <w:r>
        <w:rPr>
          <w:rFonts w:ascii="Times New Roman;Times;serif" w:hAnsi="Times New Roman;Times;serif"/>
          <w:sz w:val="22"/>
          <w:u w:val="single"/>
        </w:rPr>
        <w:t>Publications</w:t>
      </w:r>
      <w:r>
        <w:rPr>
          <w:rFonts w:ascii="Times New Roman;Times;serif" w:hAnsi="Times New Roman;Times;serif"/>
          <w:sz w:val="22"/>
        </w:rPr>
        <w:t>.  Notwithstanding anything to the contrary in Article 20 of the Agreement, (a) as between the Parties, BPM will have the sole and exclusive responsibility to make disclosures related to, and to determine the publication plan for any publications or public presentations of, data and results relating to Collaboration Compounds and Other Compounds for MAP4K1 and other Terminated Targets generated after the Termination Effective Date, (b) BPM may publish, present or otherwise disclose data and results of nonclinical studies and clinical trials, or any other information, with respect to any Collaboration Compounds and Other Compounds for MAP4K1 and other Terminated Targets without obtaining Roche</w:t>
      </w:r>
      <w:r>
        <w:rPr>
          <w:rFonts w:ascii="Times New Roman;Times;serif" w:hAnsi="Times New Roman;Times;serif"/>
          <w:sz w:val="20"/>
        </w:rPr>
        <w:t>’</w:t>
      </w:r>
      <w:r>
        <w:rPr>
          <w:rFonts w:ascii="Times New Roman;Times;serif" w:hAnsi="Times New Roman;Times;serif"/>
          <w:sz w:val="22"/>
        </w:rPr>
        <w:t>s prior consent and (c) except as provided in the publication plan anticipated by this Section 15, Roche</w:t>
      </w:r>
      <w:r>
        <w:rPr>
          <w:rFonts w:ascii="Times New Roman;Times;serif" w:hAnsi="Times New Roman;Times;serif"/>
          <w:sz w:val="20"/>
        </w:rPr>
        <w:t>’</w:t>
      </w:r>
      <w:r>
        <w:rPr>
          <w:rFonts w:ascii="Times New Roman;Times;serif" w:hAnsi="Times New Roman;Times;serif"/>
          <w:sz w:val="22"/>
        </w:rPr>
        <w:t>s rights to publish, present or otherwise disclose data and results of nonclinical studies, clinical studies and other Information related to Collaboration Compounds and Other Compounds for MAP4K1 and other Terminated Targets under Section 20.4 of the Agreement shall terminate as of the Termination Effective Date.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16.</w:t>
      </w:r>
      <w:r>
        <w:rPr>
          <w:rFonts w:ascii="Times New Roman;Times;serif" w:hAnsi="Times New Roman;Times;serif"/>
          <w:sz w:val="22"/>
          <w:u w:val="single"/>
        </w:rPr>
        <w:t>Payment under Section 21.3.4.4 of the Agreement</w:t>
      </w:r>
      <w:r>
        <w:rPr>
          <w:rFonts w:ascii="Times New Roman;Times;serif" w:hAnsi="Times New Roman;Times;serif"/>
          <w:sz w:val="22"/>
        </w:rPr>
        <w:t xml:space="preserve">.  Except to the extent explicitly provided in Section 7 hereof, in accordance with Section 21.3.4.4 of the Agreement, within </w:t>
      </w:r>
      <w:r>
        <w:rPr>
          <w:rFonts w:ascii="Times New Roman;Times;serif" w:hAnsi="Times New Roman;Times;serif"/>
          <w:sz w:val="20"/>
        </w:rPr>
        <w:t xml:space="preserve">[***] </w:t>
      </w:r>
      <w:r>
        <w:rPr>
          <w:rFonts w:ascii="Times New Roman;Times;serif" w:hAnsi="Times New Roman;Times;serif"/>
          <w:sz w:val="22"/>
        </w:rPr>
        <w:t xml:space="preserve">after the Termination Effective Date, BPM shall pay Roche </w:t>
      </w:r>
      <w:r>
        <w:rPr>
          <w:rFonts w:ascii="Times New Roman;Times;serif" w:hAnsi="Times New Roman;Times;serif"/>
          <w:sz w:val="20"/>
        </w:rPr>
        <w:t xml:space="preserve">[***] </w:t>
      </w:r>
      <w:r>
        <w:rPr>
          <w:rFonts w:ascii="Times New Roman;Times;serif" w:hAnsi="Times New Roman;Times;serif"/>
          <w:sz w:val="22"/>
        </w:rPr>
        <w:t>as consideration for the activities to be performed by Roche under this Termination Agreement and the Winddown Plan</w:t>
      </w:r>
      <w:r>
        <w:rPr>
          <w:rFonts w:ascii="Times New Roman;Times;serif" w:hAnsi="Times New Roman;Times;serif"/>
          <w:sz w:val="20"/>
        </w:rPr>
        <w:t>[***]</w:t>
      </w:r>
      <w:r>
        <w:rPr>
          <w:rFonts w:ascii="Times New Roman;Times;serif" w:hAnsi="Times New Roman;Times;serif"/>
          <w:sz w:val="22"/>
        </w:rPr>
        <w:t>.</w:t>
      </w:r>
    </w:p>
    <w:tbl>
      <w:tblPr>
        <w:tblW w:w="1758" w:type="dxa"/>
        <w:jc w:val="left"/>
        <w:tblInd w:w="0" w:type="dxa"/>
        <w:tblCellMar>
          <w:top w:w="0" w:type="dxa"/>
          <w:left w:w="0" w:type="dxa"/>
          <w:bottom w:w="0" w:type="dxa"/>
          <w:right w:w="0" w:type="dxa"/>
        </w:tblCellMar>
      </w:tblPr>
      <w:tblGrid>
        <w:gridCol w:w="23"/>
        <w:gridCol w:w="320"/>
        <w:gridCol w:w="1415"/>
      </w:tblGrid>
      <w:tr>
        <w:trPr/>
        <w:tc>
          <w:tcPr>
            <w:tcW w:w="2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40"/>
              <w:jc w:val="both"/>
              <w:rPr>
                <w:rFonts w:ascii="Times New Roman;Times;serif" w:hAnsi="Times New Roman;Times;serif"/>
                <w:sz w:val="22"/>
              </w:rPr>
            </w:pPr>
            <w:r>
              <w:rPr>
                <w:rFonts w:ascii="Times New Roman;Times;serif" w:hAnsi="Times New Roman;Times;serif"/>
                <w:sz w:val="22"/>
              </w:rPr>
              <w:t>17.</w:t>
            </w:r>
          </w:p>
        </w:tc>
        <w:tc>
          <w:tcPr>
            <w:tcW w:w="14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2"/>
                <w:u w:val="single"/>
              </w:rPr>
              <w:t>Miscellaneous</w:t>
            </w:r>
            <w:r>
              <w:rPr>
                <w:rFonts w:ascii="Times New Roman;Times;serif" w:hAnsi="Times New Roman;Times;serif"/>
                <w:sz w:val="22"/>
              </w:rPr>
              <w:t>.</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For purposes of the surviving provisions of the Agreement, including without limitation Sections 18 and 19 thereof, the activities of the Parties under this Termination Agreement and the Winddown Plan constitute activities under the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failure by either Party to require strict performance and/or observance of any obligation, term, provision or condition under this Termination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Schedules and Exhibits to this Termination Agreement shall form an integral part of this Termination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The captions of the sections of this Termination Agreement and the Winddown Plan are for convenience of reference only and in no way define, limit or affect the scope or substance of any section of this Termination Agreement or the Winddown Plan.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If any of the provisions of this Termination Agreement are held to be void or unenforceable, then such void or unenforceable provisions shall be replaced by valid and enforceable provisions that will achieve as far as possible the economic business intentions of the Parties. However, the remaining provisions of this Termination Agreement will remain in full force and effect, provided that the material interests of the Parties are not affected (i.e., the Parties would presumably have concluded this Termination Agreement without the unenforceable provisions).</w:t>
      </w:r>
    </w:p>
    <w:p>
      <w:pPr>
        <w:pStyle w:val="TextBody"/>
        <w:spacing w:before="0" w:after="0"/>
        <w:ind w:left="720" w:right="0" w:firstLine="72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This Termination Agreement and the Schedules and Exhibits have been prepared jointly and will not be strictly construed against either Party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This Termination Agreement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This Termination Agreement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2"/>
        </w:rPr>
      </w:pPr>
      <w:r>
        <w:rPr>
          <w:rFonts w:ascii="Times New Roman;Times;serif" w:hAnsi="Times New Roman;Times;serif"/>
          <w:i/>
          <w:sz w:val="22"/>
        </w:rPr>
        <w:t>[Signature page follows]</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HorizontalLine"/>
        <w:rPr/>
      </w:pPr>
      <w:r>
        <w:rPr/>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have caused this Termination Agreement to be executed by their respective duly authorized representatives as of the Termination Effective Date.</w:t>
      </w:r>
    </w:p>
    <w:p>
      <w:pPr>
        <w:pStyle w:val="TextBody"/>
        <w:spacing w:before="0" w:after="0"/>
        <w:ind w:left="0" w:right="0" w:hanging="0"/>
        <w:jc w:val="both"/>
        <w:rPr/>
      </w:pPr>
      <w:r>
        <w:rPr/>
        <w:t>​</w:t>
      </w:r>
    </w:p>
    <w:tbl>
      <w:tblPr>
        <w:tblW w:w="9360" w:type="dxa"/>
        <w:jc w:val="center"/>
        <w:tblInd w:w="0" w:type="dxa"/>
        <w:tblCellMar>
          <w:top w:w="0" w:type="dxa"/>
          <w:left w:w="0" w:type="dxa"/>
          <w:bottom w:w="0" w:type="dxa"/>
          <w:right w:w="0" w:type="dxa"/>
        </w:tblCellMar>
      </w:tblPr>
      <w:tblGrid>
        <w:gridCol w:w="4911"/>
        <w:gridCol w:w="249"/>
        <w:gridCol w:w="4035"/>
        <w:gridCol w:w="165"/>
      </w:tblGrid>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Blueprint Medicines Corporation</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49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Kathryn Haviland</w:t>
            </w:r>
          </w:p>
        </w:tc>
        <w:tc>
          <w:tcPr>
            <w:tcW w:w="249" w:type="dxa"/>
            <w:tcBorders/>
            <w:shd w:fill="auto" w:val="clear"/>
            <w:vAlign w:val="center"/>
          </w:tcPr>
          <w:p>
            <w:pPr>
              <w:pStyle w:val="TableContents"/>
              <w:spacing w:before="0" w:after="0"/>
              <w:ind w:left="0" w:right="0" w:hanging="0"/>
              <w:jc w:val="both"/>
              <w:rPr/>
            </w:pPr>
            <w:r>
              <w:rPr/>
              <w:t>​</w:t>
            </w:r>
          </w:p>
        </w:tc>
        <w:tc>
          <w:tcPr>
            <w:tcW w:w="4035" w:type="dxa"/>
            <w:tcBorders/>
            <w:shd w:fill="auto" w:val="clear"/>
            <w:vAlign w:val="center"/>
          </w:tcPr>
          <w:p>
            <w:pPr>
              <w:pStyle w:val="TableContents"/>
              <w:spacing w:before="0" w:after="0"/>
              <w:ind w:left="0" w:right="0" w:hanging="0"/>
              <w:jc w:val="both"/>
              <w:rPr/>
            </w:pPr>
            <w:r>
              <w:rPr/>
              <w:t>​</w:t>
            </w:r>
          </w:p>
        </w:tc>
        <w:tc>
          <w:tcPr>
            <w:tcW w:w="165" w:type="dxa"/>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Name:  Kathryn Haviland</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Title:</w:t>
            </w:r>
            <w:r>
              <w:rPr>
                <w:rFonts w:ascii="Times New Roman;Times;serif" w:hAnsi="Times New Roman;Times;serif"/>
                <w:sz w:val="20"/>
              </w:rPr>
              <w:t xml:space="preserve">    </w:t>
            </w:r>
            <w:r>
              <w:rPr>
                <w:rFonts w:ascii="Times New Roman;Times;serif" w:hAnsi="Times New Roman;Times;serif"/>
                <w:sz w:val="22"/>
              </w:rPr>
              <w:t>President &amp; Chief Executive Officer</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F. Hoffmann-La Roche Ltd</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49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Markus Keller</w:t>
            </w:r>
          </w:p>
        </w:tc>
        <w:tc>
          <w:tcPr>
            <w:tcW w:w="249" w:type="dxa"/>
            <w:tcBorders/>
            <w:shd w:fill="auto" w:val="clear"/>
            <w:vAlign w:val="center"/>
          </w:tcPr>
          <w:p>
            <w:pPr>
              <w:pStyle w:val="TableContents"/>
              <w:spacing w:before="0" w:after="0"/>
              <w:ind w:left="0" w:right="0" w:hanging="0"/>
              <w:jc w:val="both"/>
              <w:rPr/>
            </w:pPr>
            <w:r>
              <w:rPr/>
              <w:t>​</w:t>
            </w:r>
          </w:p>
        </w:tc>
        <w:tc>
          <w:tcPr>
            <w:tcW w:w="403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Barbara Schroeder de Castro Lopes</w:t>
            </w:r>
          </w:p>
        </w:tc>
        <w:tc>
          <w:tcPr>
            <w:tcW w:w="165" w:type="dxa"/>
            <w:tcBorders/>
            <w:shd w:fill="auto" w:val="clear"/>
            <w:vAlign w:val="center"/>
          </w:tcPr>
          <w:p>
            <w:pPr>
              <w:pStyle w:val="TableContents"/>
              <w:spacing w:before="0" w:after="0"/>
              <w:ind w:left="0" w:right="0" w:hanging="0"/>
              <w:jc w:val="both"/>
              <w:rPr/>
            </w:pPr>
            <w:r>
              <w:rPr/>
              <w:t>​</w:t>
            </w:r>
          </w:p>
        </w:tc>
      </w:tr>
      <w:tr>
        <w:trPr/>
        <w:tc>
          <w:tcPr>
            <w:tcW w:w="9360" w:type="dxa"/>
            <w:gridSpan w:val="4"/>
            <w:tcBorders/>
            <w:shd w:fill="auto" w:val="clear"/>
            <w:vAlign w:val="center"/>
          </w:tcPr>
          <w:p>
            <w:pPr>
              <w:pStyle w:val="TableContents"/>
              <w:spacing w:before="0" w:after="283"/>
              <w:ind w:left="0" w:right="0" w:hanging="0"/>
              <w:rPr>
                <w:sz w:val="4"/>
                <w:szCs w:val="4"/>
              </w:rPr>
            </w:pPr>
            <w:r>
              <w:rPr>
                <w:sz w:val="4"/>
                <w:szCs w:val="4"/>
              </w:rPr>
            </w:r>
          </w:p>
        </w:tc>
      </w:tr>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Name:  Markus Keller</w:t>
            </w:r>
          </w:p>
        </w:tc>
        <w:tc>
          <w:tcPr>
            <w:tcW w:w="4200" w:type="dxa"/>
            <w:gridSpan w:val="2"/>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Name:  Barbara Schroeder de Castro Lopes</w:t>
            </w:r>
          </w:p>
        </w:tc>
      </w:tr>
      <w:tr>
        <w:trPr/>
        <w:tc>
          <w:tcPr>
            <w:tcW w:w="5160"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Title:</w:t>
            </w:r>
            <w:r>
              <w:rPr>
                <w:rFonts w:ascii="Times New Roman;Times;serif" w:hAnsi="Times New Roman;Times;serif"/>
                <w:sz w:val="20"/>
              </w:rPr>
              <w:t xml:space="preserve">    </w:t>
            </w:r>
            <w:r>
              <w:rPr>
                <w:rFonts w:ascii="Times New Roman;Times;serif" w:hAnsi="Times New Roman;Times;serif"/>
                <w:sz w:val="22"/>
              </w:rPr>
              <w:t>Global Alliance &amp; Asset Management Director</w:t>
            </w:r>
          </w:p>
        </w:tc>
        <w:tc>
          <w:tcPr>
            <w:tcW w:w="4200"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Title:</w:t>
            </w:r>
            <w:r>
              <w:rPr>
                <w:rFonts w:ascii="Times New Roman;Times;serif" w:hAnsi="Times New Roman;Times;serif"/>
                <w:sz w:val="20"/>
              </w:rPr>
              <w:t xml:space="preserve">    </w:t>
            </w:r>
            <w:r>
              <w:rPr>
                <w:rFonts w:ascii="Times New Roman;Times;serif" w:hAnsi="Times New Roman;Times;serif"/>
                <w:sz w:val="22"/>
              </w:rPr>
              <w:t>Authorized Signatory</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Hoffmann-La Roche Inc.</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49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John P. Parise</w:t>
            </w:r>
          </w:p>
        </w:tc>
        <w:tc>
          <w:tcPr>
            <w:tcW w:w="249" w:type="dxa"/>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Name:  John P. Parise</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Title:</w:t>
            </w:r>
            <w:r>
              <w:rPr>
                <w:rFonts w:ascii="Times New Roman;Times;serif" w:hAnsi="Times New Roman;Times;serif"/>
                <w:sz w:val="20"/>
              </w:rPr>
              <w:t xml:space="preserve">    </w:t>
            </w:r>
            <w:r>
              <w:rPr>
                <w:rFonts w:ascii="Times New Roman;Times;serif" w:hAnsi="Times New Roman;Times;serif"/>
                <w:sz w:val="22"/>
              </w:rPr>
              <w:t>Authorized Signatory</w:t>
            </w:r>
          </w:p>
        </w:tc>
        <w:tc>
          <w:tcPr>
            <w:tcW w:w="4200" w:type="dxa"/>
            <w:gridSpan w:val="2"/>
            <w:tcBorders/>
            <w:shd w:fill="auto" w:val="clear"/>
            <w:vAlign w:val="center"/>
          </w:tcPr>
          <w:p>
            <w:pPr>
              <w:pStyle w:val="TableContents"/>
              <w:spacing w:before="0" w:after="0"/>
              <w:ind w:left="0" w:right="0" w:hanging="0"/>
              <w:jc w:val="both"/>
              <w:rPr/>
            </w:pPr>
            <w:r>
              <w:rPr/>
              <w:t>​</w:t>
            </w:r>
          </w:p>
        </w:tc>
      </w:tr>
      <w:tr>
        <w:trPr/>
        <w:tc>
          <w:tcPr>
            <w:tcW w:w="5160" w:type="dxa"/>
            <w:gridSpan w:val="2"/>
            <w:tcBorders/>
            <w:shd w:fill="auto" w:val="clear"/>
            <w:vAlign w:val="center"/>
          </w:tcPr>
          <w:p>
            <w:pPr>
              <w:pStyle w:val="TableContents"/>
              <w:spacing w:before="0" w:after="0"/>
              <w:ind w:left="0" w:right="0" w:hanging="0"/>
              <w:jc w:val="both"/>
              <w:rPr/>
            </w:pPr>
            <w:r>
              <w:rPr/>
              <w:t>​</w:t>
            </w:r>
          </w:p>
        </w:tc>
        <w:tc>
          <w:tcPr>
            <w:tcW w:w="4200" w:type="dxa"/>
            <w:gridSpan w:val="2"/>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right"/>
        <w:rPr>
          <w:rFonts w:ascii="Times New Roman;Times;serif" w:hAnsi="Times New Roman;Times;serif"/>
          <w:b/>
          <w:sz w:val="22"/>
        </w:rPr>
      </w:pPr>
      <w:r>
        <w:rPr>
          <w:rFonts w:ascii="Times New Roman;Times;serif" w:hAnsi="Times New Roman;Times;serif"/>
          <w:b/>
          <w:sz w:val="22"/>
        </w:rPr>
        <w:t>Schedule 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Winddown Plan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A</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Invention Disclosure Form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Date: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1.  Descriptive title of the invention: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2.  Describe the invention in detail, including any problems solved by the invention, any difficulties or challenges with the invention or project, and any unexpected properties or results: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3.  What aspects of the invention can be varied or altered and yet still accomplish the end result or object of the invention?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4.  Please list the inventors or discoverers and provide the following information for each inventor.</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Name for the patent application:</w:t>
      </w:r>
    </w:p>
    <w:p>
      <w:pPr>
        <w:pStyle w:val="TextBody"/>
        <w:spacing w:before="0" w:after="0"/>
        <w:ind w:left="0" w:right="0" w:hanging="0"/>
        <w:jc w:val="both"/>
        <w:rPr/>
      </w:pPr>
      <w:r>
        <w:rPr/>
        <w:t>​</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Company:</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Citizenship:</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Email address:</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Mailing Address: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For the Company, please list the entity to which the inventor will assign his or her patent rights. Was there any Third Party Involvement? If yes, please provide the same information as above.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5.  To evaluate any disclosure with respect to this invention, please answer Yes or No for the following:</w:t>
      </w:r>
    </w:p>
    <w:p>
      <w:pPr>
        <w:pStyle w:val="TextBody"/>
        <w:spacing w:before="0" w:after="0"/>
        <w:ind w:left="0" w:right="0" w:hanging="0"/>
        <w:jc w:val="both"/>
        <w:rPr/>
      </w:pPr>
      <w:r>
        <w:rPr/>
        <w:t>​</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A. Have any discussions or other contacts been made with potential purchasers?</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B. Has it been </w:t>
      </w:r>
      <w:r>
        <w:rPr>
          <w:rFonts w:ascii="Times New Roman;Times;serif" w:hAnsi="Times New Roman;Times;serif"/>
          <w:i/>
          <w:sz w:val="22"/>
        </w:rPr>
        <w:t xml:space="preserve">sold </w:t>
      </w:r>
      <w:r>
        <w:rPr>
          <w:rFonts w:ascii="Times New Roman;Times;serif" w:hAnsi="Times New Roman;Times;serif"/>
          <w:sz w:val="22"/>
        </w:rPr>
        <w:t xml:space="preserve">or </w:t>
      </w:r>
      <w:r>
        <w:rPr>
          <w:rFonts w:ascii="Times New Roman;Times;serif" w:hAnsi="Times New Roman;Times;serif"/>
          <w:i/>
          <w:sz w:val="22"/>
        </w:rPr>
        <w:t xml:space="preserve">offered </w:t>
      </w:r>
      <w:r>
        <w:rPr>
          <w:rFonts w:ascii="Times New Roman;Times;serif" w:hAnsi="Times New Roman;Times;serif"/>
          <w:sz w:val="22"/>
        </w:rPr>
        <w:t>for sale?</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C. If it pertains to a process, have any steps been taken to employ the process commercially?</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D. Has it been described in a printed publication?</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E. Has it been </w:t>
      </w:r>
      <w:r>
        <w:rPr>
          <w:rFonts w:ascii="Times New Roman;Times;serif" w:hAnsi="Times New Roman;Times;serif"/>
          <w:i/>
          <w:sz w:val="22"/>
        </w:rPr>
        <w:t xml:space="preserve">disclosed in a talk </w:t>
      </w:r>
      <w:r>
        <w:rPr>
          <w:rFonts w:ascii="Times New Roman;Times;serif" w:hAnsi="Times New Roman;Times;serif"/>
          <w:sz w:val="22"/>
        </w:rPr>
        <w:t xml:space="preserve">or a </w:t>
      </w:r>
      <w:r>
        <w:rPr>
          <w:rFonts w:ascii="Times New Roman;Times;serif" w:hAnsi="Times New Roman;Times;serif"/>
          <w:i/>
          <w:sz w:val="22"/>
        </w:rPr>
        <w:t xml:space="preserve">paper presented </w:t>
      </w:r>
      <w:r>
        <w:rPr>
          <w:rFonts w:ascii="Times New Roman;Times;serif" w:hAnsi="Times New Roman;Times;serif"/>
          <w:sz w:val="22"/>
        </w:rPr>
        <w:t>at a public meeting?</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F. Has it been otherwise disclosed to vendors or customers?</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G. If not, is any such use, sale, publication or disclosure now </w:t>
      </w:r>
      <w:r>
        <w:rPr>
          <w:rFonts w:ascii="Times New Roman;Times;serif" w:hAnsi="Times New Roman;Times;serif"/>
          <w:i/>
          <w:sz w:val="22"/>
        </w:rPr>
        <w:t>contemplated</w:t>
      </w:r>
      <w:r>
        <w:rPr>
          <w:rFonts w:ascii="Times New Roman;Times;serif" w:hAnsi="Times New Roman;Times;serif"/>
          <w:sz w:val="22"/>
        </w:rPr>
        <w:t>?</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H. Has it been reduced to practice (i.e., made, carried out, or built and tested) or has a</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model or prototype been built?</w:t>
      </w:r>
    </w:p>
    <w:p>
      <w:pPr>
        <w:pStyle w:val="TextBody"/>
        <w:spacing w:before="0" w:after="0"/>
        <w:ind w:left="720" w:right="0" w:hanging="0"/>
        <w:jc w:val="both"/>
        <w:rPr>
          <w:rFonts w:ascii="Times New Roman;Times;serif" w:hAnsi="Times New Roman;Times;serif"/>
          <w:sz w:val="22"/>
        </w:rPr>
      </w:pPr>
      <w:r>
        <w:rPr>
          <w:rFonts w:ascii="Times New Roman;Times;serif" w:hAnsi="Times New Roman;Times;serif"/>
          <w:sz w:val="22"/>
        </w:rPr>
        <w:t>I. Is there any agreement that deals with rights in this invention or ownership of this invention?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If any answer to any of the questions above is </w:t>
      </w:r>
      <w:r>
        <w:rPr>
          <w:rFonts w:ascii="Times New Roman;Times;serif" w:hAnsi="Times New Roman;Times;serif"/>
          <w:sz w:val="20"/>
        </w:rPr>
        <w:t>“</w:t>
      </w:r>
      <w:r>
        <w:rPr>
          <w:rFonts w:ascii="Times New Roman;Times;serif" w:hAnsi="Times New Roman;Times;serif"/>
          <w:sz w:val="22"/>
        </w:rPr>
        <w:t>yes,</w:t>
      </w:r>
      <w:r>
        <w:rPr>
          <w:rFonts w:ascii="Times New Roman;Times;serif" w:hAnsi="Times New Roman;Times;serif"/>
          <w:sz w:val="20"/>
        </w:rPr>
        <w:t xml:space="preserve">” </w:t>
      </w:r>
      <w:r>
        <w:rPr>
          <w:rFonts w:ascii="Times New Roman;Times;serif" w:hAnsi="Times New Roman;Times;serif"/>
          <w:sz w:val="22"/>
        </w:rPr>
        <w:t>please indicate earliest dates, and give the surrounding circumstances.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2"/>
        </w:rPr>
        <w:t>6.  Please provide details for any relevant references or searches</w:t>
      </w:r>
      <w:r>
        <w:rPr>
          <w:rFonts w:ascii="Times New Roman;Times;serif" w:hAnsi="Times New Roman;Times;serif"/>
          <w:color w:val="666666"/>
          <w:sz w:val="22"/>
        </w:rPr>
        <w:t>.</w:t>
      </w:r>
    </w:p>
    <w:p>
      <w:pPr>
        <w:pStyle w:val="TextBody"/>
        <w:spacing w:before="480" w:after="0"/>
        <w:ind w:left="0" w:right="0" w:hanging="0"/>
        <w:rPr/>
      </w:pPr>
      <w:r>
        <w:rPr/>
        <w:t>​</w:t>
      </w:r>
    </w:p>
    <w:p>
      <w:pPr>
        <w:pStyle w:val="HorizontalLine"/>
        <w:rPr/>
      </w:pPr>
      <w:r>
        <w:rPr/>
      </w:r>
      <w:r>
        <w:br w:type="page"/>
      </w:r>
    </w:p>
    <w:p>
      <w:pPr>
        <w:pStyle w:val="TextBody"/>
        <w:shd w:fill="FFFFFF" w:val="clear"/>
        <w:spacing w:lineRule="auto" w:line="285" w:before="0" w:after="0"/>
        <w:ind w:left="0" w:right="0" w:hanging="0"/>
        <w:jc w:val="right"/>
        <w:rPr>
          <w:rFonts w:ascii="Times New Roman;Times;serif" w:hAnsi="Times New Roman;Times;serif"/>
          <w:b/>
          <w:sz w:val="20"/>
        </w:rPr>
      </w:pPr>
      <w:bookmarkStart w:id="1007" w:name="bpmc-20230331xex31d1.htm"/>
      <w:bookmarkStart w:id="1008" w:name="ksbpmc20230331xex31d1"/>
      <w:bookmarkEnd w:id="1007"/>
      <w:bookmarkEnd w:id="1008"/>
      <w:r>
        <w:rPr>
          <w:rFonts w:ascii="Times New Roman;Times;serif" w:hAnsi="Times New Roman;Times;serif"/>
          <w:b/>
          <w:sz w:val="20"/>
        </w:rPr>
        <w:t>Exhibit 31.1</w:t>
      </w:r>
    </w:p>
    <w:p>
      <w:pPr>
        <w:pStyle w:val="TextBody"/>
        <w:shd w:fill="FFFFFF" w:val="clear"/>
        <w:spacing w:lineRule="auto" w:line="285" w:before="0" w:after="0"/>
        <w:ind w:left="0" w:right="0" w:hanging="0"/>
        <w:jc w:val="right"/>
        <w:rPr/>
      </w:pPr>
      <w:r>
        <w:rPr/>
        <w:t>​</w:t>
      </w:r>
    </w:p>
    <w:p>
      <w:pPr>
        <w:pStyle w:val="TextBody"/>
        <w:pBdr/>
        <w:shd w:fill="FFFFFF" w:val="clear"/>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spacing w:lineRule="auto" w:line="285" w:before="0" w:after="0"/>
        <w:ind w:left="0" w:right="0" w:hanging="0"/>
        <w:rPr>
          <w:rFonts w:ascii="Times New Roman;Times;serif" w:hAnsi="Times New Roman;Times;serif"/>
          <w:sz w:val="20"/>
        </w:rPr>
      </w:pPr>
      <w:r>
        <w:rPr>
          <w:rFonts w:ascii="Times New Roman;Times;serif" w:hAnsi="Times New Roman;Times;serif"/>
          <w:sz w:val="20"/>
        </w:rPr>
        <w:t>I, Kathryn Haviland, certify that:</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1.I have reviewed this Quarterly Report on Form 10-Q of Blueprint Medicines Corporation;</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720" w:right="0" w:hanging="0"/>
        <w:rPr>
          <w:rFonts w:ascii="Times New Roman;Times;serif" w:hAnsi="Times New Roman;Times;serif"/>
          <w:sz w:val="20"/>
          <w:highlight w:val="white"/>
        </w:rPr>
      </w:pPr>
      <w:r>
        <w:rPr>
          <w:rFonts w:ascii="Times New Roman;Times;serif" w:hAnsi="Times New Roman;Times;serif"/>
          <w:sz w:val="20"/>
          <w:highlight w:val="white"/>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ind w:left="720" w:right="0" w:hanging="0"/>
        <w:rPr>
          <w:rFonts w:ascii="Times New Roman;Times;serif" w:hAnsi="Times New Roman;Times;serif"/>
          <w:sz w:val="20"/>
          <w:highlight w:val="white"/>
        </w:rPr>
      </w:pPr>
      <w:r>
        <w:rPr>
          <w:rFonts w:ascii="Times New Roman;Times;serif" w:hAnsi="Times New Roman;Times;serif"/>
          <w:sz w:val="20"/>
          <w:highlight w:val="white"/>
        </w:rPr>
        <w:t>(b)Any fraud, whether or not material, that involves management or other employees who have a significant role in the registrant’s internal control over financial reporting.</w:t>
      </w:r>
    </w:p>
    <w:p>
      <w:pPr>
        <w:pStyle w:val="TextBody"/>
        <w:shd w:fill="FFFFFF" w:val="clear"/>
        <w:spacing w:lineRule="auto" w:line="285" w:before="0" w:after="0"/>
        <w:ind w:left="0" w:right="0" w:hanging="0"/>
        <w:rPr/>
      </w:pPr>
      <w:r>
        <w:rPr/>
        <w:t>​</w:t>
      </w:r>
    </w:p>
    <w:tbl>
      <w:tblPr>
        <w:tblW w:w="6003" w:type="dxa"/>
        <w:jc w:val="left"/>
        <w:tblInd w:w="0" w:type="dxa"/>
        <w:tblCellMar>
          <w:top w:w="0" w:type="dxa"/>
          <w:left w:w="0" w:type="dxa"/>
          <w:bottom w:w="0" w:type="dxa"/>
          <w:right w:w="0" w:type="dxa"/>
        </w:tblCellMar>
      </w:tblPr>
      <w:tblGrid>
        <w:gridCol w:w="1636"/>
        <w:gridCol w:w="406"/>
        <w:gridCol w:w="3961"/>
      </w:tblGrid>
      <w:tr>
        <w:trPr/>
        <w:tc>
          <w:tcPr>
            <w:tcW w:w="1636" w:type="dxa"/>
            <w:tcBorders/>
            <w:shd w:fill="auto" w:val="clear"/>
            <w:vAlign w:val="center"/>
          </w:tcPr>
          <w:p>
            <w:pPr>
              <w:pStyle w:val="TableContents"/>
              <w:spacing w:lineRule="auto" w:line="285" w:before="0" w:after="0"/>
              <w:ind w:left="0" w:right="0" w:hanging="0"/>
              <w:rPr/>
            </w:pPr>
            <w:r>
              <w:rPr/>
              <w:t>​</w:t>
            </w:r>
          </w:p>
        </w:tc>
        <w:tc>
          <w:tcPr>
            <w:tcW w:w="4367" w:type="dxa"/>
            <w:gridSpan w:val="2"/>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96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Kathryn Haviland</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96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lineRule="auto" w:line="285" w:before="0" w:after="0"/>
        <w:ind w:left="0" w:right="0" w:hanging="0"/>
        <w:rPr/>
      </w:pPr>
      <w:r>
        <w:rPr/>
        <w:t>​</w:t>
      </w:r>
    </w:p>
    <w:p>
      <w:pPr>
        <w:pStyle w:val="HorizontalLine"/>
        <w:rPr/>
      </w:pPr>
      <w:r>
        <w:rPr/>
      </w:r>
      <w:r>
        <w:br w:type="page"/>
      </w:r>
    </w:p>
    <w:p>
      <w:pPr>
        <w:pStyle w:val="TextBody"/>
        <w:shd w:fill="FFFFFF" w:val="clear"/>
        <w:spacing w:lineRule="auto" w:line="285" w:before="0" w:after="0"/>
        <w:ind w:left="0" w:right="0" w:hanging="0"/>
        <w:jc w:val="right"/>
        <w:rPr>
          <w:rFonts w:ascii="Times New Roman;Times;serif" w:hAnsi="Times New Roman;Times;serif"/>
          <w:b/>
          <w:sz w:val="20"/>
        </w:rPr>
      </w:pPr>
      <w:bookmarkStart w:id="1009" w:name="bpmc-20230331xex31d2.htm"/>
      <w:bookmarkStart w:id="1010" w:name="ksbpmc20230331xex31d2"/>
      <w:bookmarkEnd w:id="1009"/>
      <w:bookmarkEnd w:id="1010"/>
      <w:r>
        <w:rPr>
          <w:rFonts w:ascii="Times New Roman;Times;serif" w:hAnsi="Times New Roman;Times;serif"/>
          <w:b/>
          <w:sz w:val="20"/>
        </w:rPr>
        <w:t>Exhibit 31.2</w:t>
      </w:r>
    </w:p>
    <w:p>
      <w:pPr>
        <w:pStyle w:val="TextBody"/>
        <w:shd w:fill="FFFFFF" w:val="clear"/>
        <w:spacing w:lineRule="auto" w:line="285" w:before="0" w:after="0"/>
        <w:ind w:left="0" w:right="0" w:hanging="0"/>
        <w:jc w:val="right"/>
        <w:rPr/>
      </w:pPr>
      <w:r>
        <w:rPr/>
        <w:t>​</w:t>
      </w:r>
    </w:p>
    <w:p>
      <w:pPr>
        <w:pStyle w:val="TextBody"/>
        <w:pBdr/>
        <w:shd w:fill="FFFFFF" w:val="clear"/>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spacing w:lineRule="auto" w:line="285" w:before="0" w:after="0"/>
        <w:ind w:left="0" w:right="0" w:hanging="0"/>
        <w:rPr>
          <w:rFonts w:ascii="Times New Roman;Times;serif" w:hAnsi="Times New Roman;Times;serif"/>
          <w:sz w:val="20"/>
        </w:rPr>
      </w:pPr>
      <w:r>
        <w:rPr>
          <w:rFonts w:ascii="Times New Roman;Times;serif" w:hAnsi="Times New Roman;Times;serif"/>
          <w:sz w:val="20"/>
        </w:rPr>
        <w:t>I, Michael Landsittel, certify that:</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1.I have reviewed this Quarterly Report on Form 10-Q of Blueprint Medicines Corporation;</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283"/>
        <w:ind w:left="0" w:right="0" w:hanging="0"/>
        <w:rPr>
          <w:rFonts w:ascii="Times New Roman;Times;serif" w:hAnsi="Times New Roman;Times;serif"/>
          <w:sz w:val="20"/>
          <w:highlight w:val="white"/>
        </w:rPr>
      </w:pPr>
      <w:r>
        <w:rPr>
          <w:rFonts w:ascii="Times New Roman;Times;serif" w:hAnsi="Times New Roman;Times;serif"/>
          <w:sz w:val="20"/>
          <w:highlight w:val="white"/>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720" w:right="0" w:hanging="0"/>
        <w:rPr>
          <w:rFonts w:ascii="Times New Roman;Times;serif" w:hAnsi="Times New Roman;Times;serif"/>
          <w:sz w:val="20"/>
          <w:highlight w:val="white"/>
        </w:rPr>
      </w:pPr>
      <w:r>
        <w:rPr>
          <w:rFonts w:ascii="Times New Roman;Times;serif" w:hAnsi="Times New Roman;Times;serif"/>
          <w:sz w:val="20"/>
          <w:highlight w:val="white"/>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283"/>
        <w:ind w:left="720" w:right="0" w:hanging="0"/>
        <w:rPr>
          <w:rFonts w:ascii="Times New Roman;Times;serif" w:hAnsi="Times New Roman;Times;serif"/>
          <w:sz w:val="20"/>
          <w:highlight w:val="white"/>
        </w:rPr>
      </w:pPr>
      <w:r>
        <w:rPr>
          <w:rFonts w:ascii="Times New Roman;Times;serif" w:hAnsi="Times New Roman;Times;serif"/>
          <w:sz w:val="20"/>
          <w:highlight w:val="white"/>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ind w:left="720" w:right="0" w:hanging="0"/>
        <w:rPr>
          <w:rFonts w:ascii="Times New Roman;Times;serif" w:hAnsi="Times New Roman;Times;serif"/>
          <w:sz w:val="20"/>
          <w:highlight w:val="white"/>
        </w:rPr>
      </w:pPr>
      <w:r>
        <w:rPr>
          <w:rFonts w:ascii="Times New Roman;Times;serif" w:hAnsi="Times New Roman;Times;serif"/>
          <w:sz w:val="20"/>
          <w:highlight w:val="white"/>
        </w:rPr>
        <w:t>(b)Any fraud, whether or not material, that involves management or other employees who have a significant role in the registrant’s internal control over financial reporting.</w:t>
      </w:r>
    </w:p>
    <w:p>
      <w:pPr>
        <w:pStyle w:val="TextBody"/>
        <w:pBdr/>
        <w:shd w:fill="FFFFFF" w:val="clear"/>
        <w:spacing w:lineRule="auto" w:line="285" w:before="0" w:after="0"/>
        <w:ind w:left="0" w:right="0" w:hanging="4680"/>
        <w:rPr/>
      </w:pPr>
      <w:r>
        <w:rPr/>
        <w:t>​</w:t>
      </w:r>
    </w:p>
    <w:tbl>
      <w:tblPr>
        <w:tblW w:w="4458" w:type="dxa"/>
        <w:jc w:val="center"/>
        <w:tblInd w:w="0" w:type="dxa"/>
        <w:tblCellMar>
          <w:top w:w="0" w:type="dxa"/>
          <w:left w:w="0" w:type="dxa"/>
          <w:bottom w:w="0" w:type="dxa"/>
          <w:right w:w="0" w:type="dxa"/>
        </w:tblCellMar>
      </w:tblPr>
      <w:tblGrid>
        <w:gridCol w:w="1636"/>
        <w:gridCol w:w="406"/>
        <w:gridCol w:w="2416"/>
      </w:tblGrid>
      <w:tr>
        <w:trPr/>
        <w:tc>
          <w:tcPr>
            <w:tcW w:w="1636" w:type="dxa"/>
            <w:tcBorders/>
            <w:shd w:fill="auto" w:val="clear"/>
            <w:vAlign w:val="center"/>
          </w:tcPr>
          <w:p>
            <w:pPr>
              <w:pStyle w:val="TableContents"/>
              <w:spacing w:lineRule="auto" w:line="285" w:before="0" w:after="0"/>
              <w:ind w:left="0" w:right="0" w:hanging="0"/>
              <w:rPr/>
            </w:pPr>
            <w:r>
              <w:rPr/>
              <w:t>​</w:t>
            </w:r>
          </w:p>
        </w:tc>
        <w:tc>
          <w:tcPr>
            <w:tcW w:w="2822" w:type="dxa"/>
            <w:gridSpan w:val="2"/>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24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Michael Landsittel</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241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lineRule="auto" w:line="285" w:before="0" w:after="0"/>
        <w:ind w:left="0" w:right="0" w:hanging="0"/>
        <w:rPr/>
      </w:pPr>
      <w:r>
        <w:rPr/>
        <w:t>​</w:t>
      </w:r>
    </w:p>
    <w:p>
      <w:pPr>
        <w:pStyle w:val="HorizontalLine"/>
        <w:rPr/>
      </w:pPr>
      <w:r>
        <w:rPr/>
      </w:r>
      <w:r>
        <w:br w:type="page"/>
      </w:r>
    </w:p>
    <w:p>
      <w:pPr>
        <w:pStyle w:val="TextBody"/>
        <w:shd w:fill="FFFFFF" w:val="clear"/>
        <w:spacing w:lineRule="auto" w:line="285" w:before="0" w:after="0"/>
        <w:ind w:left="0" w:right="0" w:hanging="0"/>
        <w:jc w:val="right"/>
        <w:rPr>
          <w:rFonts w:ascii="Times New Roman;Times;serif" w:hAnsi="Times New Roman;Times;serif"/>
          <w:b/>
          <w:sz w:val="20"/>
        </w:rPr>
      </w:pPr>
      <w:bookmarkStart w:id="1011" w:name="bpmc-20230331xex32d1.htm"/>
      <w:bookmarkStart w:id="1012" w:name="ksbpmc20230331xex32d1"/>
      <w:bookmarkEnd w:id="1011"/>
      <w:bookmarkEnd w:id="1012"/>
      <w:r>
        <w:rPr>
          <w:rFonts w:ascii="Times New Roman;Times;serif" w:hAnsi="Times New Roman;Times;serif"/>
          <w:b/>
          <w:sz w:val="20"/>
        </w:rPr>
        <w:t>Exhibit 32.1</w:t>
      </w:r>
    </w:p>
    <w:p>
      <w:pPr>
        <w:pStyle w:val="TextBody"/>
        <w:shd w:fill="FFFFFF" w:val="clear"/>
        <w:spacing w:lineRule="auto" w:line="285" w:before="0" w:after="0"/>
        <w:ind w:left="0" w:right="0" w:hanging="0"/>
        <w:jc w:val="right"/>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March 31, 2023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CellMar>
          <w:top w:w="0" w:type="dxa"/>
          <w:left w:w="0" w:type="dxa"/>
          <w:bottom w:w="0" w:type="dxa"/>
          <w:right w:w="0" w:type="dxa"/>
        </w:tblCellMar>
      </w:tblPr>
      <w:tblGrid>
        <w:gridCol w:w="23"/>
        <w:gridCol w:w="290"/>
        <w:gridCol w:w="9530"/>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 xml:space="preserve">(1) </w:t>
            </w:r>
          </w:p>
        </w:tc>
        <w:tc>
          <w:tcPr>
            <w:tcW w:w="9530"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72"/>
        <w:gridCol w:w="9910"/>
      </w:tblGrid>
      <w:tr>
        <w:trPr/>
        <w:tc>
          <w:tcPr>
            <w:tcW w:w="2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 xml:space="preserve">(2) </w:t>
            </w:r>
          </w:p>
        </w:tc>
        <w:tc>
          <w:tcPr>
            <w:tcW w:w="9910"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lineRule="auto" w:line="285" w:before="0" w:after="0"/>
        <w:ind w:left="0" w:right="0" w:hanging="0"/>
        <w:jc w:val="center"/>
        <w:rPr/>
      </w:pPr>
      <w:r>
        <w:rPr/>
        <w:t>​</w:t>
      </w:r>
    </w:p>
    <w:tbl>
      <w:tblPr>
        <w:tblW w:w="6003" w:type="dxa"/>
        <w:jc w:val="center"/>
        <w:tblInd w:w="0" w:type="dxa"/>
        <w:tblCellMar>
          <w:top w:w="0" w:type="dxa"/>
          <w:left w:w="0" w:type="dxa"/>
          <w:bottom w:w="0" w:type="dxa"/>
          <w:right w:w="0" w:type="dxa"/>
        </w:tblCellMar>
      </w:tblPr>
      <w:tblGrid>
        <w:gridCol w:w="1636"/>
        <w:gridCol w:w="406"/>
        <w:gridCol w:w="3961"/>
      </w:tblGrid>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96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pBdr/>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96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Kathryn Haviland</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96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lineRule="auto" w:line="285" w:before="0" w:after="0"/>
        <w:ind w:left="0" w:right="0" w:hanging="0"/>
        <w:rPr/>
      </w:pPr>
      <w:r>
        <w:rPr/>
        <w:t>​</w:t>
      </w:r>
    </w:p>
    <w:tbl>
      <w:tblPr>
        <w:tblW w:w="4563" w:type="dxa"/>
        <w:jc w:val="center"/>
        <w:tblInd w:w="0" w:type="dxa"/>
        <w:tblCellMar>
          <w:top w:w="0" w:type="dxa"/>
          <w:left w:w="0" w:type="dxa"/>
          <w:bottom w:w="0" w:type="dxa"/>
          <w:right w:w="0" w:type="dxa"/>
        </w:tblCellMar>
      </w:tblPr>
      <w:tblGrid>
        <w:gridCol w:w="1636"/>
        <w:gridCol w:w="406"/>
        <w:gridCol w:w="2521"/>
      </w:tblGrid>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252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Michael Landsittel</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252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lineRule="auto" w:line="285"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76801</Words>
  <CharactersWithSpaces>508318</CharactersWithSpaces>
  <Paragraphs>5873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