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210820</wp:posOffset>
            </wp:positionV>
            <wp:extent cx="15824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82420" cy="7620"/>
                    </a:xfrm>
                    <a:prstGeom prst="rect">
                      <a:avLst/>
                    </a:prstGeom>
                    <a:noFill/>
                  </pic:spPr>
                </pic:pic>
              </a:graphicData>
            </a:graphic>
          </wp:anchor>
        </w:drawing>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227965</wp:posOffset>
            </wp:positionV>
            <wp:extent cx="1582420" cy="15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82420" cy="15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7"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Date of Report (Date of Earliest Event Reported): </w:t>
      </w:r>
      <w:r>
        <w:rPr>
          <w:rFonts w:ascii="Times New Roman" w:cs="Times New Roman" w:eastAsia="Times New Roman" w:hAnsi="Times New Roman"/>
          <w:sz w:val="16"/>
          <w:szCs w:val="16"/>
          <w:b w:val="1"/>
          <w:bCs w:val="1"/>
          <w:color w:val="auto"/>
        </w:rPr>
        <w:t>September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223520</wp:posOffset>
            </wp:positionV>
            <wp:extent cx="15824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8242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Blueprint Medicines Corporation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210820</wp:posOffset>
            </wp:positionV>
            <wp:extent cx="15824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82420" cy="7620"/>
                    </a:xfrm>
                    <a:prstGeom prst="rect">
                      <a:avLst/>
                    </a:prstGeom>
                    <a:noFill/>
                  </pic:spPr>
                </pic:pic>
              </a:graphicData>
            </a:graphic>
          </wp:anchor>
        </w:drawing>
      </w:r>
    </w:p>
    <w:p>
      <w:pPr>
        <w:sectPr>
          <w:pgSz w:w="11900" w:h="16838" w:orient="portrait"/>
          <w:cols w:equalWidth="0" w:num="1">
            <w:col w:w="9940"/>
          </w:cols>
          <w:pgMar w:left="980" w:top="57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7"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6"/>
          <w:szCs w:val="16"/>
          <w:color w:val="auto"/>
        </w:rPr>
        <w:t>(State or other jurisdiction</w:t>
      </w:r>
    </w:p>
    <w:p>
      <w:pPr>
        <w:spacing w:after="0" w:line="9"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b w:val="1"/>
          <w:bCs w:val="1"/>
          <w:color w:val="auto"/>
        </w:rPr>
        <w:t>001-37359</w:t>
      </w:r>
    </w:p>
    <w:p>
      <w:pPr>
        <w:spacing w:after="0" w:line="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26-3632015</w:t>
      </w:r>
    </w:p>
    <w:p>
      <w:pPr>
        <w:spacing w:after="0" w:line="2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(I.R.S. Employer</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00" w:lineRule="exact"/>
        <w:rPr>
          <w:sz w:val="24"/>
          <w:szCs w:val="24"/>
          <w:color w:val="auto"/>
        </w:rPr>
      </w:pPr>
    </w:p>
    <w:p>
      <w:pPr>
        <w:sectPr>
          <w:pgSz w:w="11900" w:h="16838" w:orient="portrait"/>
          <w:cols w:equalWidth="0" w:num="3">
            <w:col w:w="3360" w:space="720"/>
            <w:col w:w="2940" w:space="720"/>
            <w:col w:w="2200"/>
          </w:cols>
          <w:pgMar w:left="980" w:top="578" w:right="979" w:bottom="1440" w:gutter="0" w:footer="0" w:header="0"/>
          <w:type w:val="continuous"/>
        </w:sectPr>
      </w:pPr>
    </w:p>
    <w:p>
      <w:pPr>
        <w:spacing w:after="0" w:line="91"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b w:val="1"/>
          <w:bCs w:val="1"/>
          <w:color w:val="auto"/>
        </w:rPr>
        <w:t>45 Sidney Street</w:t>
      </w:r>
    </w:p>
    <w:p>
      <w:pPr>
        <w:spacing w:after="0" w:line="27"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Cambridge, Massachusetts</w:t>
      </w:r>
    </w:p>
    <w:p>
      <w:pPr>
        <w:spacing w:after="0" w:line="9"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b w:val="1"/>
          <w:bCs w:val="1"/>
          <w:color w:val="auto"/>
        </w:rPr>
        <w:t>02139</w:t>
      </w:r>
    </w:p>
    <w:p>
      <w:pPr>
        <w:spacing w:after="0" w:line="27"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6"/>
          <w:szCs w:val="16"/>
          <w:color w:val="auto"/>
        </w:rPr>
        <w:t>(Zip Code)</w:t>
      </w:r>
    </w:p>
    <w:p>
      <w:pPr>
        <w:spacing w:after="0" w:line="200" w:lineRule="exact"/>
        <w:rPr>
          <w:sz w:val="24"/>
          <w:szCs w:val="24"/>
          <w:color w:val="auto"/>
        </w:rPr>
      </w:pPr>
    </w:p>
    <w:p>
      <w:pPr>
        <w:sectPr>
          <w:pgSz w:w="11900" w:h="16838" w:orient="portrait"/>
          <w:cols w:equalWidth="0" w:num="2">
            <w:col w:w="6420" w:space="720"/>
            <w:col w:w="2800"/>
          </w:cols>
          <w:pgMar w:left="980" w:top="578" w:right="979" w:bottom="1440" w:gutter="0" w:footer="0" w:header="0"/>
          <w:type w:val="continuous"/>
        </w:sectPr>
      </w:pP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(617) 374-7580</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2360930</wp:posOffset>
            </wp:positionH>
            <wp:positionV relativeFrom="paragraph">
              <wp:posOffset>92710</wp:posOffset>
            </wp:positionV>
            <wp:extent cx="158242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2420" cy="1524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right="200" w:firstLine="578"/>
        <w:spacing w:after="0" w:line="283"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4" w:lineRule="exact"/>
        <w:rPr>
          <w:sz w:val="24"/>
          <w:szCs w:val="24"/>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6"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 w:lineRule="exact"/>
        <w:rPr>
          <w:rFonts w:ascii="MS PGothic" w:cs="MS PGothic" w:eastAsia="MS PGothic" w:hAnsi="MS PGothic"/>
          <w:sz w:val="16"/>
          <w:szCs w:val="16"/>
          <w:color w:val="auto"/>
        </w:rPr>
      </w:pPr>
    </w:p>
    <w:p>
      <w:pPr>
        <w:ind w:left="800" w:hanging="224"/>
        <w:spacing w:after="0"/>
        <w:tabs>
          <w:tab w:leader="none" w:pos="8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p>
      <w:pPr>
        <w:ind w:right="80" w:firstLine="578"/>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ind w:left="606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right="80" w:firstLine="578"/>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Securities registered pursuant to Section 12(b) of the Exchange Act:</w:t>
      </w:r>
    </w:p>
    <w:p>
      <w:pPr>
        <w:spacing w:after="0" w:line="126" w:lineRule="exact"/>
        <w:rPr>
          <w:sz w:val="24"/>
          <w:szCs w:val="24"/>
          <w:color w:val="auto"/>
        </w:rPr>
      </w:pPr>
    </w:p>
    <w:tbl>
      <w:tblPr>
        <w:tblLayout w:type="fixed"/>
        <w:tblInd w:w="10" w:type="dxa"/>
        <w:tblCellMar>
          <w:top w:w="0" w:type="dxa"/>
          <w:left w:w="0" w:type="dxa"/>
          <w:bottom w:w="0" w:type="dxa"/>
          <w:right w:w="0" w:type="dxa"/>
        </w:tblCellMar>
      </w:tblPr>
      <w:tr>
        <w:trPr>
          <w:trHeight w:val="235"/>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Trading symbol(s)</w:t>
            </w:r>
          </w:p>
        </w:tc>
        <w:tc>
          <w:tcPr>
            <w:tcW w:w="40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1"/>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$0.001 per share</w:t>
            </w:r>
          </w:p>
        </w:tc>
        <w:tc>
          <w:tcPr>
            <w:tcW w:w="2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BPMC</w:t>
            </w:r>
          </w:p>
        </w:tc>
        <w:tc>
          <w:tcPr>
            <w:tcW w:w="4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Nasdaq Global Select Market</w:t>
            </w:r>
          </w:p>
        </w:tc>
      </w:tr>
      <w:tr>
        <w:trPr>
          <w:trHeight w:val="508"/>
        </w:trPr>
        <w:tc>
          <w:tcPr>
            <w:tcW w:w="39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578" w:right="9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212529"/>
        </w:rPr>
        <w:t>Item 7.01 Regulation FD Disclosure.</w:t>
      </w:r>
    </w:p>
    <w:p>
      <w:pPr>
        <w:spacing w:after="0" w:line="203" w:lineRule="exact"/>
        <w:rPr>
          <w:sz w:val="20"/>
          <w:szCs w:val="20"/>
          <w:color w:val="auto"/>
        </w:rPr>
      </w:pPr>
    </w:p>
    <w:p>
      <w:pPr>
        <w:ind w:right="80" w:firstLine="578"/>
        <w:spacing w:after="0" w:line="267" w:lineRule="auto"/>
        <w:rPr>
          <w:sz w:val="20"/>
          <w:szCs w:val="20"/>
          <w:color w:val="auto"/>
        </w:rPr>
      </w:pPr>
      <w:r>
        <w:rPr>
          <w:rFonts w:ascii="Times New Roman" w:cs="Times New Roman" w:eastAsia="Times New Roman" w:hAnsi="Times New Roman"/>
          <w:sz w:val="16"/>
          <w:szCs w:val="16"/>
          <w:color w:val="212529"/>
        </w:rPr>
        <w:t>On September 22, 2020, Blueprint Medicines Corporation (the “Company”) is hosting an investor conference call and webcast to report top-line data from its Phase 1 EXPLORER and Phase 2 PATHFINDER clinical trials of AYVAKIT™ (avapritinib) in patients with advanced systemic mastocytosis. A copy of the presentation from the investor conference call and webcast is furnished as Exhibit 99.1 to this Current Report on Form 8-K.</w:t>
      </w:r>
    </w:p>
    <w:p>
      <w:pPr>
        <w:spacing w:after="0" w:line="156" w:lineRule="exact"/>
        <w:rPr>
          <w:sz w:val="20"/>
          <w:szCs w:val="20"/>
          <w:color w:val="auto"/>
        </w:rPr>
      </w:pPr>
    </w:p>
    <w:p>
      <w:pPr>
        <w:ind w:right="180" w:firstLine="578"/>
        <w:spacing w:after="0" w:line="262" w:lineRule="auto"/>
        <w:rPr>
          <w:sz w:val="20"/>
          <w:szCs w:val="20"/>
          <w:color w:val="auto"/>
        </w:rPr>
      </w:pPr>
      <w:r>
        <w:rPr>
          <w:rFonts w:ascii="Times New Roman" w:cs="Times New Roman" w:eastAsia="Times New Roman" w:hAnsi="Times New Roman"/>
          <w:sz w:val="16"/>
          <w:szCs w:val="16"/>
          <w:color w:val="212529"/>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212529"/>
        </w:rPr>
        <w:t>Item 8.01 Other Events.</w:t>
      </w:r>
    </w:p>
    <w:p>
      <w:pPr>
        <w:spacing w:after="0" w:line="203" w:lineRule="exact"/>
        <w:rPr>
          <w:sz w:val="20"/>
          <w:szCs w:val="20"/>
          <w:color w:val="auto"/>
        </w:rPr>
      </w:pPr>
    </w:p>
    <w:p>
      <w:pPr>
        <w:ind w:right="80" w:firstLine="578"/>
        <w:spacing w:after="0" w:line="267" w:lineRule="auto"/>
        <w:rPr>
          <w:sz w:val="20"/>
          <w:szCs w:val="20"/>
          <w:color w:val="auto"/>
        </w:rPr>
      </w:pPr>
      <w:r>
        <w:rPr>
          <w:rFonts w:ascii="Times New Roman" w:cs="Times New Roman" w:eastAsia="Times New Roman" w:hAnsi="Times New Roman"/>
          <w:sz w:val="16"/>
          <w:szCs w:val="16"/>
          <w:color w:val="212529"/>
        </w:rPr>
        <w:t>On September 22, 2020, the Company issued a press release announcing top-line data from its Phase 1 EXPLORER and Phase 2 PATHFINDER clinical trials of AYVAKIT in patients with advanced systemic mastocytosis. A copy of the press release is filed herewith as Exhibit 99.2 to this Current Report on Form 8-K and incorporated herein by reference.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 Exhibits.</w:t>
            </w:r>
          </w:p>
        </w:tc>
        <w:tc>
          <w:tcPr>
            <w:tcW w:w="8220" w:type="dxa"/>
            <w:vAlign w:val="bottom"/>
          </w:tcPr>
          <w:p>
            <w:pPr>
              <w:spacing w:after="0"/>
              <w:rPr>
                <w:sz w:val="18"/>
                <w:szCs w:val="18"/>
                <w:color w:val="auto"/>
              </w:rPr>
            </w:pPr>
          </w:p>
        </w:tc>
      </w:tr>
      <w:tr>
        <w:trPr>
          <w:trHeight w:val="397"/>
        </w:trPr>
        <w:tc>
          <w:tcPr>
            <w:tcW w:w="20" w:type="dxa"/>
            <w:vAlign w:val="bottom"/>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82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68"/>
        </w:trPr>
        <w:tc>
          <w:tcPr>
            <w:tcW w:w="20" w:type="dxa"/>
            <w:vAlign w:val="bottom"/>
          </w:tcPr>
          <w:p>
            <w:pPr>
              <w:spacing w:after="0"/>
              <w:rPr>
                <w:sz w:val="14"/>
                <w:szCs w:val="14"/>
                <w:color w:val="auto"/>
              </w:rPr>
            </w:pPr>
          </w:p>
        </w:tc>
        <w:tc>
          <w:tcPr>
            <w:tcW w:w="1420" w:type="dxa"/>
            <w:vAlign w:val="bottom"/>
            <w:tcBorders>
              <w:top w:val="single" w:sz="8" w:color="auto"/>
            </w:tcBorders>
          </w:tcPr>
          <w:p>
            <w:pPr>
              <w:ind w:left="80"/>
              <w:spacing w:after="0" w:line="168" w:lineRule="exact"/>
              <w:rPr>
                <w:sz w:val="20"/>
                <w:szCs w:val="20"/>
                <w:color w:val="auto"/>
              </w:rPr>
            </w:pPr>
            <w:r>
              <w:rPr>
                <w:rFonts w:ascii="Times New Roman" w:cs="Times New Roman" w:eastAsia="Times New Roman" w:hAnsi="Times New Roman"/>
                <w:sz w:val="16"/>
                <w:szCs w:val="16"/>
                <w:color w:val="auto"/>
              </w:rPr>
              <w:t>99.1</w:t>
            </w:r>
          </w:p>
        </w:tc>
        <w:tc>
          <w:tcPr>
            <w:tcW w:w="260" w:type="dxa"/>
            <w:vAlign w:val="bottom"/>
          </w:tcPr>
          <w:p>
            <w:pPr>
              <w:spacing w:after="0"/>
              <w:rPr>
                <w:sz w:val="14"/>
                <w:szCs w:val="14"/>
                <w:color w:val="auto"/>
              </w:rPr>
            </w:pPr>
          </w:p>
        </w:tc>
        <w:tc>
          <w:tcPr>
            <w:tcW w:w="8220" w:type="dxa"/>
            <w:vAlign w:val="bottom"/>
            <w:tcBorders>
              <w:top w:val="single" w:sz="8" w:color="auto"/>
            </w:tcBorders>
          </w:tcPr>
          <w:p>
            <w:pPr>
              <w:ind w:left="100"/>
              <w:spacing w:after="0" w:line="168" w:lineRule="exact"/>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Corporate slide presentation of Blueprint Medicines Corporation dated September 22, 2020</w:t>
              </w:r>
            </w:hyperlink>
          </w:p>
        </w:tc>
      </w:tr>
      <w:tr>
        <w:trPr>
          <w:trHeight w:val="193"/>
        </w:trPr>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99.2</w:t>
            </w:r>
          </w:p>
        </w:tc>
        <w:tc>
          <w:tcPr>
            <w:tcW w:w="260" w:type="dxa"/>
            <w:vAlign w:val="bottom"/>
          </w:tcPr>
          <w:p>
            <w:pPr>
              <w:spacing w:after="0"/>
              <w:rPr>
                <w:sz w:val="16"/>
                <w:szCs w:val="16"/>
                <w:color w:val="auto"/>
              </w:rPr>
            </w:pPr>
          </w:p>
        </w:tc>
        <w:tc>
          <w:tcPr>
            <w:tcW w:w="8220" w:type="dxa"/>
            <w:vAlign w:val="bottom"/>
          </w:tcPr>
          <w:p>
            <w:pPr>
              <w:ind w:left="100"/>
              <w:spacing w:after="0"/>
              <w:rPr>
                <w:rFonts w:ascii="Times New Roman" w:cs="Times New Roman" w:eastAsia="Times New Roman" w:hAnsi="Times New Roman"/>
                <w:sz w:val="16"/>
                <w:szCs w:val="16"/>
                <w:u w:val="single" w:color="auto"/>
                <w:color w:val="0000EE"/>
              </w:rPr>
            </w:pPr>
            <w:hyperlink w:anchor="page22">
              <w:r>
                <w:rPr>
                  <w:rFonts w:ascii="Times New Roman" w:cs="Times New Roman" w:eastAsia="Times New Roman" w:hAnsi="Times New Roman"/>
                  <w:sz w:val="16"/>
                  <w:szCs w:val="16"/>
                  <w:u w:val="single" w:color="auto"/>
                  <w:color w:val="0000EE"/>
                </w:rPr>
                <w:t>Press release issued by Blueprint Medicines Corporation on September 22, 2020</w:t>
              </w:r>
            </w:hyperlink>
          </w:p>
        </w:tc>
      </w:tr>
      <w:tr>
        <w:trPr>
          <w:trHeight w:val="209"/>
        </w:trPr>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104</w:t>
            </w:r>
          </w:p>
        </w:tc>
        <w:tc>
          <w:tcPr>
            <w:tcW w:w="260" w:type="dxa"/>
            <w:vAlign w:val="bottom"/>
          </w:tcPr>
          <w:p>
            <w:pPr>
              <w:spacing w:after="0"/>
              <w:rPr>
                <w:sz w:val="18"/>
                <w:szCs w:val="18"/>
                <w:color w:val="auto"/>
              </w:rPr>
            </w:pPr>
          </w:p>
        </w:tc>
        <w:tc>
          <w:tcPr>
            <w:tcW w:w="8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 and incorporated as Exhibit 101)</w:t>
            </w:r>
          </w:p>
        </w:tc>
      </w:tr>
      <w:tr>
        <w:trPr>
          <w:trHeight w:val="831"/>
        </w:trPr>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20" w:type="dxa"/>
            <w:vAlign w:val="bottom"/>
          </w:tcPr>
          <w:p>
            <w:pPr>
              <w:ind w:left="3220"/>
              <w:spacing w:after="0"/>
              <w:rPr>
                <w:sz w:val="20"/>
                <w:szCs w:val="20"/>
                <w:color w:val="auto"/>
              </w:rPr>
            </w:pPr>
            <w:r>
              <w:rPr>
                <w:rFonts w:ascii="Times New Roman" w:cs="Times New Roman" w:eastAsia="Times New Roman" w:hAnsi="Times New Roman"/>
                <w:sz w:val="16"/>
                <w:szCs w:val="16"/>
                <w:color w:val="auto"/>
              </w:rPr>
              <w:t>2</w:t>
            </w:r>
          </w:p>
        </w:tc>
      </w:tr>
      <w:tr>
        <w:trPr>
          <w:trHeight w:val="690"/>
        </w:trPr>
        <w:tc>
          <w:tcPr>
            <w:tcW w:w="2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410" w:right="99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3" w:lineRule="exact"/>
        <w:rPr>
          <w:sz w:val="20"/>
          <w:szCs w:val="20"/>
          <w:color w:val="auto"/>
        </w:rPr>
      </w:pPr>
    </w:p>
    <w:p>
      <w:pPr>
        <w:ind w:firstLine="578"/>
        <w:spacing w:after="0" w:line="28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6"/>
          <w:szCs w:val="16"/>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5640" w:val="left"/>
          <w:tab w:leader="none" w:pos="6020" w:val="left"/>
        </w:tabs>
        <w:rPr>
          <w:sz w:val="20"/>
          <w:szCs w:val="20"/>
          <w:color w:val="auto"/>
        </w:rPr>
      </w:pPr>
      <w:r>
        <w:rPr>
          <w:rFonts w:ascii="Times New Roman" w:cs="Times New Roman" w:eastAsia="Times New Roman" w:hAnsi="Times New Roman"/>
          <w:sz w:val="16"/>
          <w:szCs w:val="16"/>
          <w:color w:val="auto"/>
        </w:rPr>
        <w:t>Date: September 22, 2020</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3836035</wp:posOffset>
            </wp:positionH>
            <wp:positionV relativeFrom="paragraph">
              <wp:posOffset>15875</wp:posOffset>
            </wp:positionV>
            <wp:extent cx="246888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8880" cy="7620"/>
                    </a:xfrm>
                    <a:prstGeom prst="rect">
                      <a:avLst/>
                    </a:prstGeom>
                    <a:noFill/>
                  </pic:spPr>
                </pic:pic>
              </a:graphicData>
            </a:graphic>
          </wp:anchor>
        </w:drawing>
      </w:r>
    </w:p>
    <w:p>
      <w:pPr>
        <w:spacing w:after="0" w:line="4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Jeffrey W. Albers</w:t>
      </w:r>
    </w:p>
    <w:p>
      <w:pPr>
        <w:spacing w:after="0" w:line="3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443865</wp:posOffset>
            </wp:positionV>
            <wp:extent cx="6306185" cy="22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06185" cy="2286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ind w:left="93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-521970</wp:posOffset>
            </wp:positionH>
            <wp:positionV relativeFrom="paragraph">
              <wp:posOffset>460375</wp:posOffset>
            </wp:positionV>
            <wp:extent cx="6765290" cy="22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2871470</wp:posOffset>
            </wp:positionV>
            <wp:extent cx="6765290" cy="228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647065</wp:posOffset>
            </wp:positionV>
            <wp:extent cx="6765290"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960120</wp:posOffset>
            </wp:positionV>
            <wp:extent cx="6765290" cy="22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463550</wp:posOffset>
            </wp:positionV>
            <wp:extent cx="6765290" cy="228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1075055</wp:posOffset>
            </wp:positionV>
            <wp:extent cx="6765290" cy="228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738505</wp:posOffset>
            </wp:positionV>
            <wp:extent cx="6765290" cy="228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761365</wp:posOffset>
            </wp:positionV>
            <wp:extent cx="6765290" cy="2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669925</wp:posOffset>
            </wp:positionV>
            <wp:extent cx="6765290" cy="228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861060</wp:posOffset>
            </wp:positionV>
            <wp:extent cx="6765290" cy="228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891540</wp:posOffset>
            </wp:positionV>
            <wp:extent cx="6765290" cy="228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1014095</wp:posOffset>
            </wp:positionV>
            <wp:extent cx="6765290" cy="228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715645</wp:posOffset>
            </wp:positionV>
            <wp:extent cx="6765290" cy="228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463550</wp:posOffset>
            </wp:positionV>
            <wp:extent cx="6765290" cy="228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700405</wp:posOffset>
            </wp:positionV>
            <wp:extent cx="6765290" cy="228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784225</wp:posOffset>
            </wp:positionV>
            <wp:extent cx="6765290" cy="228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937260</wp:posOffset>
            </wp:positionV>
            <wp:extent cx="6765290" cy="228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391795</wp:posOffset>
            </wp:positionH>
            <wp:positionV relativeFrom="page">
              <wp:posOffset>486410</wp:posOffset>
            </wp:positionV>
            <wp:extent cx="6765290" cy="228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5290" cy="2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ind w:right="219"/>
        <w:spacing w:after="0"/>
        <w:rPr>
          <w:sz w:val="20"/>
          <w:szCs w:val="20"/>
          <w:color w:val="auto"/>
        </w:rPr>
      </w:pPr>
      <w:r>
        <w:rPr>
          <w:rFonts w:ascii="Arial" w:cs="Arial" w:eastAsia="Arial" w:hAnsi="Arial"/>
          <w:sz w:val="18"/>
          <w:szCs w:val="18"/>
          <w:color w:val="auto"/>
        </w:rPr>
        <w:t>Exhibit 99.2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Blueprint Medicines Announces Positive Top-line Results from EXPLORER and PATHFINDER Trials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of AYVAKIT™ (avapritinib) in Patients with Advanced Systemic Mastocytosis</w:t>
      </w:r>
    </w:p>
    <w:p>
      <w:pPr>
        <w:spacing w:after="0" w:line="183" w:lineRule="exact"/>
        <w:rPr>
          <w:sz w:val="20"/>
          <w:szCs w:val="20"/>
          <w:color w:val="auto"/>
        </w:rPr>
      </w:pPr>
    </w:p>
    <w:p>
      <w:pPr>
        <w:jc w:val="center"/>
        <w:ind w:left="200" w:right="219"/>
        <w:spacing w:after="0" w:line="314" w:lineRule="auto"/>
        <w:rPr>
          <w:sz w:val="20"/>
          <w:szCs w:val="20"/>
          <w:color w:val="auto"/>
        </w:rPr>
      </w:pPr>
      <w:r>
        <w:rPr>
          <w:rFonts w:ascii="Times New Roman" w:cs="Times New Roman" w:eastAsia="Times New Roman" w:hAnsi="Times New Roman"/>
          <w:sz w:val="16"/>
          <w:szCs w:val="16"/>
          <w:i w:val="1"/>
          <w:iCs w:val="1"/>
          <w:color w:val="auto"/>
        </w:rPr>
        <w:t>-- 76% confirmed ORR in EXPLORER, with a median duration of response of 38.3 months -- -- 75% confirmed ORR in PATHFINDER, with a median duration of response not reached -- -- AYVAKIT safety profile reinforced at 200 mg QD dose in advanced SM --</w:t>
      </w: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 Plan to submit supplemental new drug application to FDA for advanced SM in fourth quarter of 2020 --</w:t>
      </w:r>
    </w:p>
    <w:p>
      <w:pPr>
        <w:spacing w:after="0" w:line="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 Blueprint Medicines to host investor conference call today at 8:30 a.m. ET --</w:t>
      </w:r>
    </w:p>
    <w:p>
      <w:pPr>
        <w:spacing w:after="0" w:line="203" w:lineRule="exact"/>
        <w:rPr>
          <w:sz w:val="20"/>
          <w:szCs w:val="20"/>
          <w:color w:val="auto"/>
        </w:rPr>
      </w:pPr>
    </w:p>
    <w:p>
      <w:pPr>
        <w:ind w:left="200" w:right="259"/>
        <w:spacing w:after="0" w:line="255" w:lineRule="auto"/>
        <w:rPr>
          <w:sz w:val="20"/>
          <w:szCs w:val="20"/>
          <w:color w:val="auto"/>
        </w:rPr>
      </w:pPr>
      <w:r>
        <w:rPr>
          <w:rFonts w:ascii="Times New Roman" w:cs="Times New Roman" w:eastAsia="Times New Roman" w:hAnsi="Times New Roman"/>
          <w:sz w:val="16"/>
          <w:szCs w:val="16"/>
          <w:color w:val="auto"/>
        </w:rPr>
        <w:t>CAMBRIDGE, Mass., September 22, 2020 – Blueprint Medicines Corporation (NASDAQ: BPMC), a precision therapy company focused on genomically defined cancers, rare diseases and cancer immunotherapy, today announced positive top-line results from the Phase 1 EXPLORER and Phase 2 PATHFINDER clinical trials of AYVAKIT™ (avapritinib) in patients with advanced systemic mastocytosis (SM). Consistent with previously reported EXPLORER trial results, the registrational data for AYVAKIT showed profound reductions in mast cell burden, high overall response and complete remission rates, and durable clinical benefit, including prolonged median overall survival (OS). AYVAKIT was generally well-tolerated, with an improved safety profile at the 200 mg once daily (QD) dose. Based on these data, Blueprint Medicines plans to submit a supplemental new drug application (sNDA) to the U.S. Food and Drug Administration (FDA) for AYVAKIT for the treatment of advanced SM in the fourth quarter of 2020.</w:t>
      </w:r>
    </w:p>
    <w:p>
      <w:pPr>
        <w:spacing w:after="0" w:line="170" w:lineRule="exact"/>
        <w:rPr>
          <w:sz w:val="20"/>
          <w:szCs w:val="20"/>
          <w:color w:val="auto"/>
        </w:rPr>
      </w:pPr>
    </w:p>
    <w:p>
      <w:pPr>
        <w:ind w:left="200" w:right="359"/>
        <w:spacing w:after="0" w:line="259" w:lineRule="auto"/>
        <w:rPr>
          <w:sz w:val="20"/>
          <w:szCs w:val="20"/>
          <w:color w:val="auto"/>
        </w:rPr>
      </w:pPr>
      <w:r>
        <w:rPr>
          <w:rFonts w:ascii="Times New Roman" w:cs="Times New Roman" w:eastAsia="Times New Roman" w:hAnsi="Times New Roman"/>
          <w:sz w:val="16"/>
          <w:szCs w:val="16"/>
          <w:color w:val="auto"/>
        </w:rPr>
        <w:t>SM is a rare, debilitating disease driven by the KIT D816V mutation in nearly all patients. Uncontrolled mast cell proliferation and activation may lead to life-threatening complications across the SM patient population. In advanced SM subtypes, the median OS is approximately 3.5 years in aggressive SM (ASM), approximately two years in SM with an associated hematologic neoplasm (SM-AHN) and less than six months in mast cell leukemia (MCL). AYVAKIT, an investigational precision therapy for the treatment of SM, is the only highly potent KIT D816V inhibitor that has been clinically validated in SM.</w:t>
      </w:r>
    </w:p>
    <w:p>
      <w:pPr>
        <w:spacing w:after="0" w:line="163" w:lineRule="exact"/>
        <w:rPr>
          <w:sz w:val="20"/>
          <w:szCs w:val="20"/>
          <w:color w:val="auto"/>
        </w:rPr>
      </w:pPr>
    </w:p>
    <w:p>
      <w:pPr>
        <w:ind w:left="200" w:right="319"/>
        <w:spacing w:after="0" w:line="257" w:lineRule="auto"/>
        <w:rPr>
          <w:sz w:val="20"/>
          <w:szCs w:val="20"/>
          <w:color w:val="auto"/>
        </w:rPr>
      </w:pPr>
      <w:r>
        <w:rPr>
          <w:rFonts w:ascii="Times New Roman" w:cs="Times New Roman" w:eastAsia="Times New Roman" w:hAnsi="Times New Roman"/>
          <w:sz w:val="16"/>
          <w:szCs w:val="16"/>
          <w:color w:val="auto"/>
        </w:rPr>
        <w:t>“New treatment options are urgently needed to address mast cell infiltration associated with advanced systemic mastocytosis, which often leads to extensive organ damage and poor survival despite existing therapeutic interventions,” said Andy Boral, M.D., Ph.D., Chief Medical Officer at Blueprint Medicines. “These top-line data underscore the transformative impact shown by AYVAKIT, with patients achieving profound reductions in mast cell burden, durable responses that deepen over time and prolonged overall survival relative to historical outcomes. Based on these positive results, we aim to rapidly bring this promising treatment to patients, with the goal of improving and extending their lives beyond what is possible with currently available therapy.”</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Top-line EXPLORER and PATHFINDER Trial Data</w:t>
      </w:r>
    </w:p>
    <w:p>
      <w:pPr>
        <w:spacing w:after="0" w:line="203" w:lineRule="exact"/>
        <w:rPr>
          <w:sz w:val="20"/>
          <w:szCs w:val="20"/>
          <w:color w:val="auto"/>
        </w:rPr>
      </w:pPr>
    </w:p>
    <w:p>
      <w:pPr>
        <w:ind w:left="200" w:right="279"/>
        <w:spacing w:after="0" w:line="258" w:lineRule="auto"/>
        <w:rPr>
          <w:sz w:val="20"/>
          <w:szCs w:val="20"/>
          <w:color w:val="auto"/>
        </w:rPr>
      </w:pPr>
      <w:r>
        <w:rPr>
          <w:rFonts w:ascii="Times New Roman" w:cs="Times New Roman" w:eastAsia="Times New Roman" w:hAnsi="Times New Roman"/>
          <w:sz w:val="16"/>
          <w:szCs w:val="16"/>
          <w:color w:val="auto"/>
        </w:rPr>
        <w:t>Across both trials, 85 patients were evaluable for response per the modified IWG-MRT-ECNM criteria (IWG criteria), including 44 patients treated with a starting dose of 200 mg QD. Top-line results are being reported as of a data cutoff date of May 27, 2020 in the EXPLORER trial and a data cutoff date of June 23, 2020 in the PATHFINDER trial,</w:t>
      </w:r>
    </w:p>
    <w:p>
      <w:pPr>
        <w:spacing w:after="0" w:line="1" w:lineRule="exact"/>
        <w:rPr>
          <w:sz w:val="20"/>
          <w:szCs w:val="20"/>
          <w:color w:val="auto"/>
        </w:rPr>
      </w:pPr>
    </w:p>
    <w:p>
      <w:pPr>
        <w:ind w:left="200" w:right="239"/>
        <w:spacing w:after="0" w:line="256" w:lineRule="auto"/>
        <w:rPr>
          <w:sz w:val="20"/>
          <w:szCs w:val="20"/>
          <w:color w:val="auto"/>
        </w:rPr>
      </w:pPr>
      <w:r>
        <w:rPr>
          <w:rFonts w:ascii="Times New Roman" w:cs="Times New Roman" w:eastAsia="Times New Roman" w:hAnsi="Times New Roman"/>
          <w:sz w:val="16"/>
          <w:szCs w:val="16"/>
          <w:color w:val="auto"/>
        </w:rPr>
        <w:t>with response assessments per central review completed in September 2020. Registrational endpoints are overall response rate (ORR) and duration of response (DOR), based on central review. ORR was defined as complete remission with full or partial recovery of peripheral blood counts (CR/CRh), partial remission or clinical improvement. All reported clinical responses were confirmed.</w:t>
      </w:r>
    </w:p>
    <w:p>
      <w:pPr>
        <w:spacing w:after="0" w:line="165" w:lineRule="exact"/>
        <w:rPr>
          <w:sz w:val="20"/>
          <w:szCs w:val="20"/>
          <w:color w:val="auto"/>
        </w:rPr>
      </w:pPr>
    </w:p>
    <w:p>
      <w:pPr>
        <w:jc w:val="both"/>
        <w:ind w:left="200" w:right="459"/>
        <w:spacing w:after="0" w:line="267" w:lineRule="auto"/>
        <w:rPr>
          <w:sz w:val="20"/>
          <w:szCs w:val="20"/>
          <w:color w:val="auto"/>
        </w:rPr>
      </w:pPr>
      <w:r>
        <w:rPr>
          <w:rFonts w:ascii="Times New Roman" w:cs="Times New Roman" w:eastAsia="Times New Roman" w:hAnsi="Times New Roman"/>
          <w:sz w:val="16"/>
          <w:szCs w:val="16"/>
          <w:color w:val="auto"/>
        </w:rPr>
        <w:t>In the EXPLORER trial, 53 patients were response evaluable, with a median follow-up of 27.3 months. In EXPLORER, the ORR was 76 percent (95% CI: 62%, 86%), and 36 percent of patients had a CR/CRh. The median DOR was 38.3 months (95% CI: 21.7 months, not estimable). The median OS was not estimable (95% CI: 46.9 months, not estimable).</w:t>
      </w:r>
    </w:p>
    <w:p>
      <w:pPr>
        <w:spacing w:after="0" w:line="156" w:lineRule="exact"/>
        <w:rPr>
          <w:sz w:val="20"/>
          <w:szCs w:val="20"/>
          <w:color w:val="auto"/>
        </w:rPr>
      </w:pPr>
    </w:p>
    <w:p>
      <w:pPr>
        <w:ind w:left="200" w:right="319"/>
        <w:spacing w:after="0" w:line="267" w:lineRule="auto"/>
        <w:rPr>
          <w:sz w:val="20"/>
          <w:szCs w:val="20"/>
          <w:color w:val="auto"/>
        </w:rPr>
      </w:pPr>
      <w:r>
        <w:rPr>
          <w:rFonts w:ascii="Times New Roman" w:cs="Times New Roman" w:eastAsia="Times New Roman" w:hAnsi="Times New Roman"/>
          <w:sz w:val="16"/>
          <w:szCs w:val="16"/>
          <w:color w:val="auto"/>
        </w:rPr>
        <w:t>In a pre-specified interim analysis from the PATHFINDER trial, 32 patients were response evaluable, with a median follow-up of 10.4 months. The ORR was 75 percent (95% CI: 57%, 89%), and 19 percent of patients had a CR/CRh. In addition, the data showed that responses are continuing to deepen over time, at a rate consistent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293370</wp:posOffset>
            </wp:positionV>
            <wp:extent cx="5465445" cy="2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65445" cy="22860"/>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200" w:right="399"/>
        <w:spacing w:after="0" w:line="262" w:lineRule="auto"/>
        <w:rPr>
          <w:sz w:val="20"/>
          <w:szCs w:val="20"/>
          <w:color w:val="auto"/>
        </w:rPr>
      </w:pPr>
      <w:r>
        <w:rPr>
          <w:rFonts w:ascii="Times New Roman" w:cs="Times New Roman" w:eastAsia="Times New Roman" w:hAnsi="Times New Roman"/>
          <w:sz w:val="16"/>
          <w:szCs w:val="16"/>
          <w:color w:val="auto"/>
        </w:rPr>
        <w:t>EXPLORER trial. The median DOR was not estimable (95% CI: not estimable, not estimable), and OS was not assessed due to the length of time patients have been enrolled in PATHFINDER. The top-line PATHFINDER results were based on a pre-planned analysis designed to assess the superiority of AYVAKIT versus the ORR per IWG criteria previously reported for the multi-kinase inhibitor midostaurin. The interim analysis achieved its primary endpoint with a p-value of p=0.0000000016.</w:t>
      </w:r>
    </w:p>
    <w:p>
      <w:pPr>
        <w:spacing w:after="0" w:line="160" w:lineRule="exact"/>
        <w:rPr>
          <w:sz w:val="20"/>
          <w:szCs w:val="20"/>
          <w:color w:val="auto"/>
        </w:rPr>
      </w:pPr>
    </w:p>
    <w:p>
      <w:pPr>
        <w:ind w:left="200" w:right="299"/>
        <w:spacing w:after="0" w:line="283" w:lineRule="auto"/>
        <w:rPr>
          <w:sz w:val="20"/>
          <w:szCs w:val="20"/>
          <w:color w:val="auto"/>
        </w:rPr>
      </w:pPr>
      <w:r>
        <w:rPr>
          <w:rFonts w:ascii="Times New Roman" w:cs="Times New Roman" w:eastAsia="Times New Roman" w:hAnsi="Times New Roman"/>
          <w:sz w:val="16"/>
          <w:szCs w:val="16"/>
          <w:color w:val="auto"/>
        </w:rPr>
        <w:t>In a pooled efficacy analysis from the 200 mg QD dose group, 44 patients were response evaluable, with a median follow-up of 10.4 months. In this group, the ORR was 68 percent, and 18 percent of patients had a CR/CRh.</w:t>
      </w:r>
    </w:p>
    <w:p>
      <w:pPr>
        <w:spacing w:after="0" w:line="144" w:lineRule="exact"/>
        <w:rPr>
          <w:sz w:val="20"/>
          <w:szCs w:val="20"/>
          <w:color w:val="auto"/>
        </w:rPr>
      </w:pPr>
    </w:p>
    <w:p>
      <w:pPr>
        <w:ind w:left="200" w:right="259"/>
        <w:spacing w:after="0" w:line="262" w:lineRule="auto"/>
        <w:rPr>
          <w:sz w:val="20"/>
          <w:szCs w:val="20"/>
          <w:color w:val="auto"/>
        </w:rPr>
      </w:pPr>
      <w:r>
        <w:rPr>
          <w:rFonts w:ascii="Times New Roman" w:cs="Times New Roman" w:eastAsia="Times New Roman" w:hAnsi="Times New Roman"/>
          <w:sz w:val="16"/>
          <w:szCs w:val="16"/>
          <w:color w:val="auto"/>
        </w:rPr>
        <w:t>Safety data were consistent with previously reported results, and no new signals were observed. AYVAKIT was generally well-tolerated with most adverse events (AEs) reported as Grade 1 or 2. In the EXPLORER and PATHFINDER trials, AYVAKIT demonstrated improved tolerability at a starting dose of 200 mg QD, compared to all doses. Across both trials, 8.1 percent of patients discontinued AYVAKIT due to treatment-related AEs.</w:t>
      </w:r>
    </w:p>
    <w:p>
      <w:pPr>
        <w:spacing w:after="0" w:line="160" w:lineRule="exact"/>
        <w:rPr>
          <w:sz w:val="20"/>
          <w:szCs w:val="20"/>
          <w:color w:val="auto"/>
        </w:rPr>
      </w:pPr>
    </w:p>
    <w:p>
      <w:pPr>
        <w:ind w:left="200" w:right="219"/>
        <w:spacing w:after="0" w:line="255" w:lineRule="auto"/>
        <w:rPr>
          <w:sz w:val="20"/>
          <w:szCs w:val="20"/>
          <w:color w:val="auto"/>
        </w:rPr>
      </w:pPr>
      <w:r>
        <w:rPr>
          <w:rFonts w:ascii="Times New Roman" w:cs="Times New Roman" w:eastAsia="Times New Roman" w:hAnsi="Times New Roman"/>
          <w:sz w:val="16"/>
          <w:szCs w:val="16"/>
          <w:color w:val="auto"/>
        </w:rPr>
        <w:t>Previously reported results from the EXPLORER trial showed that pre-existing severe thrombocytopenia, which occurs in approximately 10 to 15 percent of advanced SM patients based on Blueprint Medicines estimates, and starting doses of 300 mg QD or higher were risk factors for intracranial bleeding (ICB). Based on these data, Blueprint Medicines implemented treatment management guidelines in the EXPLORER and PATHFINDER trials, including exclusion criteria for pre-existing severe thrombocytopenia, routine platelet monitoring and dose interruption guidelines for emergent severe thrombocytopenia. In 76 EXPLORER and PATHFINDER trial patients without pre-existing severe thrombocytopenia treated at the 200 mg QD dose, two patients (2.6 percent) had ICB events. Both AEs were Grade 1 and asymptomatic. These safety data validate the clinical impact of the treatment management guidelines.</w:t>
      </w:r>
    </w:p>
    <w:p>
      <w:pPr>
        <w:spacing w:after="0" w:line="17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Blueprint Medicines plans to present detailed results from the EXPLORER and PATHFINDER trials at a future medical meeting.</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Conference Call Information</w:t>
      </w:r>
    </w:p>
    <w:p>
      <w:pPr>
        <w:spacing w:after="0" w:line="203" w:lineRule="exact"/>
        <w:rPr>
          <w:sz w:val="20"/>
          <w:szCs w:val="20"/>
          <w:color w:val="auto"/>
        </w:rPr>
      </w:pPr>
    </w:p>
    <w:p>
      <w:pPr>
        <w:ind w:left="200" w:right="219"/>
        <w:spacing w:after="0" w:line="259" w:lineRule="auto"/>
        <w:rPr>
          <w:sz w:val="20"/>
          <w:szCs w:val="20"/>
          <w:color w:val="auto"/>
        </w:rPr>
      </w:pPr>
      <w:r>
        <w:rPr>
          <w:rFonts w:ascii="Times New Roman" w:cs="Times New Roman" w:eastAsia="Times New Roman" w:hAnsi="Times New Roman"/>
          <w:sz w:val="16"/>
          <w:szCs w:val="16"/>
          <w:color w:val="auto"/>
        </w:rPr>
        <w:t>Blueprint Medicines will host a live webcast today beginning at 8:30 a.m. ET to discuss the top-line results of AYVAKIT in advanced SM. To access the live call, please dial (855) 728-4793 (domestic) or (503) 343-6666 (international) and refer to conference ID 5338896. A webcast of the conference call will be available under “Events and Presentations” in the Investors &amp; Media section of Blueprint Medicines’ website at http://ir.blueprintmedicines.com. The archived webcast will be available on Blueprint Medicines’ website approximately two hours after the conference call and will be available for 30 days following the call.</w:t>
      </w:r>
    </w:p>
    <w:p>
      <w:pPr>
        <w:spacing w:after="0" w:line="16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About SM</w:t>
      </w:r>
    </w:p>
    <w:p>
      <w:pPr>
        <w:spacing w:after="0" w:line="203" w:lineRule="exact"/>
        <w:rPr>
          <w:sz w:val="20"/>
          <w:szCs w:val="20"/>
          <w:color w:val="auto"/>
        </w:rPr>
      </w:pPr>
    </w:p>
    <w:p>
      <w:pPr>
        <w:ind w:left="200" w:right="219"/>
        <w:spacing w:after="0" w:line="259" w:lineRule="auto"/>
        <w:rPr>
          <w:sz w:val="20"/>
          <w:szCs w:val="20"/>
          <w:color w:val="auto"/>
        </w:rPr>
      </w:pPr>
      <w:r>
        <w:rPr>
          <w:rFonts w:ascii="Times New Roman" w:cs="Times New Roman" w:eastAsia="Times New Roman" w:hAnsi="Times New Roman"/>
          <w:sz w:val="16"/>
          <w:szCs w:val="16"/>
          <w:color w:val="auto"/>
        </w:rPr>
        <w:t>SM is a rare disease driven by the KIT D816V mutation. Uncontrolled proliferation and activation of mast cells result in chronic, severe and often unpredictable symptoms for patients across the spectrum of SM. The vast majority of those affected have non-advanced (indolent or smoldering) SM, with debilitating symptoms that lead to a profound, negative impact on quality of life. A minority of patients have advanced SM, which encompasses a group of high-risk SM subtypes including ASM, SM-AHN and MCL. In addition to mast cell activation symptoms, advanced SM is associated with organ damage due to mast cell infiltration and poor OS.</w:t>
      </w:r>
    </w:p>
    <w:p>
      <w:pPr>
        <w:spacing w:after="0" w:line="163" w:lineRule="exact"/>
        <w:rPr>
          <w:sz w:val="20"/>
          <w:szCs w:val="20"/>
          <w:color w:val="auto"/>
        </w:rPr>
      </w:pPr>
    </w:p>
    <w:p>
      <w:pPr>
        <w:ind w:left="200" w:right="419"/>
        <w:spacing w:after="0" w:line="267" w:lineRule="auto"/>
        <w:rPr>
          <w:sz w:val="20"/>
          <w:szCs w:val="20"/>
          <w:color w:val="auto"/>
        </w:rPr>
      </w:pPr>
      <w:r>
        <w:rPr>
          <w:rFonts w:ascii="Times New Roman" w:cs="Times New Roman" w:eastAsia="Times New Roman" w:hAnsi="Times New Roman"/>
          <w:sz w:val="16"/>
          <w:szCs w:val="16"/>
          <w:color w:val="auto"/>
        </w:rPr>
        <w:t>Debilitating symptoms associated with SM, including anaphylaxis, maculopapular rash, pruritis, brain fog, fatigue and bone pain, often persist despite treatment with a number of symptomatic therapies. Patients often live in fear of attacks, have limited ability to work or perform daily activities, or isolate themselves to protect against unpredictable triggers.</w:t>
      </w:r>
    </w:p>
    <w:p>
      <w:pPr>
        <w:spacing w:after="0" w:line="156" w:lineRule="exact"/>
        <w:rPr>
          <w:sz w:val="20"/>
          <w:szCs w:val="20"/>
          <w:color w:val="auto"/>
        </w:rPr>
      </w:pPr>
    </w:p>
    <w:p>
      <w:pPr>
        <w:ind w:left="200" w:right="439"/>
        <w:spacing w:after="0" w:line="267" w:lineRule="auto"/>
        <w:rPr>
          <w:sz w:val="20"/>
          <w:szCs w:val="20"/>
          <w:color w:val="auto"/>
        </w:rPr>
      </w:pPr>
      <w:r>
        <w:rPr>
          <w:rFonts w:ascii="Times New Roman" w:cs="Times New Roman" w:eastAsia="Times New Roman" w:hAnsi="Times New Roman"/>
          <w:sz w:val="16"/>
          <w:szCs w:val="16"/>
          <w:color w:val="auto"/>
        </w:rPr>
        <w:t>Currently, there are no approved therapies that selectively inhibit D816V mutant KIT. A multi-kinase inhibitor, midostaurin, is approved for the treatment of advanced SM and has shown an ORR of 28 percent per IWG criteria, with ORR defined as complete remission, partial remission or clinical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407670</wp:posOffset>
            </wp:positionV>
            <wp:extent cx="5465445" cy="228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65445" cy="2286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3" w:name="page24"/>
    <w:bookmarkEnd w:id="23"/>
    <w:p>
      <w:pPr>
        <w:ind w:left="200"/>
        <w:spacing w:after="0"/>
        <w:rPr>
          <w:sz w:val="20"/>
          <w:szCs w:val="20"/>
          <w:color w:val="auto"/>
        </w:rPr>
      </w:pPr>
      <w:r>
        <w:rPr>
          <w:rFonts w:ascii="Times New Roman" w:cs="Times New Roman" w:eastAsia="Times New Roman" w:hAnsi="Times New Roman"/>
          <w:sz w:val="16"/>
          <w:szCs w:val="16"/>
          <w:b w:val="1"/>
          <w:bCs w:val="1"/>
          <w:color w:val="auto"/>
        </w:rPr>
        <w:t>About AYVAKIT (avapritinib)</w:t>
      </w:r>
    </w:p>
    <w:p>
      <w:pPr>
        <w:spacing w:after="0" w:line="203" w:lineRule="exact"/>
        <w:rPr>
          <w:sz w:val="20"/>
          <w:szCs w:val="20"/>
          <w:color w:val="auto"/>
        </w:rPr>
      </w:pPr>
    </w:p>
    <w:p>
      <w:pPr>
        <w:ind w:left="200" w:right="559"/>
        <w:spacing w:after="0" w:line="267" w:lineRule="auto"/>
        <w:rPr>
          <w:sz w:val="20"/>
          <w:szCs w:val="20"/>
          <w:color w:val="auto"/>
        </w:rPr>
      </w:pPr>
      <w:r>
        <w:rPr>
          <w:rFonts w:ascii="Times New Roman" w:cs="Times New Roman" w:eastAsia="Times New Roman" w:hAnsi="Times New Roman"/>
          <w:sz w:val="16"/>
          <w:szCs w:val="16"/>
          <w:color w:val="auto"/>
        </w:rPr>
        <w:t>AYVAKIT (avapritinib) is a kinase inhibitor approved by the FDA for the treatment of adults with unresectable or metastatic gastrointestinal stromal tumor (GIST) harboring a PDGFRA exon 18 mutation, including PDGFRA D842V mutations. For more information, visit www.AYVAKIT.com.</w:t>
      </w:r>
    </w:p>
    <w:p>
      <w:pPr>
        <w:spacing w:after="0" w:line="156" w:lineRule="exact"/>
        <w:rPr>
          <w:sz w:val="20"/>
          <w:szCs w:val="20"/>
          <w:color w:val="auto"/>
        </w:rPr>
      </w:pPr>
    </w:p>
    <w:p>
      <w:pPr>
        <w:ind w:left="200" w:right="439"/>
        <w:spacing w:after="0" w:line="283" w:lineRule="auto"/>
        <w:rPr>
          <w:sz w:val="20"/>
          <w:szCs w:val="20"/>
          <w:color w:val="auto"/>
        </w:rPr>
      </w:pPr>
      <w:r>
        <w:rPr>
          <w:rFonts w:ascii="Times New Roman" w:cs="Times New Roman" w:eastAsia="Times New Roman" w:hAnsi="Times New Roman"/>
          <w:sz w:val="16"/>
          <w:szCs w:val="16"/>
          <w:color w:val="auto"/>
        </w:rPr>
        <w:t>AYVAKIT is not approved for the treatment of any other indication, including SM, in the U.S. by the FDA or for any indication in any other jurisdiction by any other health authority.</w:t>
      </w:r>
    </w:p>
    <w:p>
      <w:pPr>
        <w:spacing w:after="0" w:line="144" w:lineRule="exact"/>
        <w:rPr>
          <w:sz w:val="20"/>
          <w:szCs w:val="20"/>
          <w:color w:val="auto"/>
        </w:rPr>
      </w:pPr>
    </w:p>
    <w:p>
      <w:pPr>
        <w:ind w:left="200" w:right="499"/>
        <w:spacing w:after="0" w:line="267" w:lineRule="auto"/>
        <w:rPr>
          <w:sz w:val="20"/>
          <w:szCs w:val="20"/>
          <w:color w:val="auto"/>
        </w:rPr>
      </w:pPr>
      <w:r>
        <w:rPr>
          <w:rFonts w:ascii="Times New Roman" w:cs="Times New Roman" w:eastAsia="Times New Roman" w:hAnsi="Times New Roman"/>
          <w:sz w:val="16"/>
          <w:szCs w:val="16"/>
          <w:color w:val="auto"/>
        </w:rPr>
        <w:t>Blueprint Medicines is developing AYVAKIT globally for the treatment of advanced and indolent SM. The FDA granted breakthrough therapy designation to AYVAKIT for the treatment of advanced SM, including the subtypes of ASM, SM-AHN and MCL.</w:t>
      </w:r>
    </w:p>
    <w:p>
      <w:pPr>
        <w:spacing w:after="0" w:line="156" w:lineRule="exact"/>
        <w:rPr>
          <w:sz w:val="20"/>
          <w:szCs w:val="20"/>
          <w:color w:val="auto"/>
        </w:rPr>
      </w:pPr>
    </w:p>
    <w:p>
      <w:pPr>
        <w:ind w:left="200" w:right="339"/>
        <w:spacing w:after="0" w:line="267" w:lineRule="auto"/>
        <w:rPr>
          <w:sz w:val="20"/>
          <w:szCs w:val="20"/>
          <w:color w:val="auto"/>
        </w:rPr>
      </w:pPr>
      <w:r>
        <w:rPr>
          <w:rFonts w:ascii="Times New Roman" w:cs="Times New Roman" w:eastAsia="Times New Roman" w:hAnsi="Times New Roman"/>
          <w:sz w:val="16"/>
          <w:szCs w:val="16"/>
          <w:color w:val="auto"/>
        </w:rPr>
        <w:t>Blueprint Medicines has an exclusive collaboration and license agreement with CStone Pharmaceuticals for the development and commercialization of AYVAKIT in Mainland China, Hong Kong, Macau and Taiwan. Blueprint Medicines retains development and commercial rights for AYVAKIT in the rest of the world.</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About the Clinical Development Program for AYVAKIT in Advanced SM</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AYVAKIT is currently being evaluated in two ongoing, registrational clinical trials for advanced SM: the EXPLORER trial</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(ClinicalTrials.gov Identifier: NCT02561988) and the PATHFINDER trial (ClinicalTrials.gov Identifier: NCT03580655).</w:t>
      </w:r>
    </w:p>
    <w:p>
      <w:pPr>
        <w:spacing w:after="0" w:line="185" w:lineRule="exact"/>
        <w:rPr>
          <w:sz w:val="20"/>
          <w:szCs w:val="20"/>
          <w:color w:val="auto"/>
        </w:rPr>
      </w:pPr>
    </w:p>
    <w:p>
      <w:pPr>
        <w:ind w:left="200" w:right="259"/>
        <w:spacing w:after="0" w:line="267" w:lineRule="auto"/>
        <w:rPr>
          <w:sz w:val="20"/>
          <w:szCs w:val="20"/>
          <w:color w:val="auto"/>
        </w:rPr>
      </w:pPr>
      <w:r>
        <w:rPr>
          <w:rFonts w:ascii="Times New Roman" w:cs="Times New Roman" w:eastAsia="Times New Roman" w:hAnsi="Times New Roman"/>
          <w:sz w:val="16"/>
          <w:szCs w:val="16"/>
          <w:color w:val="auto"/>
        </w:rPr>
        <w:t>The EXPLORER trial is an open-label, single-arm trial designed to identify the recommended Phase 2 dose and demonstrate proof-of-concept in patients with advanced SM. Key trial endpoints include ORR, DOR, quantitative measures of mast cell burden, patient-reported outcomes and safety. The EXPLORER trial has completed patient enrollment.</w:t>
      </w:r>
    </w:p>
    <w:p>
      <w:pPr>
        <w:spacing w:after="0" w:line="156" w:lineRule="exact"/>
        <w:rPr>
          <w:sz w:val="20"/>
          <w:szCs w:val="20"/>
          <w:color w:val="auto"/>
        </w:rPr>
      </w:pPr>
    </w:p>
    <w:p>
      <w:pPr>
        <w:ind w:left="200" w:right="259"/>
        <w:spacing w:after="0" w:line="267" w:lineRule="auto"/>
        <w:rPr>
          <w:sz w:val="20"/>
          <w:szCs w:val="20"/>
          <w:color w:val="auto"/>
        </w:rPr>
      </w:pPr>
      <w:r>
        <w:rPr>
          <w:rFonts w:ascii="Times New Roman" w:cs="Times New Roman" w:eastAsia="Times New Roman" w:hAnsi="Times New Roman"/>
          <w:sz w:val="16"/>
          <w:szCs w:val="16"/>
          <w:color w:val="auto"/>
        </w:rPr>
        <w:t>The PATHFINDER trial is an open-label, single-arm registration-enabling trial designed to confirm the clinical activity of AYVAKIT in patients with advanced SM. Key trial endpoints include ORR, DOR, quantitative measures of mast cell burden, patient-reported outcomes and safety. Patient enrollment is ongoing in the PATHFINDER trial.</w:t>
      </w:r>
    </w:p>
    <w:p>
      <w:pPr>
        <w:spacing w:after="0" w:line="156" w:lineRule="exact"/>
        <w:rPr>
          <w:sz w:val="20"/>
          <w:szCs w:val="20"/>
          <w:color w:val="auto"/>
        </w:rPr>
      </w:pPr>
    </w:p>
    <w:p>
      <w:pPr>
        <w:ind w:left="200" w:right="339"/>
        <w:spacing w:after="0" w:line="267" w:lineRule="auto"/>
        <w:rPr>
          <w:sz w:val="20"/>
          <w:szCs w:val="20"/>
          <w:color w:val="auto"/>
        </w:rPr>
      </w:pPr>
      <w:r>
        <w:rPr>
          <w:rFonts w:ascii="Times New Roman" w:cs="Times New Roman" w:eastAsia="Times New Roman" w:hAnsi="Times New Roman"/>
          <w:sz w:val="16"/>
          <w:szCs w:val="16"/>
          <w:color w:val="auto"/>
        </w:rPr>
        <w:t>Patients and physicians interested in SM clinical trials can contact the Blueprint Medicines study director at medinfo@blueprintmedicines.com or 1-888-BLU-PRNT (1-888-258-7768) in the U.S., or medinfoeurope@blueprintmedicines.com or +31 85 064 4001 in Europe. Additional information is available at www.BlueprintClinicalTrials.com and www.clinicaltrials.gov.</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About Blueprint Medicines</w:t>
      </w:r>
    </w:p>
    <w:p>
      <w:pPr>
        <w:spacing w:after="0" w:line="203" w:lineRule="exact"/>
        <w:rPr>
          <w:sz w:val="20"/>
          <w:szCs w:val="20"/>
          <w:color w:val="auto"/>
        </w:rPr>
      </w:pPr>
    </w:p>
    <w:p>
      <w:pPr>
        <w:ind w:left="200" w:right="279"/>
        <w:spacing w:after="0" w:line="257" w:lineRule="auto"/>
        <w:rPr>
          <w:sz w:val="20"/>
          <w:szCs w:val="20"/>
          <w:color w:val="auto"/>
        </w:rPr>
      </w:pPr>
      <w:r>
        <w:rPr>
          <w:rFonts w:ascii="Times New Roman" w:cs="Times New Roman" w:eastAsia="Times New Roman" w:hAnsi="Times New Roman"/>
          <w:sz w:val="16"/>
          <w:szCs w:val="16"/>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two FDA-approved precision therapies and are currently advancing multiple investigational medicines in clinical development, along with a number of research programs. For more information, visit </w:t>
      </w:r>
      <w:r>
        <w:rPr>
          <w:rFonts w:ascii="Times New Roman" w:cs="Times New Roman" w:eastAsia="Times New Roman" w:hAnsi="Times New Roman"/>
          <w:sz w:val="16"/>
          <w:szCs w:val="16"/>
          <w:color w:val="auto"/>
          <w:highlight w:val="white"/>
        </w:rPr>
        <w:t>www.BlueprintMedicines.com</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A0A0A"/>
          <w:highlight w:val="white"/>
        </w:rPr>
        <w:t>and follow us 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Twitter</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0A0A0A"/>
          <w:highlight w:val="white"/>
        </w:rPr>
        <w:t>(@BlueprintMeds) and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auto"/>
          <w:highlight w:val="white"/>
        </w:rPr>
        <w:t>LinkedIn</w:t>
      </w:r>
      <w:r>
        <w:rPr>
          <w:rFonts w:ascii="Times New Roman" w:cs="Times New Roman" w:eastAsia="Times New Roman" w:hAnsi="Times New Roman"/>
          <w:sz w:val="16"/>
          <w:szCs w:val="16"/>
          <w:color w:val="0A0A0A"/>
          <w:highlight w:val="white"/>
        </w:rPr>
        <w:t>.</w:t>
      </w:r>
    </w:p>
    <w:p>
      <w:pPr>
        <w:spacing w:after="0" w:line="16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Cautionary Note Regarding Forward-Looking Statements</w:t>
      </w:r>
    </w:p>
    <w:p>
      <w:pPr>
        <w:spacing w:after="0" w:line="203" w:lineRule="exact"/>
        <w:rPr>
          <w:sz w:val="20"/>
          <w:szCs w:val="20"/>
          <w:color w:val="auto"/>
        </w:rPr>
      </w:pPr>
    </w:p>
    <w:p>
      <w:pPr>
        <w:ind w:left="200" w:right="219"/>
        <w:spacing w:after="0" w:line="267" w:lineRule="auto"/>
        <w:rPr>
          <w:sz w:val="20"/>
          <w:szCs w:val="20"/>
          <w:color w:val="auto"/>
        </w:rPr>
      </w:pPr>
      <w:r>
        <w:rPr>
          <w:rFonts w:ascii="Times New Roman" w:cs="Times New Roman" w:eastAsia="Times New Roman" w:hAnsi="Times New Roman"/>
          <w:sz w:val="16"/>
          <w:szCs w:val="16"/>
          <w:color w:val="auto"/>
        </w:rPr>
        <w:t>This press release contains forward-looking statements within the meaning of the Private Securities Litigation Reform Act of 1995, as amended, including, without limitation, statements regarding plans, timelines and expectations for interactions with the FDA and other regulatory authorities; plans and timelines for submitting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407670</wp:posOffset>
            </wp:positionV>
            <wp:extent cx="5465445" cy="228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65445" cy="22860"/>
                    </a:xfrm>
                    <a:prstGeom prst="rect">
                      <a:avLst/>
                    </a:prstGeom>
                    <a:noFill/>
                  </pic:spPr>
                </pic:pic>
              </a:graphicData>
            </a:graphic>
          </wp:anchor>
        </w:drawing>
      </w:r>
    </w:p>
    <w:p>
      <w:pPr>
        <w:sectPr>
          <w:pgSz w:w="11900" w:h="16838" w:orient="portrait"/>
          <w:cols w:equalWidth="0" w:num="1">
            <w:col w:w="9019"/>
          </w:cols>
          <w:pgMar w:left="1440" w:top="314" w:right="1440" w:bottom="1440" w:gutter="0" w:footer="0" w:header="0"/>
        </w:sectPr>
      </w:pPr>
    </w:p>
    <w:bookmarkStart w:id="24" w:name="page25"/>
    <w:bookmarkEnd w:id="24"/>
    <w:p>
      <w:pPr>
        <w:ind w:left="200" w:right="219"/>
        <w:spacing w:after="0" w:line="252" w:lineRule="auto"/>
        <w:rPr>
          <w:sz w:val="20"/>
          <w:szCs w:val="20"/>
          <w:color w:val="auto"/>
        </w:rPr>
      </w:pPr>
      <w:r>
        <w:rPr>
          <w:rFonts w:ascii="Times New Roman" w:cs="Times New Roman" w:eastAsia="Times New Roman" w:hAnsi="Times New Roman"/>
          <w:sz w:val="16"/>
          <w:szCs w:val="16"/>
          <w:color w:val="auto"/>
        </w:rPr>
        <w:t>sNDA to the FDA for AYVAKIT for the treatment of advanced SM; expectations regarding the potential benefits of AYVAKIT in treating patients with SM;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including AYVAKIT and GAVRETO™ (pralsetinib); Blueprint Medicines’ ability to successfully expand the approved indications for AYVAKIT and GAVRETO or obtain marketing approval for AYVAKIT and GAVRETO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partnerships or licensing arrangements, including Blueprint Medicines’ global collaboration with Roche for the development and commercialization of GAVRETO.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Trademarks</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Blueprint Medicines, AYVAKIT, GAVRETO and associated logos are trademarks of Blueprint Medicines Corporation.</w:t>
      </w:r>
    </w:p>
    <w:p>
      <w:pPr>
        <w:spacing w:after="0" w:line="19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Kristin Hodous</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617-714-6674</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ir@blueprintmedicines.com</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b w:val="1"/>
          <w:bCs w:val="1"/>
          <w:color w:val="auto"/>
        </w:rPr>
        <w:t>Media Relations Contact</w:t>
      </w:r>
    </w:p>
    <w:p>
      <w:pPr>
        <w:spacing w:after="0" w:line="20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Andrew Law</w:t>
      </w:r>
    </w:p>
    <w:p>
      <w:pPr>
        <w:spacing w:after="0" w:line="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617-844-8205</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426085</wp:posOffset>
            </wp:positionV>
            <wp:extent cx="5465445" cy="228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65445" cy="22860"/>
                    </a:xfrm>
                    <a:prstGeom prst="rect">
                      <a:avLst/>
                    </a:prstGeom>
                    <a:noFill/>
                  </pic:spPr>
                </pic:pic>
              </a:graphicData>
            </a:graphic>
          </wp:anchor>
        </w:drawing>
      </w:r>
    </w:p>
    <w:sectPr>
      <w:pgSz w:w="11900" w:h="16838" w:orient="portrait"/>
      <w:cols w:equalWidth="0" w:num="1">
        <w:col w:w="9019"/>
      </w:cols>
      <w:pgMar w:left="1440" w:top="1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2020-09-22T07:22:40Z</dcterms:created>
  <dcterms:modified xsi:type="dcterms:W3CDTF">2020-09-22T07:22:40Z</dcterms:modified>
</cp:coreProperties>
</file>