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530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ectPr>
          <w:pgSz w:w="11900" w:h="16838" w:orient="portrait"/>
          <w:cols w:equalWidth="0" w:num="1">
            <w:col w:w="11420"/>
          </w:cols>
          <w:pgMar w:left="240" w:top="226" w:right="239" w:bottom="1053"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Hurley Ariel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03/06/2019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053"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45 SIDNEY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6"/>
        <w:spacing w:after="0"/>
        <w:rPr>
          <w:sz w:val="20"/>
          <w:szCs w:val="20"/>
          <w:color w:val="auto"/>
        </w:rPr>
      </w:pPr>
      <w:r>
        <w:rPr>
          <w:rFonts w:ascii="Arial" w:cs="Arial" w:eastAsia="Arial" w:hAnsi="Arial"/>
          <w:sz w:val="18"/>
          <w:szCs w:val="18"/>
          <w:color w:val="0000FF"/>
        </w:rPr>
        <w:t>Principal Accounting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053"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10/08/2024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7"/>
              </w:rPr>
              <w:t>17,994</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1.87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02/10/2025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5,454</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02/03/2026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15.01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02/16/2027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9,000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36.05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02/16/2028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7"/>
              </w:rPr>
              <w:t>12,000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81.44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03/01/2029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7"/>
              </w:rPr>
              <w:t>11,399</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86.6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(7)</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3,069</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8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was granted an option to purchase 20,909 shares of the Issuer's common stock on October 8, 2014. 2,915 shares underlying the option were previously exercised and sold by the Reporting Person. This option vested with respect to 25% of the shares underlying the option on September 15, 2015 and vests as to an additional 1/48th of the shares underlying the option each month thereafter.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This option vested with respect to 1/48th of the shares underlying the option on March 10, 2015 and as to an additional 1/48th of the shares underlying the option each month thereafter.</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This option vested with respect to 1/48th of the shares underlying the option on March 3, 2016 and as to an additional 1/48th of the shares underlying the option each month thereafter.</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This option vested with respect to 1/48th of the shares underlying the option on March 16, 2017 and as to an additional 1/48th of the shares underlying the option each month thereafter.</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This option vested with respect to 1/48th of the shares underlying the option on March 16, 2018 and as to an additional 1/48th of the shares underlying the option each month thereafter.</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vests with respect to 1/48th of the shares underlying the option on April 1, 2019 and as to an additional 1/48th of the shares underlying the option each month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restricted stock units vest in four equal annual installments on March 1, 2020, 2021, 2022 and 2023.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Issuer's common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Limited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03/15/2019</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053"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Tracey McCain, Christopher Frankenfield and Michael Landsittel, and each of themindividually, and with full power of substitution, the undersigned's true and lawful attorney-in-fact to:</w:t>
      </w:r>
    </w:p>
    <w:p>
      <w:pPr>
        <w:spacing w:after="0" w:line="207" w:lineRule="exact"/>
        <w:rPr>
          <w:sz w:val="20"/>
          <w:szCs w:val="20"/>
          <w:color w:val="auto"/>
        </w:rPr>
      </w:pPr>
    </w:p>
    <w:p>
      <w:pPr>
        <w:jc w:val="both"/>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213"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211"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214"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212" w:lineRule="exact"/>
        <w:rPr>
          <w:sz w:val="20"/>
          <w:szCs w:val="20"/>
          <w:color w:val="auto"/>
        </w:rPr>
      </w:pPr>
    </w:p>
    <w:p>
      <w:pPr>
        <w:jc w:val="both"/>
        <w:ind w:right="1779" w:firstLine="632"/>
        <w:spacing w:after="0" w:line="27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6, 2019.</w:t>
      </w:r>
    </w:p>
    <w:p>
      <w:pPr>
        <w:spacing w:after="0" w:line="200" w:lineRule="exact"/>
        <w:rPr>
          <w:sz w:val="20"/>
          <w:szCs w:val="20"/>
          <w:color w:val="auto"/>
        </w:rPr>
      </w:pPr>
    </w:p>
    <w:p>
      <w:pPr>
        <w:spacing w:after="0" w:line="205" w:lineRule="exact"/>
        <w:rPr>
          <w:sz w:val="20"/>
          <w:szCs w:val="20"/>
          <w:color w:val="auto"/>
        </w:rPr>
      </w:pP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By:</w:t>
        <w:tab/>
        <w:t>/s/ Ariel Hurley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Name: Ariel Hurley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69740"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2019-12-23T22:33:57Z</dcterms:created>
  <dcterms:modified xsi:type="dcterms:W3CDTF">2019-12-23T22:33:57Z</dcterms:modified>
</cp:coreProperties>
</file>