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10/03/2016</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31"/>
        <w:spacing w:after="0"/>
        <w:rPr>
          <w:sz w:val="20"/>
          <w:szCs w:val="20"/>
          <w:color w:val="auto"/>
        </w:rPr>
      </w:pPr>
      <w:r>
        <w:rPr>
          <w:rFonts w:ascii="Arial" w:cs="Arial" w:eastAsia="Arial" w:hAnsi="Arial"/>
          <w:sz w:val="17"/>
          <w:szCs w:val="17"/>
          <w:color w:val="0000FF"/>
        </w:rPr>
        <w:t>EVP and Chief Legal Officer</w:t>
      </w:r>
    </w:p>
    <w:p>
      <w:pPr>
        <w:spacing w:after="0" w:line="397" w:lineRule="exact"/>
        <w:rPr>
          <w:sz w:val="20"/>
          <w:szCs w:val="20"/>
          <w:color w:val="auto"/>
        </w:rPr>
      </w:pPr>
    </w:p>
    <w:p>
      <w:pPr>
        <w:sectPr>
          <w:pgSz w:w="11900" w:h="16838" w:orient="portrait"/>
          <w:cols w:equalWidth="0" w:num="2">
            <w:col w:w="7980" w:space="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28.36</w:t>
            </w:r>
          </w:p>
        </w:tc>
        <w:tc>
          <w:tcPr>
            <w:tcW w:w="1100" w:type="dxa"/>
            <w:vAlign w:val="bottom"/>
          </w:tcPr>
          <w:p>
            <w:pPr>
              <w:ind w:left="200"/>
              <w:spacing w:after="0" w:line="207" w:lineRule="exact"/>
              <w:rPr>
                <w:sz w:val="20"/>
                <w:szCs w:val="20"/>
                <w:color w:val="auto"/>
              </w:rPr>
            </w:pPr>
            <w:r>
              <w:rPr>
                <w:rFonts w:ascii="Arial" w:cs="Arial" w:eastAsia="Arial" w:hAnsi="Arial"/>
                <w:sz w:val="13"/>
                <w:szCs w:val="13"/>
                <w:color w:val="0000FF"/>
              </w:rPr>
              <w:t>10/03/2016</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10/03/2026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Issuer's equity award grant policy, this option was granted effective as of the first day of the month following the commencement of the Reporting Person's employment with the Issuer on September 6, 2016.</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25% of the shares underlying the option on September 6, 2017 and as to an additional 1/48th of the shares underlying the option each month thereafter.</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9"/>
              </w:rPr>
              <w:t>/s/ Christopher Frankenfield,</w:t>
            </w:r>
          </w:p>
        </w:tc>
        <w:tc>
          <w:tcPr>
            <w:tcW w:w="9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91"/>
              </w:rPr>
              <w:t>10/04/2016</w:t>
            </w:r>
          </w:p>
        </w:tc>
        <w:tc>
          <w:tcPr>
            <w:tcW w:w="0" w:type="dxa"/>
            <w:vAlign w:val="bottom"/>
          </w:tcPr>
          <w:p>
            <w:pPr>
              <w:spacing w:after="0"/>
              <w:rPr>
                <w:sz w:val="1"/>
                <w:szCs w:val="1"/>
                <w:color w:val="auto"/>
              </w:rPr>
            </w:pPr>
          </w:p>
        </w:tc>
      </w:tr>
      <w:tr>
        <w:trPr>
          <w:trHeight w:val="86"/>
        </w:trPr>
        <w:tc>
          <w:tcPr>
            <w:tcW w:w="116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Attorney-in-Fact</w:t>
            </w:r>
          </w:p>
        </w:tc>
        <w:tc>
          <w:tcPr>
            <w:tcW w:w="8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6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2019-12-09T00:19:03Z</dcterms:created>
  <dcterms:modified xsi:type="dcterms:W3CDTF">2019-12-09T00:19:03Z</dcterms:modified>
</cp:coreProperties>
</file>