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18,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333-211266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 NO. 333-211266</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600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26-3632015</w:t>
            </w:r>
          </w:p>
        </w:tc>
      </w:tr>
      <w:tr>
        <w:trPr>
          <w:trHeight w:val="148"/>
        </w:trPr>
        <w:tc>
          <w:tcPr>
            <w:tcW w:w="6000" w:type="dxa"/>
            <w:vAlign w:val="bottom"/>
            <w:gridSpan w:val="3"/>
          </w:tcPr>
          <w:p>
            <w:pPr>
              <w:jc w:val="center"/>
              <w:ind w:right="352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360" w:type="dxa"/>
            <w:vAlign w:val="bottom"/>
          </w:tcPr>
          <w:p>
            <w:pPr>
              <w:jc w:val="center"/>
              <w:ind w:left="1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00" w:type="dxa"/>
            <w:vAlign w:val="bottom"/>
            <w:gridSpan w:val="3"/>
          </w:tcPr>
          <w:p>
            <w:pPr>
              <w:jc w:val="center"/>
              <w:ind w:right="352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3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00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45 Sidney Street</w:t>
            </w:r>
          </w:p>
        </w:tc>
        <w:tc>
          <w:tcPr>
            <w:tcW w:w="1360" w:type="dxa"/>
            <w:vAlign w:val="bottom"/>
          </w:tcPr>
          <w:p>
            <w:pPr>
              <w:spacing w:after="0"/>
              <w:rPr>
                <w:sz w:val="24"/>
                <w:szCs w:val="24"/>
                <w:color w:val="auto"/>
              </w:rPr>
            </w:pPr>
          </w:p>
        </w:tc>
      </w:tr>
      <w:tr>
        <w:trPr>
          <w:trHeight w:val="227"/>
        </w:trPr>
        <w:tc>
          <w:tcPr>
            <w:tcW w:w="600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6000" w:type="dxa"/>
            <w:vAlign w:val="bottom"/>
            <w:gridSpan w:val="3"/>
          </w:tcPr>
          <w:p>
            <w:pPr>
              <w:jc w:val="center"/>
              <w:ind w:right="3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2800" w:type="dxa"/>
            <w:vAlign w:val="bottom"/>
          </w:tcPr>
          <w:p>
            <w:pPr>
              <w:spacing w:after="0"/>
              <w:rPr>
                <w:sz w:val="24"/>
                <w:szCs w:val="24"/>
                <w:color w:val="auto"/>
              </w:rPr>
            </w:pPr>
          </w:p>
        </w:tc>
        <w:tc>
          <w:tcPr>
            <w:tcW w:w="32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Michael J. Tolpa</w:t>
            </w:r>
          </w:p>
        </w:tc>
        <w:tc>
          <w:tcPr>
            <w:tcW w:w="136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32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7"/>
              </w:rPr>
              <w:t>Treasurer</w:t>
            </w:r>
          </w:p>
        </w:tc>
        <w:tc>
          <w:tcPr>
            <w:tcW w:w="1360" w:type="dxa"/>
            <w:vAlign w:val="bottom"/>
          </w:tcPr>
          <w:p>
            <w:pPr>
              <w:spacing w:after="0"/>
              <w:rPr>
                <w:sz w:val="18"/>
                <w:szCs w:val="18"/>
                <w:color w:val="auto"/>
              </w:rPr>
            </w:pPr>
          </w:p>
        </w:tc>
      </w:tr>
      <w:tr>
        <w:trPr>
          <w:trHeight w:val="216"/>
        </w:trPr>
        <w:tc>
          <w:tcPr>
            <w:tcW w:w="6000" w:type="dxa"/>
            <w:vAlign w:val="bottom"/>
            <w:gridSpan w:val="3"/>
          </w:tcPr>
          <w:p>
            <w:pPr>
              <w:jc w:val="center"/>
              <w:ind w:left="1837"/>
              <w:spacing w:after="0"/>
              <w:rPr>
                <w:sz w:val="20"/>
                <w:szCs w:val="20"/>
                <w:color w:val="auto"/>
              </w:rPr>
            </w:pPr>
            <w:r>
              <w:rPr>
                <w:rFonts w:ascii="Times New Roman" w:cs="Times New Roman" w:eastAsia="Times New Roman" w:hAnsi="Times New Roman"/>
                <w:sz w:val="18"/>
                <w:szCs w:val="18"/>
                <w:b w:val="1"/>
                <w:bCs w:val="1"/>
                <w:color w:val="auto"/>
                <w:w w:val="99"/>
              </w:rPr>
              <w:t>Blueprint Medicines Corporation</w:t>
            </w:r>
          </w:p>
        </w:tc>
        <w:tc>
          <w:tcPr>
            <w:tcW w:w="136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251 Little Falls Drive</w:t>
            </w:r>
          </w:p>
        </w:tc>
        <w:tc>
          <w:tcPr>
            <w:tcW w:w="136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Wilmington, Delaware 19808</w:t>
            </w:r>
          </w:p>
        </w:tc>
        <w:tc>
          <w:tcPr>
            <w:tcW w:w="1360" w:type="dxa"/>
            <w:vAlign w:val="bottom"/>
          </w:tcPr>
          <w:p>
            <w:pPr>
              <w:spacing w:after="0"/>
              <w:rPr>
                <w:sz w:val="18"/>
                <w:szCs w:val="18"/>
                <w:color w:val="auto"/>
              </w:rPr>
            </w:pPr>
          </w:p>
        </w:tc>
      </w:tr>
      <w:tr>
        <w:trPr>
          <w:trHeight w:val="214"/>
        </w:trPr>
        <w:tc>
          <w:tcPr>
            <w:tcW w:w="5120" w:type="dxa"/>
            <w:vAlign w:val="bottom"/>
            <w:gridSpan w:val="2"/>
          </w:tcPr>
          <w:p>
            <w:pPr>
              <w:jc w:val="center"/>
              <w:ind w:left="2717"/>
              <w:spacing w:after="0"/>
              <w:rPr>
                <w:sz w:val="20"/>
                <w:szCs w:val="20"/>
                <w:color w:val="auto"/>
              </w:rPr>
            </w:pPr>
            <w:r>
              <w:rPr>
                <w:rFonts w:ascii="Times New Roman" w:cs="Times New Roman" w:eastAsia="Times New Roman" w:hAnsi="Times New Roman"/>
                <w:sz w:val="18"/>
                <w:szCs w:val="18"/>
                <w:b w:val="1"/>
                <w:bCs w:val="1"/>
                <w:color w:val="auto"/>
                <w:w w:val="99"/>
              </w:rPr>
              <w:t>(302) 636-5401</w:t>
            </w: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0"/>
        </w:trPr>
        <w:tc>
          <w:tcPr>
            <w:tcW w:w="6000" w:type="dxa"/>
            <w:vAlign w:val="bottom"/>
            <w:gridSpan w:val="3"/>
          </w:tcPr>
          <w:p>
            <w:pPr>
              <w:jc w:val="center"/>
              <w:ind w:left="1857"/>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tc>
        <w:tc>
          <w:tcPr>
            <w:tcW w:w="1360" w:type="dxa"/>
            <w:vAlign w:val="bottom"/>
          </w:tcPr>
          <w:p>
            <w:pPr>
              <w:spacing w:after="0"/>
              <w:rPr>
                <w:sz w:val="16"/>
                <w:szCs w:val="16"/>
                <w:color w:val="auto"/>
              </w:rPr>
            </w:pPr>
          </w:p>
        </w:tc>
      </w:tr>
      <w:tr>
        <w:trPr>
          <w:trHeight w:val="334"/>
        </w:trPr>
        <w:tc>
          <w:tcPr>
            <w:tcW w:w="28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25"/>
        </w:trPr>
        <w:tc>
          <w:tcPr>
            <w:tcW w:w="2800" w:type="dxa"/>
            <w:vAlign w:val="bottom"/>
          </w:tcPr>
          <w:p>
            <w:pPr>
              <w:spacing w:after="0"/>
              <w:rPr>
                <w:sz w:val="24"/>
                <w:szCs w:val="24"/>
                <w:color w:val="auto"/>
              </w:rPr>
            </w:pPr>
          </w:p>
        </w:tc>
        <w:tc>
          <w:tcPr>
            <w:tcW w:w="32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c>
          <w:tcPr>
            <w:tcW w:w="1360" w:type="dxa"/>
            <w:vAlign w:val="bottom"/>
          </w:tcPr>
          <w:p>
            <w:pPr>
              <w:spacing w:after="0"/>
              <w:rPr>
                <w:sz w:val="24"/>
                <w:szCs w:val="24"/>
                <w:color w:val="auto"/>
              </w:rPr>
            </w:pPr>
          </w:p>
        </w:tc>
      </w:tr>
      <w:tr>
        <w:trPr>
          <w:trHeight w:val="302"/>
        </w:trPr>
        <w:tc>
          <w:tcPr>
            <w:tcW w:w="2800" w:type="dxa"/>
            <w:vAlign w:val="bottom"/>
          </w:tcPr>
          <w:p>
            <w:pPr>
              <w:spacing w:after="0"/>
              <w:rPr>
                <w:sz w:val="24"/>
                <w:szCs w:val="24"/>
                <w:color w:val="auto"/>
              </w:rPr>
            </w:pPr>
          </w:p>
        </w:tc>
        <w:tc>
          <w:tcPr>
            <w:tcW w:w="32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Michael J. Aiello, Esq.</w:t>
            </w:r>
          </w:p>
        </w:tc>
        <w:tc>
          <w:tcPr>
            <w:tcW w:w="136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32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Sachin Kohli, Esq.</w:t>
            </w:r>
          </w:p>
        </w:tc>
        <w:tc>
          <w:tcPr>
            <w:tcW w:w="136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Weil, Gotshal &amp; Manges LLP</w:t>
            </w:r>
          </w:p>
        </w:tc>
        <w:tc>
          <w:tcPr>
            <w:tcW w:w="136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136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New York, New York 10153</w:t>
            </w:r>
          </w:p>
        </w:tc>
        <w:tc>
          <w:tcPr>
            <w:tcW w:w="1360" w:type="dxa"/>
            <w:vAlign w:val="bottom"/>
          </w:tcPr>
          <w:p>
            <w:pPr>
              <w:spacing w:after="0"/>
              <w:rPr>
                <w:sz w:val="18"/>
                <w:szCs w:val="18"/>
                <w:color w:val="auto"/>
              </w:rPr>
            </w:pPr>
          </w:p>
        </w:tc>
      </w:tr>
      <w:tr>
        <w:trPr>
          <w:trHeight w:val="238"/>
        </w:trPr>
        <w:tc>
          <w:tcPr>
            <w:tcW w:w="5120" w:type="dxa"/>
            <w:vAlign w:val="bottom"/>
            <w:gridSpan w:val="2"/>
          </w:tcPr>
          <w:p>
            <w:pPr>
              <w:jc w:val="center"/>
              <w:ind w:left="2717"/>
              <w:spacing w:after="0"/>
              <w:rPr>
                <w:sz w:val="20"/>
                <w:szCs w:val="20"/>
                <w:color w:val="auto"/>
              </w:rPr>
            </w:pPr>
            <w:r>
              <w:rPr>
                <w:rFonts w:ascii="Times New Roman" w:cs="Times New Roman" w:eastAsia="Times New Roman" w:hAnsi="Times New Roman"/>
                <w:sz w:val="18"/>
                <w:szCs w:val="18"/>
                <w:b w:val="1"/>
                <w:bCs w:val="1"/>
                <w:color w:val="auto"/>
                <w:w w:val="99"/>
              </w:rPr>
              <w:t>(212) 310-8000</w:t>
            </w: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UNSOLD SECURITIES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This Post-Effective Amendment relates to the following Registration Statements on Form S-3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filed by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to deregister any and all securities, registered but unsold or otherwise unissued as of the date hereof under the Registration Statements:</w:t>
      </w:r>
    </w:p>
    <w:p>
      <w:pPr>
        <w:spacing w:after="0" w:line="203" w:lineRule="exact"/>
        <w:rPr>
          <w:sz w:val="20"/>
          <w:szCs w:val="20"/>
          <w:color w:val="auto"/>
        </w:rPr>
      </w:pPr>
    </w:p>
    <w:p>
      <w:pPr>
        <w:ind w:left="420" w:right="40" w:hanging="316"/>
        <w:spacing w:after="0" w:line="261"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333-211266, filed with the Commission on </w:t>
      </w:r>
      <w:hyperlink r:id="rId17">
        <w:r>
          <w:rPr>
            <w:rFonts w:ascii="Times New Roman" w:cs="Times New Roman" w:eastAsia="Times New Roman" w:hAnsi="Times New Roman"/>
            <w:sz w:val="18"/>
            <w:szCs w:val="18"/>
            <w:u w:val="single" w:color="auto"/>
            <w:color w:val="0000EE"/>
          </w:rPr>
          <w:t>May 10, 2016</w:t>
        </w:r>
      </w:hyperlink>
      <w:r>
        <w:rPr>
          <w:rFonts w:ascii="Times New Roman" w:cs="Times New Roman" w:eastAsia="Times New Roman" w:hAnsi="Times New Roman"/>
          <w:sz w:val="18"/>
          <w:szCs w:val="18"/>
          <w:color w:val="auto"/>
        </w:rPr>
        <w:t xml:space="preserve">, as amended by that certain Pre-Effective Amendment No. 1 filed with the Commission on </w:t>
      </w:r>
      <w:hyperlink r:id="rId18">
        <w:r>
          <w:rPr>
            <w:rFonts w:ascii="Times New Roman" w:cs="Times New Roman" w:eastAsia="Times New Roman" w:hAnsi="Times New Roman"/>
            <w:sz w:val="18"/>
            <w:szCs w:val="18"/>
            <w:u w:val="single" w:color="auto"/>
            <w:color w:val="0000EE"/>
          </w:rPr>
          <w:t>July 22, 2016</w:t>
        </w:r>
      </w:hyperlink>
      <w:r>
        <w:rPr>
          <w:rFonts w:ascii="Times New Roman" w:cs="Times New Roman" w:eastAsia="Times New Roman" w:hAnsi="Times New Roman"/>
          <w:sz w:val="18"/>
          <w:szCs w:val="18"/>
          <w:color w:val="auto"/>
        </w:rPr>
        <w:t>, registering $250,000,000 of an indeterminate number of (i) shares of common stock of the Company,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(ii) shares of preferred stock of the Company, par value $0.001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(iii) debt securities, (iv) depositary shares, (v) purchase contracts, (vi) purchase units and (vii) warrants.</w:t>
      </w:r>
    </w:p>
    <w:p>
      <w:pPr>
        <w:spacing w:after="0" w:line="180" w:lineRule="exact"/>
        <w:rPr>
          <w:rFonts w:ascii="Times New Roman" w:cs="Times New Roman" w:eastAsia="Times New Roman" w:hAnsi="Times New Roman"/>
          <w:sz w:val="18"/>
          <w:szCs w:val="18"/>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Pursuant to the Agreement and Plan of Merger, dated as of June 2, 2025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xml:space="preserve">”), by and among the Company,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Sanofi</w:t>
      </w:r>
      <w:r>
        <w:rPr>
          <w:rFonts w:ascii="Times New Roman" w:cs="Times New Roman" w:eastAsia="Times New Roman" w:hAnsi="Times New Roman"/>
          <w:sz w:val="18"/>
          <w:szCs w:val="18"/>
          <w:color w:val="auto"/>
        </w:rPr>
        <w:t>”), Aventis Inc., a Pennsylvania corporation and wholly owned subsidiary of Parent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and Rothko Merger Sub, Inc., a Delaware corporation and wholly owned subsidiary of Aventis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merged with and into the Company with the Company surviving the merger as an indirect wholly owned subsidiary of Sanofi. The merger became effective on July 17, 2025, upon the filing of the certificate of merger with the Secretary of State of the State of Delaware.</w:t>
      </w:r>
    </w:p>
    <w:p>
      <w:pPr>
        <w:spacing w:after="0" w:line="183"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transactions contemplated by the Merger Agreement, the Company has terminated all offerings of its securities pursuant to the Registration Statements and, in accordance with undertaking made by the Company in the Registration Statements to remove from registration by means of a post-effective amendment any of the securities being registered which remain unsold at the termination of the offering, hereby removes and withdraws from registration all securities registered pursuant to the Registration Statements that remain unsold as of the date hereof. The Registration Statements are hereby amended, as appropriate, to reflect the deregistration of such securities.</w:t>
      </w:r>
    </w:p>
    <w:p>
      <w:pPr>
        <w:sectPr>
          <w:pgSz w:w="11900" w:h="16838" w:orient="portrait"/>
          <w:cols w:equalWidth="0" w:num="1">
            <w:col w:w="11000"/>
          </w:cols>
          <w:pgMar w:left="440" w:top="266" w:right="45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121"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S-3 and has duly caused the Post-Effective Amendment to the Registration Statement described above to be signed on its behalf by the undersigned, thereunto duly authorized, in the City of Cambridge, Commonwealth of Massachusetts, on July 18, 2025.</w:t>
      </w:r>
    </w:p>
    <w:p>
      <w:pPr>
        <w:spacing w:after="0" w:line="18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Tolpa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Tolpa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7"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Pursuant to Rule 478 of the Securities Act of 1933, as amended, no other person is required to sign this Post-Effective Amendment to the Registration Statement.</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7" Type="http://schemas.openxmlformats.org/officeDocument/2006/relationships/hyperlink" Target="http://www.sec.gov/Archives/edgar/data/1597264/000155837016005826/bpmc-20160510xs3.htm" TargetMode="External"/><Relationship Id="rId18" Type="http://schemas.openxmlformats.org/officeDocument/2006/relationships/hyperlink" Target="http://www.sec.gov/Archives/edgar/data/1597264/000155837016006734/bpmc-20160722x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2025-07-18T14:59:21Z</dcterms:created>
  <dcterms:modified xsi:type="dcterms:W3CDTF">2025-07-18T14:59:21Z</dcterms:modified>
</cp:coreProperties>
</file>