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6" w:lineRule="exact"/>
        <w:rPr>
          <w:sz w:val="24"/>
          <w:szCs w:val="24"/>
          <w:color w:val="auto"/>
        </w:rPr>
      </w:pPr>
    </w:p>
    <w:p>
      <w:pPr>
        <w:jc w:val="center"/>
        <w:ind w:left="260" w:right="2840"/>
        <w:spacing w:after="0" w:line="26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 *</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13,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 Rule 13d-1(b)</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x Rule 13d-1(c)</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 Rule 13d-1(d)</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 Pages)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20" w:firstLine="8"/>
        <w:spacing w:after="0" w:line="261"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firstLine="222"/>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09627Y109</w:t>
            </w:r>
          </w:p>
        </w:tc>
        <w:tc>
          <w:tcPr>
            <w:tcW w:w="3640" w:type="dxa"/>
            <w:vAlign w:val="bottom"/>
          </w:tcPr>
          <w:p>
            <w:pPr>
              <w:ind w:left="20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2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Mgmt,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1,842,415 (1)</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1,842,415 (1)</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1,842,415 (1)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5.57%</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International Master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CUSIP No. 09627Y109</w:t>
            </w:r>
          </w:p>
        </w:tc>
        <w:tc>
          <w:tcPr>
            <w:tcW w:w="3620" w:type="dxa"/>
            <w:vAlign w:val="bottom"/>
          </w:tcPr>
          <w:p>
            <w:pPr>
              <w:ind w:left="204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3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40" w:type="dxa"/>
            <w:vAlign w:val="bottom"/>
            <w:tcBorders>
              <w:right w:val="single" w:sz="8" w:color="auto"/>
            </w:tcBorders>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Deerfield Management Company,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00" w:type="dxa"/>
            <w:vAlign w:val="bottom"/>
          </w:tcPr>
          <w:p>
            <w:pPr>
              <w:jc w:val="center"/>
              <w:spacing w:after="0" w:line="203" w:lineRule="exact"/>
              <w:rPr>
                <w:sz w:val="20"/>
                <w:szCs w:val="20"/>
                <w:color w:val="auto"/>
              </w:rPr>
            </w:pPr>
            <w:r>
              <w:rPr>
                <w:rFonts w:ascii="Arial" w:cs="Arial" w:eastAsia="Arial" w:hAnsi="Arial"/>
                <w:sz w:val="18"/>
                <w:szCs w:val="18"/>
                <w:color w:val="auto"/>
                <w:w w:val="92"/>
              </w:rPr>
              <w:t>2.</w:t>
            </w:r>
          </w:p>
        </w:tc>
        <w:tc>
          <w:tcPr>
            <w:tcW w:w="40" w:type="dxa"/>
            <w:vAlign w:val="bottom"/>
            <w:tcBorders>
              <w:right w:val="single" w:sz="8" w:color="auto"/>
            </w:tcBorders>
          </w:tcPr>
          <w:p>
            <w:pPr>
              <w:spacing w:after="0"/>
              <w:rPr>
                <w:sz w:val="17"/>
                <w:szCs w:val="17"/>
                <w:color w:val="auto"/>
              </w:rPr>
            </w:pPr>
          </w:p>
        </w:tc>
        <w:tc>
          <w:tcPr>
            <w:tcW w:w="5380" w:type="dxa"/>
            <w:vAlign w:val="bottom"/>
            <w:gridSpan w:val="2"/>
          </w:tcPr>
          <w:p>
            <w:pPr>
              <w:ind w:left="12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6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SHARES</w:t>
            </w:r>
          </w:p>
        </w:tc>
        <w:tc>
          <w:tcPr>
            <w:tcW w:w="362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40" w:type="dxa"/>
            <w:vAlign w:val="bottom"/>
            <w:tcBorders>
              <w:right w:val="single" w:sz="8" w:color="auto"/>
            </w:tcBorders>
            <w:gridSpan w:val="2"/>
            <w:vMerge w:val="continue"/>
          </w:tcPr>
          <w:p>
            <w:pPr>
              <w:spacing w:after="0"/>
              <w:rPr>
                <w:sz w:val="12"/>
                <w:szCs w:val="12"/>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rPr>
              <w:t>BENEFICIALLY</w:t>
            </w:r>
          </w:p>
        </w:tc>
        <w:tc>
          <w:tcPr>
            <w:tcW w:w="362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continue"/>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62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1,842,415 (2)</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00" w:type="dxa"/>
            <w:vAlign w:val="bottom"/>
            <w:vMerge w:val="continue"/>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00" w:type="dxa"/>
            <w:vAlign w:val="bottom"/>
            <w:vMerge w:val="continue"/>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62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362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1,842,415 (2)</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40" w:type="dxa"/>
            <w:vAlign w:val="bottom"/>
            <w:tcBorders>
              <w:right w:val="single" w:sz="8" w:color="auto"/>
            </w:tcBorders>
          </w:tcPr>
          <w:p>
            <w:pPr>
              <w:spacing w:after="0"/>
              <w:rPr>
                <w:sz w:val="21"/>
                <w:szCs w:val="21"/>
                <w:color w:val="auto"/>
              </w:rPr>
            </w:pPr>
          </w:p>
        </w:tc>
        <w:tc>
          <w:tcPr>
            <w:tcW w:w="77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1,842,415 (2)</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538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40" w:type="dxa"/>
            <w:vAlign w:val="bottom"/>
            <w:tcBorders>
              <w:right w:val="single" w:sz="8" w:color="auto"/>
            </w:tcBorders>
          </w:tcPr>
          <w:p>
            <w:pPr>
              <w:spacing w:after="0"/>
              <w:rPr>
                <w:sz w:val="20"/>
                <w:szCs w:val="20"/>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538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5.57%</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International Master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09627Y109</w:t>
            </w:r>
          </w:p>
        </w:tc>
        <w:tc>
          <w:tcPr>
            <w:tcW w:w="3640" w:type="dxa"/>
            <w:vAlign w:val="bottom"/>
          </w:tcPr>
          <w:p>
            <w:pPr>
              <w:ind w:left="20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4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Partners,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806,977</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806,977</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806,977</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2.44%</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5"/>
        </w:trPr>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09627Y109</w:t>
            </w:r>
          </w:p>
        </w:tc>
        <w:tc>
          <w:tcPr>
            <w:tcW w:w="3640" w:type="dxa"/>
            <w:vAlign w:val="bottom"/>
          </w:tcPr>
          <w:p>
            <w:pPr>
              <w:ind w:left="20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5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International Master Fund,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British Virgin Islands</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1,035,438</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1,035,438</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1,035,438</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3.13%</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4"/>
        </w:trPr>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09627Y109</w:t>
            </w:r>
          </w:p>
        </w:tc>
        <w:tc>
          <w:tcPr>
            <w:tcW w:w="3640" w:type="dxa"/>
            <w:vAlign w:val="bottom"/>
          </w:tcPr>
          <w:p>
            <w:pPr>
              <w:ind w:left="20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980"/>
              <w:spacing w:after="0"/>
              <w:rPr>
                <w:sz w:val="20"/>
                <w:szCs w:val="20"/>
                <w:color w:val="auto"/>
              </w:rPr>
            </w:pPr>
            <w:r>
              <w:rPr>
                <w:rFonts w:ascii="Arial" w:cs="Arial" w:eastAsia="Arial" w:hAnsi="Arial"/>
                <w:sz w:val="18"/>
                <w:szCs w:val="18"/>
                <w:color w:val="auto"/>
                <w:w w:val="84"/>
              </w:rPr>
              <w:t>Page 6 of 10 Pages</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James E. Flynn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1,842,415 (3)</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1,842,415 (3)</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1,842,415 (3)</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5.57%</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IN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 Comprised of shares of common stock held by Deerfield Partners, L.P. and Deerfield International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CUSIP No. 09627Y109</w:t>
            </w:r>
          </w:p>
        </w:tc>
        <w:tc>
          <w:tcPr>
            <w:tcW w:w="4400" w:type="dxa"/>
            <w:vAlign w:val="bottom"/>
          </w:tcPr>
          <w:p>
            <w:pPr>
              <w:ind w:left="460"/>
              <w:spacing w:after="0"/>
              <w:rPr>
                <w:sz w:val="20"/>
                <w:szCs w:val="20"/>
                <w:color w:val="auto"/>
              </w:rPr>
            </w:pPr>
            <w:r>
              <w:rPr>
                <w:rFonts w:ascii="Arial" w:cs="Arial" w:eastAsia="Arial" w:hAnsi="Arial"/>
                <w:sz w:val="18"/>
                <w:szCs w:val="18"/>
                <w:color w:val="auto"/>
              </w:rPr>
              <w:t>13G</w:t>
            </w:r>
          </w:p>
        </w:tc>
        <w:tc>
          <w:tcPr>
            <w:tcW w:w="1760" w:type="dxa"/>
            <w:vAlign w:val="bottom"/>
          </w:tcPr>
          <w:p>
            <w:pPr>
              <w:ind w:left="380"/>
              <w:spacing w:after="0"/>
              <w:rPr>
                <w:sz w:val="20"/>
                <w:szCs w:val="20"/>
                <w:color w:val="auto"/>
              </w:rPr>
            </w:pPr>
            <w:r>
              <w:rPr>
                <w:rFonts w:ascii="Arial" w:cs="Arial" w:eastAsia="Arial" w:hAnsi="Arial"/>
                <w:sz w:val="18"/>
                <w:szCs w:val="18"/>
                <w:color w:val="auto"/>
                <w:w w:val="85"/>
              </w:rPr>
              <w:t>Page 7 of 10 Pages</w:t>
            </w:r>
          </w:p>
        </w:tc>
      </w:tr>
      <w:tr>
        <w:trPr>
          <w:trHeight w:val="662"/>
        </w:trPr>
        <w:tc>
          <w:tcPr>
            <w:tcW w:w="1360" w:type="dxa"/>
            <w:vAlign w:val="bottom"/>
          </w:tcPr>
          <w:p>
            <w:pPr>
              <w:spacing w:after="0"/>
              <w:rPr>
                <w:sz w:val="20"/>
                <w:szCs w:val="20"/>
                <w:color w:val="auto"/>
              </w:rPr>
            </w:pPr>
            <w:r>
              <w:rPr>
                <w:rFonts w:ascii="Arial" w:cs="Arial" w:eastAsia="Arial" w:hAnsi="Arial"/>
                <w:sz w:val="18"/>
                <w:szCs w:val="18"/>
                <w:color w:val="auto"/>
              </w:rPr>
              <w:t>Item 1(a).</w:t>
            </w:r>
          </w:p>
        </w:tc>
        <w:tc>
          <w:tcPr>
            <w:tcW w:w="3900" w:type="dxa"/>
            <w:vAlign w:val="bottom"/>
          </w:tcPr>
          <w:p>
            <w:pPr>
              <w:spacing w:after="0"/>
              <w:rPr>
                <w:sz w:val="20"/>
                <w:szCs w:val="20"/>
                <w:color w:val="auto"/>
              </w:rPr>
            </w:pPr>
            <w:r>
              <w:rPr>
                <w:rFonts w:ascii="Arial" w:cs="Arial" w:eastAsia="Arial" w:hAnsi="Arial"/>
                <w:sz w:val="18"/>
                <w:szCs w:val="18"/>
                <w:color w:val="auto"/>
              </w:rPr>
              <w:t>Name of Issuer:</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Blueprint Medicines Corporation</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1(b).</w:t>
            </w:r>
          </w:p>
        </w:tc>
        <w:tc>
          <w:tcPr>
            <w:tcW w:w="390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38 Sidney Street, Suite 200</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7"/>
        </w:trPr>
        <w:tc>
          <w:tcPr>
            <w:tcW w:w="136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Cambridge, MA 02139</w:t>
            </w:r>
          </w:p>
        </w:tc>
        <w:tc>
          <w:tcPr>
            <w:tcW w:w="4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2(a).</w:t>
            </w:r>
          </w:p>
        </w:tc>
        <w:tc>
          <w:tcPr>
            <w:tcW w:w="3900" w:type="dxa"/>
            <w:vAlign w:val="bottom"/>
          </w:tcPr>
          <w:p>
            <w:pPr>
              <w:spacing w:after="0"/>
              <w:rPr>
                <w:sz w:val="20"/>
                <w:szCs w:val="20"/>
                <w:color w:val="auto"/>
              </w:rPr>
            </w:pPr>
            <w:r>
              <w:rPr>
                <w:rFonts w:ascii="Arial" w:cs="Arial" w:eastAsia="Arial" w:hAnsi="Arial"/>
                <w:sz w:val="18"/>
                <w:szCs w:val="18"/>
                <w:color w:val="auto"/>
              </w:rPr>
              <w:t>Name of Person Filing:</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Management Company, L.P., Deerfield Partners, L.P. and Deerfield International Master</w:t>
            </w:r>
          </w:p>
        </w:tc>
      </w:tr>
      <w:tr>
        <w:trPr>
          <w:trHeight w:val="237"/>
        </w:trPr>
        <w:tc>
          <w:tcPr>
            <w:tcW w:w="136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Fund, L.P.</w:t>
            </w:r>
          </w:p>
        </w:tc>
        <w:tc>
          <w:tcPr>
            <w:tcW w:w="4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2(b).</w:t>
            </w:r>
          </w:p>
        </w:tc>
        <w:tc>
          <w:tcPr>
            <w:tcW w:w="8300" w:type="dxa"/>
            <w:vAlign w:val="bottom"/>
            <w:gridSpan w:val="2"/>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17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4"/>
              </w:rPr>
              <w:t>James E. Flynn, Deerfield Mgmt, L.P., Deerfield Management Company, L.P., Deerfield Partners, L.P., Deerfield International Master</w:t>
            </w:r>
          </w:p>
        </w:tc>
      </w:tr>
      <w:tr>
        <w:trPr>
          <w:trHeight w:val="237"/>
        </w:trPr>
        <w:tc>
          <w:tcPr>
            <w:tcW w:w="1360" w:type="dxa"/>
            <w:vAlign w:val="bottom"/>
          </w:tcPr>
          <w:p>
            <w:pPr>
              <w:spacing w:after="0"/>
              <w:rPr>
                <w:sz w:val="20"/>
                <w:szCs w:val="20"/>
                <w:color w:val="auto"/>
              </w:rPr>
            </w:pPr>
          </w:p>
        </w:tc>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Fund, L.P. 780 Third Avenue, 37th Floor, New York, NY 10017</w:t>
            </w:r>
          </w:p>
        </w:tc>
        <w:tc>
          <w:tcPr>
            <w:tcW w:w="176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2(c).</w:t>
            </w:r>
          </w:p>
        </w:tc>
        <w:tc>
          <w:tcPr>
            <w:tcW w:w="3900" w:type="dxa"/>
            <w:vAlign w:val="bottom"/>
          </w:tcPr>
          <w:p>
            <w:pPr>
              <w:spacing w:after="0"/>
              <w:rPr>
                <w:sz w:val="20"/>
                <w:szCs w:val="20"/>
                <w:color w:val="auto"/>
              </w:rPr>
            </w:pPr>
            <w:r>
              <w:rPr>
                <w:rFonts w:ascii="Arial" w:cs="Arial" w:eastAsia="Arial" w:hAnsi="Arial"/>
                <w:sz w:val="18"/>
                <w:szCs w:val="18"/>
                <w:color w:val="auto"/>
              </w:rPr>
              <w:t>Citizenship:</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rPr>
              <w:t>Deerfield Mgmt, L.P., Deerfield Management Company, L.P. and Deerfield Partners, L.P. - Delaware limited partnerships;</w:t>
            </w:r>
          </w:p>
        </w:tc>
      </w:tr>
      <w:tr>
        <w:trPr>
          <w:trHeight w:val="432"/>
        </w:trPr>
        <w:tc>
          <w:tcPr>
            <w:tcW w:w="1360" w:type="dxa"/>
            <w:vAlign w:val="bottom"/>
          </w:tcPr>
          <w:p>
            <w:pPr>
              <w:spacing w:after="0"/>
              <w:rPr>
                <w:sz w:val="24"/>
                <w:szCs w:val="24"/>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Deerfield International Master Fund, L.P. - British Virgin Islands limited partnership;</w:t>
            </w: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2(d).</w:t>
            </w:r>
          </w:p>
        </w:tc>
        <w:tc>
          <w:tcPr>
            <w:tcW w:w="390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2(e).</w:t>
            </w:r>
          </w:p>
        </w:tc>
        <w:tc>
          <w:tcPr>
            <w:tcW w:w="3900" w:type="dxa"/>
            <w:vAlign w:val="bottom"/>
          </w:tcPr>
          <w:p>
            <w:pPr>
              <w:spacing w:after="0"/>
              <w:rPr>
                <w:sz w:val="20"/>
                <w:szCs w:val="20"/>
                <w:color w:val="auto"/>
              </w:rPr>
            </w:pPr>
            <w:r>
              <w:rPr>
                <w:rFonts w:ascii="Arial" w:cs="Arial" w:eastAsia="Arial" w:hAnsi="Arial"/>
                <w:sz w:val="18"/>
                <w:szCs w:val="18"/>
                <w:color w:val="auto"/>
              </w:rPr>
              <w:t>CUSIP Number:</w:t>
            </w:r>
          </w:p>
        </w:tc>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09627Y109</w:t>
            </w:r>
          </w:p>
        </w:tc>
        <w:tc>
          <w:tcPr>
            <w:tcW w:w="4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3.</w:t>
            </w:r>
          </w:p>
        </w:tc>
        <w:tc>
          <w:tcPr>
            <w:tcW w:w="8300" w:type="dxa"/>
            <w:vAlign w:val="bottom"/>
            <w:gridSpan w:val="2"/>
          </w:tcPr>
          <w:p>
            <w:pPr>
              <w:spacing w:after="0"/>
              <w:rPr>
                <w:sz w:val="20"/>
                <w:szCs w:val="20"/>
                <w:color w:val="auto"/>
              </w:rPr>
            </w:pPr>
            <w:r>
              <w:rPr>
                <w:rFonts w:ascii="Arial" w:cs="Arial" w:eastAsia="Arial" w:hAnsi="Arial"/>
                <w:sz w:val="18"/>
                <w:szCs w:val="18"/>
                <w:color w:val="auto"/>
                <w:w w:val="95"/>
              </w:rPr>
              <w:t>If This Statement is Filed Pursuant to Rule 13d-1(b), or 13d-2(b) or (c), Check Whether the Person Filing is a:</w:t>
            </w:r>
          </w:p>
        </w:tc>
        <w:tc>
          <w:tcPr>
            <w:tcW w:w="1760" w:type="dxa"/>
            <w:vAlign w:val="bottom"/>
          </w:tcPr>
          <w:p>
            <w:pPr>
              <w:spacing w:after="0"/>
              <w:rPr>
                <w:sz w:val="24"/>
                <w:szCs w:val="24"/>
                <w:color w:val="auto"/>
              </w:rPr>
            </w:pPr>
          </w:p>
        </w:tc>
      </w:tr>
    </w:tbl>
    <w:p>
      <w:pPr>
        <w:spacing w:after="0" w:line="202" w:lineRule="exact"/>
        <w:rPr>
          <w:sz w:val="20"/>
          <w:szCs w:val="20"/>
          <w:color w:val="auto"/>
        </w:rPr>
      </w:pPr>
    </w:p>
    <w:p>
      <w:pPr>
        <w:ind w:left="1380" w:hanging="1055"/>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225" w:lineRule="exact"/>
        <w:rPr>
          <w:rFonts w:ascii="Arial" w:cs="Arial" w:eastAsia="Arial" w:hAnsi="Arial"/>
          <w:sz w:val="18"/>
          <w:szCs w:val="18"/>
          <w:color w:val="auto"/>
        </w:rPr>
      </w:pPr>
    </w:p>
    <w:p>
      <w:pPr>
        <w:ind w:left="1380" w:hanging="1055"/>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225" w:lineRule="exact"/>
        <w:rPr>
          <w:rFonts w:ascii="Arial" w:cs="Arial" w:eastAsia="Arial" w:hAnsi="Arial"/>
          <w:sz w:val="18"/>
          <w:szCs w:val="18"/>
          <w:color w:val="auto"/>
        </w:rPr>
      </w:pPr>
    </w:p>
    <w:p>
      <w:pPr>
        <w:ind w:left="1380" w:hanging="1055"/>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25" w:lineRule="exact"/>
        <w:rPr>
          <w:rFonts w:ascii="Arial" w:cs="Arial" w:eastAsia="Arial" w:hAnsi="Arial"/>
          <w:sz w:val="18"/>
          <w:szCs w:val="18"/>
          <w:color w:val="auto"/>
        </w:rPr>
      </w:pPr>
    </w:p>
    <w:p>
      <w:pPr>
        <w:ind w:left="1380" w:hanging="1046"/>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 w:name="page8"/>
    <w:bookmarkEnd w:id="7"/>
    <w:p>
      <w:pPr>
        <w:ind w:left="20"/>
        <w:spacing w:after="0"/>
        <w:tabs>
          <w:tab w:leader="none" w:pos="5700" w:val="left"/>
          <w:tab w:leader="none" w:pos="10020" w:val="left"/>
        </w:tabs>
        <w:rPr>
          <w:sz w:val="20"/>
          <w:szCs w:val="20"/>
          <w:color w:val="auto"/>
        </w:rPr>
      </w:pPr>
      <w:r>
        <w:rPr>
          <w:rFonts w:ascii="Arial" w:cs="Arial" w:eastAsia="Arial" w:hAnsi="Arial"/>
          <w:sz w:val="18"/>
          <w:szCs w:val="18"/>
          <w:color w:val="auto"/>
        </w:rPr>
        <w:t>CUSIP No. 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10 Pages</w:t>
      </w:r>
    </w:p>
    <w:p>
      <w:pPr>
        <w:spacing w:after="0" w:line="266" w:lineRule="exact"/>
        <w:rPr>
          <w:sz w:val="20"/>
          <w:szCs w:val="20"/>
          <w:color w:val="auto"/>
        </w:rPr>
      </w:pPr>
    </w:p>
    <w:p>
      <w:pPr>
        <w:ind w:left="1380" w:hanging="1060"/>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252" w:lineRule="exact"/>
        <w:rPr>
          <w:rFonts w:ascii="Arial" w:cs="Arial" w:eastAsia="Arial" w:hAnsi="Arial"/>
          <w:sz w:val="18"/>
          <w:szCs w:val="18"/>
          <w:color w:val="auto"/>
        </w:rPr>
      </w:pPr>
    </w:p>
    <w:p>
      <w:pPr>
        <w:ind w:left="1380" w:hanging="1020"/>
        <w:spacing w:after="0"/>
        <w:tabs>
          <w:tab w:leader="none" w:pos="1380" w:val="left"/>
        </w:tabs>
        <w:numPr>
          <w:ilvl w:val="1"/>
          <w:numId w:val="5"/>
        </w:numPr>
        <w:rPr>
          <w:rFonts w:ascii="Arial" w:cs="Arial" w:eastAsia="Arial" w:hAnsi="Arial"/>
          <w:sz w:val="16"/>
          <w:szCs w:val="16"/>
          <w:color w:val="auto"/>
        </w:rPr>
      </w:pPr>
      <w:r>
        <w:rPr>
          <w:rFonts w:ascii="Arial" w:cs="Arial" w:eastAsia="Arial" w:hAnsi="Arial"/>
          <w:sz w:val="16"/>
          <w:szCs w:val="16"/>
          <w:color w:val="auto"/>
        </w:rPr>
        <w:t>o   A church plan that is excluded from the definition of an investment company under Section 3(c)(14) of the Investment Company Act;</w:t>
      </w:r>
    </w:p>
    <w:p>
      <w:pPr>
        <w:spacing w:after="0" w:line="275" w:lineRule="exact"/>
        <w:rPr>
          <w:rFonts w:ascii="Arial" w:cs="Arial" w:eastAsia="Arial" w:hAnsi="Arial"/>
          <w:sz w:val="16"/>
          <w:szCs w:val="16"/>
          <w:color w:val="auto"/>
        </w:rPr>
      </w:pPr>
    </w:p>
    <w:p>
      <w:pPr>
        <w:ind w:left="1380" w:hanging="1040"/>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   A non-U.S. institution in accordance with Rule 13d-1(b)(1)(ii)(J);</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340" w:hanging="1000"/>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1,842,415 shares</w:t>
      </w:r>
    </w:p>
    <w:p>
      <w:pPr>
        <w:spacing w:after="0" w:line="23" w:lineRule="exact"/>
        <w:rPr>
          <w:rFonts w:ascii="Arial" w:cs="Arial" w:eastAsia="Arial" w:hAnsi="Arial"/>
          <w:sz w:val="18"/>
          <w:szCs w:val="18"/>
          <w:color w:val="auto"/>
        </w:rPr>
      </w:pPr>
    </w:p>
    <w:p>
      <w:pPr>
        <w:ind w:left="1340" w:right="586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1,842,415 shares Deerfield Partners, L.P. – 806,977 shares</w:t>
      </w:r>
    </w:p>
    <w:p>
      <w:pPr>
        <w:ind w:left="1340" w:right="566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1,035,438 shares James E. Flynn – 1,842,415 shares</w:t>
      </w:r>
    </w:p>
    <w:p>
      <w:pPr>
        <w:spacing w:after="0" w:line="210" w:lineRule="exact"/>
        <w:rPr>
          <w:rFonts w:ascii="Arial" w:cs="Arial" w:eastAsia="Arial" w:hAnsi="Arial"/>
          <w:sz w:val="18"/>
          <w:szCs w:val="18"/>
          <w:color w:val="auto"/>
        </w:rPr>
      </w:pPr>
    </w:p>
    <w:p>
      <w:pPr>
        <w:ind w:left="1340" w:hanging="1005"/>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5.57%</w:t>
      </w:r>
    </w:p>
    <w:p>
      <w:pPr>
        <w:spacing w:after="0" w:line="23" w:lineRule="exact"/>
        <w:rPr>
          <w:rFonts w:ascii="Arial" w:cs="Arial" w:eastAsia="Arial" w:hAnsi="Arial"/>
          <w:sz w:val="18"/>
          <w:szCs w:val="18"/>
          <w:color w:val="auto"/>
        </w:rPr>
      </w:pPr>
    </w:p>
    <w:p>
      <w:pPr>
        <w:ind w:left="1340" w:right="666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5.57% Deerfield Partners, L.P. – 2.44%</w:t>
      </w:r>
    </w:p>
    <w:p>
      <w:pPr>
        <w:ind w:left="1340" w:right="646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3.13% James E. Flynn – 5.57%</w:t>
      </w:r>
    </w:p>
    <w:p>
      <w:pPr>
        <w:spacing w:after="0" w:line="210" w:lineRule="exact"/>
        <w:rPr>
          <w:rFonts w:ascii="Arial" w:cs="Arial" w:eastAsia="Arial" w:hAnsi="Arial"/>
          <w:sz w:val="18"/>
          <w:szCs w:val="18"/>
          <w:color w:val="auto"/>
        </w:rPr>
      </w:pPr>
    </w:p>
    <w:p>
      <w:pPr>
        <w:ind w:left="1360" w:hanging="1013"/>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-1390650</wp:posOffset>
            </wp:positionV>
            <wp:extent cx="63976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97625" cy="1714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-276225</wp:posOffset>
            </wp:positionV>
            <wp:extent cx="63976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97625" cy="17145"/>
                    </a:xfrm>
                    <a:prstGeom prst="rect">
                      <a:avLst/>
                    </a:prstGeom>
                    <a:noFill/>
                  </pic:spPr>
                </pic:pic>
              </a:graphicData>
            </a:graphic>
          </wp:anchor>
        </w:drawing>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5080" w:type="dxa"/>
            <w:vAlign w:val="bottom"/>
          </w:tcPr>
          <w:p>
            <w:pPr>
              <w:ind w:left="40"/>
              <w:spacing w:after="0"/>
              <w:rPr>
                <w:sz w:val="20"/>
                <w:szCs w:val="20"/>
                <w:color w:val="auto"/>
              </w:rPr>
            </w:pPr>
            <w:r>
              <w:rPr>
                <w:rFonts w:ascii="Arial" w:cs="Arial" w:eastAsia="Arial" w:hAnsi="Arial"/>
                <w:sz w:val="18"/>
                <w:szCs w:val="18"/>
                <w:color w:val="auto"/>
              </w:rPr>
              <w:t>Sole power to vote or to direct the vote</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All Reporting Persons - 0</w:t>
            </w:r>
          </w:p>
        </w:tc>
        <w:tc>
          <w:tcPr>
            <w:tcW w:w="1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(ii)</w:t>
            </w:r>
          </w:p>
        </w:tc>
        <w:tc>
          <w:tcPr>
            <w:tcW w:w="5080" w:type="dxa"/>
            <w:vAlign w:val="bottom"/>
          </w:tcPr>
          <w:p>
            <w:pPr>
              <w:ind w:left="40"/>
              <w:spacing w:after="0"/>
              <w:rPr>
                <w:sz w:val="20"/>
                <w:szCs w:val="20"/>
                <w:color w:val="auto"/>
              </w:rPr>
            </w:pPr>
            <w:r>
              <w:rPr>
                <w:rFonts w:ascii="Arial" w:cs="Arial" w:eastAsia="Arial" w:hAnsi="Arial"/>
                <w:sz w:val="18"/>
                <w:szCs w:val="18"/>
                <w:color w:val="auto"/>
              </w:rPr>
              <w:t>Shared power to vote or to direct the vote</w:t>
            </w:r>
          </w:p>
        </w:tc>
        <w:tc>
          <w:tcPr>
            <w:tcW w:w="3160" w:type="dxa"/>
            <w:vAlign w:val="bottom"/>
            <w:gridSpan w:val="2"/>
          </w:tcPr>
          <w:p>
            <w:pPr>
              <w:spacing w:after="0"/>
              <w:rPr>
                <w:sz w:val="20"/>
                <w:szCs w:val="20"/>
                <w:color w:val="auto"/>
              </w:rPr>
            </w:pPr>
            <w:r>
              <w:rPr>
                <w:rFonts w:ascii="Arial" w:cs="Arial" w:eastAsia="Arial" w:hAnsi="Arial"/>
                <w:sz w:val="18"/>
                <w:szCs w:val="18"/>
                <w:color w:val="auto"/>
              </w:rPr>
              <w:t>Deerfield Mgmt, L.P. – 1,842,415</w:t>
            </w:r>
          </w:p>
        </w:tc>
        <w:tc>
          <w:tcPr>
            <w:tcW w:w="15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Deerfield Management Company, L.P. – 1,842,415</w:t>
            </w: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3"/>
              </w:rPr>
              <w:t>Deerfield Partners, L.P. –</w:t>
            </w:r>
          </w:p>
        </w:tc>
        <w:tc>
          <w:tcPr>
            <w:tcW w:w="1260" w:type="dxa"/>
            <w:vAlign w:val="bottom"/>
          </w:tcPr>
          <w:p>
            <w:pPr>
              <w:jc w:val="right"/>
              <w:ind w:right="530"/>
              <w:spacing w:after="0"/>
              <w:rPr>
                <w:sz w:val="20"/>
                <w:szCs w:val="20"/>
                <w:color w:val="auto"/>
              </w:rPr>
            </w:pPr>
            <w:r>
              <w:rPr>
                <w:rFonts w:ascii="Arial" w:cs="Arial" w:eastAsia="Arial" w:hAnsi="Arial"/>
                <w:sz w:val="18"/>
                <w:szCs w:val="18"/>
                <w:color w:val="auto"/>
                <w:w w:val="95"/>
              </w:rPr>
              <w:t>806,977</w:t>
            </w:r>
          </w:p>
        </w:tc>
        <w:tc>
          <w:tcPr>
            <w:tcW w:w="15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2"/>
              </w:rPr>
              <w:t>Deerfield International Master Fund, L.P. –</w:t>
            </w:r>
          </w:p>
        </w:tc>
        <w:tc>
          <w:tcPr>
            <w:tcW w:w="1500" w:type="dxa"/>
            <w:vAlign w:val="bottom"/>
          </w:tcPr>
          <w:p>
            <w:pPr>
              <w:jc w:val="right"/>
              <w:ind w:right="650"/>
              <w:spacing w:after="0"/>
              <w:rPr>
                <w:sz w:val="20"/>
                <w:szCs w:val="20"/>
                <w:color w:val="auto"/>
              </w:rPr>
            </w:pPr>
            <w:r>
              <w:rPr>
                <w:rFonts w:ascii="Arial" w:cs="Arial" w:eastAsia="Arial" w:hAnsi="Arial"/>
                <w:sz w:val="18"/>
                <w:szCs w:val="18"/>
                <w:color w:val="auto"/>
                <w:w w:val="92"/>
              </w:rPr>
              <w:t>1,035,438</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Flynn - 1,842,415</w:t>
            </w:r>
          </w:p>
        </w:tc>
        <w:tc>
          <w:tcPr>
            <w:tcW w:w="1500" w:type="dxa"/>
            <w:vAlign w:val="bottom"/>
            <w:tcBorders>
              <w:bottom w:val="single" w:sz="8" w:color="auto"/>
            </w:tcBorders>
          </w:tcPr>
          <w:p>
            <w:pPr>
              <w:spacing w:after="0"/>
              <w:rPr>
                <w:sz w:val="20"/>
                <w:szCs w:val="20"/>
                <w:color w:val="auto"/>
              </w:rPr>
            </w:pPr>
          </w:p>
        </w:tc>
      </w:tr>
      <w:tr>
        <w:trPr>
          <w:trHeight w:val="439"/>
        </w:trPr>
        <w:tc>
          <w:tcPr>
            <w:tcW w:w="320" w:type="dxa"/>
            <w:vAlign w:val="bottom"/>
          </w:tcPr>
          <w:p>
            <w:pPr>
              <w:spacing w:after="0"/>
              <w:rPr>
                <w:sz w:val="20"/>
                <w:szCs w:val="20"/>
                <w:color w:val="auto"/>
              </w:rPr>
            </w:pPr>
            <w:r>
              <w:rPr>
                <w:rFonts w:ascii="Arial" w:cs="Arial" w:eastAsia="Arial" w:hAnsi="Arial"/>
                <w:sz w:val="18"/>
                <w:szCs w:val="18"/>
                <w:color w:val="auto"/>
              </w:rPr>
              <w:t>(iii)</w:t>
            </w:r>
          </w:p>
        </w:tc>
        <w:tc>
          <w:tcPr>
            <w:tcW w:w="5080" w:type="dxa"/>
            <w:vAlign w:val="bottom"/>
          </w:tcPr>
          <w:p>
            <w:pPr>
              <w:ind w:left="40"/>
              <w:spacing w:after="0"/>
              <w:rPr>
                <w:sz w:val="20"/>
                <w:szCs w:val="20"/>
                <w:color w:val="auto"/>
              </w:rPr>
            </w:pPr>
            <w:r>
              <w:rPr>
                <w:rFonts w:ascii="Arial" w:cs="Arial" w:eastAsia="Arial" w:hAnsi="Arial"/>
                <w:sz w:val="18"/>
                <w:szCs w:val="18"/>
                <w:color w:val="auto"/>
              </w:rPr>
              <w:t>Sole power to dispose or to direct the disposition of</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All Reporting Persons - 0</w:t>
            </w:r>
          </w:p>
        </w:tc>
        <w:tc>
          <w:tcPr>
            <w:tcW w:w="1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418"/>
        </w:trPr>
        <w:tc>
          <w:tcPr>
            <w:tcW w:w="5400" w:type="dxa"/>
            <w:vAlign w:val="bottom"/>
            <w:gridSpan w:val="2"/>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3160" w:type="dxa"/>
            <w:vAlign w:val="bottom"/>
            <w:gridSpan w:val="2"/>
          </w:tcPr>
          <w:p>
            <w:pPr>
              <w:spacing w:after="0"/>
              <w:rPr>
                <w:sz w:val="20"/>
                <w:szCs w:val="20"/>
                <w:color w:val="auto"/>
              </w:rPr>
            </w:pPr>
            <w:r>
              <w:rPr>
                <w:rFonts w:ascii="Arial" w:cs="Arial" w:eastAsia="Arial" w:hAnsi="Arial"/>
                <w:sz w:val="18"/>
                <w:szCs w:val="18"/>
                <w:color w:val="auto"/>
              </w:rPr>
              <w:t>Deerfield Mgmt, L.P. – 1,842,415</w:t>
            </w:r>
          </w:p>
        </w:tc>
        <w:tc>
          <w:tcPr>
            <w:tcW w:w="15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Deerfield Management Company, L.P. – 1,842,415</w:t>
            </w: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3"/>
              </w:rPr>
              <w:t>Deerfield Partners, L.P. –</w:t>
            </w:r>
          </w:p>
        </w:tc>
        <w:tc>
          <w:tcPr>
            <w:tcW w:w="1260" w:type="dxa"/>
            <w:vAlign w:val="bottom"/>
          </w:tcPr>
          <w:p>
            <w:pPr>
              <w:jc w:val="right"/>
              <w:ind w:right="530"/>
              <w:spacing w:after="0"/>
              <w:rPr>
                <w:sz w:val="20"/>
                <w:szCs w:val="20"/>
                <w:color w:val="auto"/>
              </w:rPr>
            </w:pPr>
            <w:r>
              <w:rPr>
                <w:rFonts w:ascii="Arial" w:cs="Arial" w:eastAsia="Arial" w:hAnsi="Arial"/>
                <w:sz w:val="18"/>
                <w:szCs w:val="18"/>
                <w:color w:val="auto"/>
                <w:w w:val="95"/>
              </w:rPr>
              <w:t>806,977</w:t>
            </w:r>
          </w:p>
        </w:tc>
        <w:tc>
          <w:tcPr>
            <w:tcW w:w="15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2"/>
              </w:rPr>
              <w:t>Deerfield International Master Fund, L.P. –</w:t>
            </w:r>
          </w:p>
        </w:tc>
        <w:tc>
          <w:tcPr>
            <w:tcW w:w="1500" w:type="dxa"/>
            <w:vAlign w:val="bottom"/>
          </w:tcPr>
          <w:p>
            <w:pPr>
              <w:jc w:val="right"/>
              <w:ind w:right="650"/>
              <w:spacing w:after="0"/>
              <w:rPr>
                <w:sz w:val="20"/>
                <w:szCs w:val="20"/>
                <w:color w:val="auto"/>
              </w:rPr>
            </w:pPr>
            <w:r>
              <w:rPr>
                <w:rFonts w:ascii="Arial" w:cs="Arial" w:eastAsia="Arial" w:hAnsi="Arial"/>
                <w:sz w:val="18"/>
                <w:szCs w:val="18"/>
                <w:color w:val="auto"/>
                <w:w w:val="92"/>
              </w:rPr>
              <w:t>1,035,438</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Flynn - 1,842,415</w:t>
            </w:r>
          </w:p>
        </w:tc>
        <w:tc>
          <w:tcPr>
            <w:tcW w:w="150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 w:name="page9"/>
    <w:bookmarkEnd w:id="8"/>
    <w:p>
      <w:pPr>
        <w:ind w:left="20"/>
        <w:spacing w:after="0"/>
        <w:tabs>
          <w:tab w:leader="none" w:pos="5700" w:val="left"/>
          <w:tab w:leader="none" w:pos="10020" w:val="left"/>
        </w:tabs>
        <w:rPr>
          <w:sz w:val="20"/>
          <w:szCs w:val="20"/>
          <w:color w:val="auto"/>
        </w:rPr>
      </w:pPr>
      <w:r>
        <w:rPr>
          <w:rFonts w:ascii="Arial" w:cs="Arial" w:eastAsia="Arial" w:hAnsi="Arial"/>
          <w:sz w:val="18"/>
          <w:szCs w:val="18"/>
          <w:color w:val="auto"/>
        </w:rPr>
        <w:t>CUSIP No. 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10 Pages</w:t>
      </w:r>
    </w:p>
    <w:p>
      <w:pPr>
        <w:spacing w:after="0" w:line="2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271780</wp:posOffset>
            </wp:positionV>
            <wp:extent cx="67322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ind w:left="820" w:right="280" w:hanging="809"/>
        <w:spacing w:after="0" w:line="277" w:lineRule="auto"/>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right="500" w:firstLine="225"/>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9" w:name="page10"/>
    <w:bookmarkEnd w:id="9"/>
    <w:p>
      <w:pPr>
        <w:ind w:left="5220" w:right="3000" w:hanging="5190"/>
        <w:spacing w:after="0" w:line="572" w:lineRule="auto"/>
        <w:tabs>
          <w:tab w:leader="none" w:pos="5200" w:val="left"/>
        </w:tabs>
        <w:rPr>
          <w:sz w:val="20"/>
          <w:szCs w:val="20"/>
          <w:color w:val="auto"/>
        </w:rPr>
      </w:pPr>
      <w:r>
        <w:rPr>
          <w:rFonts w:ascii="Arial" w:cs="Arial" w:eastAsia="Arial" w:hAnsi="Arial"/>
          <w:sz w:val="18"/>
          <w:szCs w:val="18"/>
          <w:color w:val="auto"/>
        </w:rPr>
        <w:t>CUSIP No. 09627Y109</w:t>
      </w:r>
      <w:r>
        <w:rPr>
          <w:sz w:val="20"/>
          <w:szCs w:val="20"/>
          <w:color w:val="auto"/>
        </w:rPr>
        <w:tab/>
      </w:r>
      <w:r>
        <w:rPr>
          <w:rFonts w:ascii="Arial" w:cs="Arial" w:eastAsia="Arial" w:hAnsi="Arial"/>
          <w:sz w:val="17"/>
          <w:szCs w:val="17"/>
          <w:color w:val="auto"/>
        </w:rPr>
        <w:t>13G 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10 of 10 Pages</w:t>
      </w:r>
    </w:p>
    <w:p>
      <w:pPr>
        <w:spacing w:after="0" w:line="760" w:lineRule="exact"/>
        <w:rPr>
          <w:sz w:val="20"/>
          <w:szCs w:val="20"/>
          <w:color w:val="auto"/>
        </w:rPr>
      </w:pPr>
    </w:p>
    <w:p>
      <w:pPr>
        <w:sectPr>
          <w:pgSz w:w="11900" w:h="16838" w:orient="portrait"/>
          <w:cols w:equalWidth="0" w:num="2">
            <w:col w:w="9220" w:space="720"/>
            <w:col w:w="1460"/>
          </w:cols>
          <w:pgMar w:left="240" w:top="530" w:right="259" w:bottom="1440" w:gutter="0" w:footer="0" w:header="0"/>
        </w:sect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type w:val="continuous"/>
        </w:sectPr>
      </w:pPr>
    </w:p>
    <w:bookmarkStart w:id="10" w:name="page11"/>
    <w:bookmarkEnd w:id="10"/>
    <w:p>
      <w:pPr>
        <w:jc w:val="center"/>
        <w:ind w:right="-39"/>
        <w:spacing w:after="0"/>
        <w:rPr>
          <w:sz w:val="20"/>
          <w:szCs w:val="20"/>
          <w:color w:val="auto"/>
        </w:rPr>
      </w:pPr>
      <w:r>
        <w:rPr>
          <w:rFonts w:ascii="Arial" w:cs="Arial" w:eastAsia="Arial" w:hAnsi="Arial"/>
          <w:sz w:val="18"/>
          <w:szCs w:val="18"/>
          <w:color w:val="auto"/>
        </w:rPr>
        <w:t>Exhibit List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Exhibit A . Joint Filing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C.(1) Power of Attorney.</w:t>
      </w:r>
    </w:p>
    <w:p>
      <w:pPr>
        <w:spacing w:after="0" w:line="252" w:lineRule="exact"/>
        <w:rPr>
          <w:sz w:val="20"/>
          <w:szCs w:val="20"/>
          <w:color w:val="auto"/>
        </w:rPr>
      </w:pPr>
    </w:p>
    <w:p>
      <w:pPr>
        <w:jc w:val="both"/>
        <w:ind w:firstLine="8"/>
        <w:spacing w:after="0" w:line="264"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Power of Attorney previously filed as Exhibit 24 to a Form 3 with regard to Editas Medicine, Inc. filed with the Securities and Exchange Commission on February 2, 2016 by Deerfield Mgmt III, L.P., Deerfield Management Company, L.P., Deerfield Healthcare Innovations Fund, L.P., Deerfield Mgmt HIF, L.P., Deerfield Private Design Fund III,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Blueprint Medicines Corporation shall be filed on behalf of the undersigned.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Exhibit B</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Due to the relationships between them, the reporting persons hereunder may be deemed to constitute a “group” with one another for purposes of Section 13(d)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of the Securities Exchange Act of 1934.</w:t>
      </w:r>
    </w:p>
    <w:sectPr>
      <w:pgSz w:w="11900" w:h="16838" w:orient="portrait"/>
      <w:cols w:equalWidth="0" w:num="1">
        <w:col w:w="11400"/>
      </w:cols>
      <w:pgMar w:left="240"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lvl w:ilvl="1">
      <w:lvlJc w:val="left"/>
      <w:lvlText w:val="(%2)"/>
      <w:numFmt w:val="lowerLetter"/>
      <w:start w:val="7"/>
    </w:lvl>
  </w:abstractNum>
  <w:abstractNum w:abstractNumId="5">
    <w:nsid w:val="41B71EFB"/>
    <w:multiLevelType w:val="hybridMultilevel"/>
    <w:lvl w:ilvl="0">
      <w:lvlJc w:val="left"/>
      <w:lvlText w:val="(%1)"/>
      <w:numFmt w:val="lowerLetter"/>
      <w:start w:val="10"/>
    </w:lvl>
    <w:lvl w:ilvl="1">
      <w:lvlJc w:val="left"/>
      <w:lvlText w:val="(%2)"/>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2019-12-09T00:56:11Z</dcterms:created>
  <dcterms:modified xsi:type="dcterms:W3CDTF">2019-12-09T00:56:11Z</dcterms:modified>
</cp:coreProperties>
</file>