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278130</wp:posOffset>
            </wp:positionH>
            <wp:positionV relativeFrom="page">
              <wp:posOffset>115570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278130</wp:posOffset>
            </wp:positionH>
            <wp:positionV relativeFrom="page">
              <wp:posOffset>158115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Blueprint Medicines Corporation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COMMON STOCK, $0.001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09627Y109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December 31, 2018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296545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80" w:hanging="201"/>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080" w:hanging="201"/>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080" w:hanging="201"/>
        <w:spacing w:after="0"/>
        <w:tabs>
          <w:tab w:leader="none" w:pos="10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151130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194310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437" w:right="519" w:bottom="1440" w:gutter="0" w:footer="0" w:header="0"/>
        </w:sectPr>
      </w:pPr>
    </w:p>
    <w:bookmarkStart w:id="1" w:name="page2"/>
    <w:bookmarkEnd w:id="1"/>
    <w:p>
      <w:pPr>
        <w:ind w:left="2"/>
        <w:spacing w:after="0"/>
        <w:tabs>
          <w:tab w:leader="none" w:pos="4862" w:val="left"/>
          <w:tab w:leader="none" w:pos="9582"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80605" cy="38100"/>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2 of 12 Pages</w:t>
      </w:r>
    </w:p>
    <w:p>
      <w:pPr>
        <w:spacing w:after="0" w:line="270" w:lineRule="exact"/>
        <w:rPr>
          <w:sz w:val="20"/>
          <w:szCs w:val="20"/>
          <w:color w:val="auto"/>
        </w:rPr>
      </w:pPr>
    </w:p>
    <w:p>
      <w:pPr>
        <w:ind w:left="822" w:hanging="575"/>
        <w:spacing w:after="0"/>
        <w:tabs>
          <w:tab w:leader="none" w:pos="822"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5237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19" w:lineRule="exact"/>
        <w:rPr>
          <w:sz w:val="20"/>
          <w:szCs w:val="20"/>
          <w:color w:val="auto"/>
        </w:rPr>
      </w:pPr>
    </w:p>
    <w:p>
      <w:pPr>
        <w:ind w:left="822"/>
        <w:spacing w:after="0"/>
        <w:rPr>
          <w:sz w:val="20"/>
          <w:szCs w:val="20"/>
          <w:color w:val="auto"/>
        </w:rPr>
      </w:pPr>
      <w:r>
        <w:rPr>
          <w:rFonts w:ascii="Arial" w:cs="Arial" w:eastAsia="Arial" w:hAnsi="Arial"/>
          <w:sz w:val="22"/>
          <w:szCs w:val="22"/>
          <w:b w:val="1"/>
          <w:bCs w:val="1"/>
          <w:color w:val="auto"/>
        </w:rPr>
        <w:t>Third Rock Ventures II, L.P.</w:t>
      </w:r>
    </w:p>
    <w:p>
      <w:pPr>
        <w:spacing w:after="0" w:line="30" w:lineRule="exact"/>
        <w:rPr>
          <w:sz w:val="20"/>
          <w:szCs w:val="20"/>
          <w:color w:val="auto"/>
        </w:rPr>
      </w:pPr>
    </w:p>
    <w:p>
      <w:pPr>
        <w:ind w:left="822" w:hanging="575"/>
        <w:spacing w:after="0"/>
        <w:tabs>
          <w:tab w:leader="none" w:pos="82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22"/>
        <w:spacing w:after="0" w:line="207" w:lineRule="exact"/>
        <w:tabs>
          <w:tab w:leader="none" w:pos="1622"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22" w:hanging="575"/>
        <w:spacing w:after="0"/>
        <w:tabs>
          <w:tab w:leader="none" w:pos="82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22" w:hanging="575"/>
        <w:spacing w:after="0"/>
        <w:tabs>
          <w:tab w:leader="none" w:pos="822"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1042"/>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982" w:hanging="349"/>
        <w:spacing w:after="0"/>
        <w:tabs>
          <w:tab w:leader="none" w:pos="1982"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162" w:type="dxa"/>
        <w:tblCellMar>
          <w:top w:w="0" w:type="dxa"/>
          <w:left w:w="0" w:type="dxa"/>
          <w:bottom w:w="0" w:type="dxa"/>
          <w:right w:w="0" w:type="dxa"/>
        </w:tblCellMar>
      </w:tblPr>
      <w:tr>
        <w:trPr>
          <w:trHeight w:val="276"/>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40" w:type="dxa"/>
            <w:vAlign w:val="bottom"/>
            <w:vMerge w:val="restart"/>
          </w:tcPr>
          <w:p>
            <w:pPr>
              <w:ind w:left="100"/>
              <w:spacing w:after="0"/>
              <w:rPr>
                <w:sz w:val="20"/>
                <w:szCs w:val="20"/>
                <w:color w:val="auto"/>
              </w:rPr>
            </w:pPr>
            <w:r>
              <w:rPr>
                <w:rFonts w:ascii="Arial" w:cs="Arial" w:eastAsia="Arial" w:hAnsi="Arial"/>
                <w:sz w:val="22"/>
                <w:szCs w:val="22"/>
                <w:color w:val="auto"/>
              </w:rPr>
              <w:t>878,875</w:t>
            </w:r>
          </w:p>
        </w:tc>
        <w:tc>
          <w:tcPr>
            <w:tcW w:w="0" w:type="dxa"/>
            <w:vAlign w:val="bottom"/>
          </w:tcPr>
          <w:p>
            <w:pPr>
              <w:spacing w:after="0"/>
              <w:rPr>
                <w:sz w:val="1"/>
                <w:szCs w:val="1"/>
                <w:color w:val="auto"/>
              </w:rPr>
            </w:pPr>
          </w:p>
        </w:tc>
      </w:tr>
      <w:tr>
        <w:trPr>
          <w:trHeight w:val="230"/>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6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20"/>
                <w:szCs w:val="20"/>
                <w:color w:val="auto"/>
              </w:rPr>
            </w:pPr>
          </w:p>
        </w:tc>
        <w:tc>
          <w:tcPr>
            <w:tcW w:w="914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6"/>
                <w:szCs w:val="6"/>
                <w:color w:val="auto"/>
              </w:rPr>
            </w:pPr>
          </w:p>
        </w:tc>
        <w:tc>
          <w:tcPr>
            <w:tcW w:w="9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360" w:type="dxa"/>
            <w:vAlign w:val="bottom"/>
            <w:vMerge w:val="continue"/>
          </w:tcPr>
          <w:p>
            <w:pPr>
              <w:spacing w:after="0"/>
              <w:rPr>
                <w:sz w:val="11"/>
                <w:szCs w:val="11"/>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13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2"/>
        <w:spacing w:after="0"/>
        <w:rPr>
          <w:sz w:val="20"/>
          <w:szCs w:val="20"/>
          <w:color w:val="auto"/>
        </w:rPr>
      </w:pPr>
      <w:r>
        <w:rPr>
          <w:rFonts w:ascii="Arial" w:cs="Arial" w:eastAsia="Arial" w:hAnsi="Arial"/>
          <w:sz w:val="22"/>
          <w:szCs w:val="22"/>
          <w:color w:val="auto"/>
        </w:rPr>
        <w:t>878,875</w:t>
      </w:r>
    </w:p>
    <w:p>
      <w:pPr>
        <w:spacing w:after="0" w:line="24" w:lineRule="exact"/>
        <w:rPr>
          <w:sz w:val="20"/>
          <w:szCs w:val="20"/>
          <w:color w:val="auto"/>
        </w:rPr>
      </w:pPr>
    </w:p>
    <w:p>
      <w:pPr>
        <w:ind w:left="822" w:hanging="575"/>
        <w:spacing w:after="0"/>
        <w:tabs>
          <w:tab w:leader="none" w:pos="822"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22"/>
        <w:spacing w:after="0"/>
        <w:rPr>
          <w:sz w:val="20"/>
          <w:szCs w:val="20"/>
          <w:color w:val="auto"/>
        </w:rPr>
      </w:pPr>
      <w:r>
        <w:rPr>
          <w:rFonts w:ascii="Arial" w:cs="Arial" w:eastAsia="Arial" w:hAnsi="Arial"/>
          <w:sz w:val="22"/>
          <w:szCs w:val="22"/>
          <w:color w:val="auto"/>
        </w:rPr>
        <w:t>878,875</w:t>
      </w:r>
    </w:p>
    <w:p>
      <w:pPr>
        <w:spacing w:after="0" w:line="21" w:lineRule="exact"/>
        <w:rPr>
          <w:sz w:val="20"/>
          <w:szCs w:val="20"/>
          <w:color w:val="auto"/>
        </w:rPr>
      </w:pPr>
    </w:p>
    <w:p>
      <w:pPr>
        <w:ind w:left="822" w:hanging="665"/>
        <w:spacing w:after="0" w:line="207" w:lineRule="exact"/>
        <w:tabs>
          <w:tab w:leader="none" w:pos="822"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822" w:hanging="665"/>
        <w:spacing w:after="0"/>
        <w:tabs>
          <w:tab w:leader="none" w:pos="82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822"/>
        <w:spacing w:after="0"/>
        <w:rPr>
          <w:sz w:val="20"/>
          <w:szCs w:val="20"/>
          <w:color w:val="auto"/>
        </w:rPr>
      </w:pPr>
      <w:r>
        <w:rPr>
          <w:rFonts w:ascii="Arial" w:cs="Arial" w:eastAsia="Arial" w:hAnsi="Arial"/>
          <w:sz w:val="22"/>
          <w:szCs w:val="22"/>
          <w:color w:val="auto"/>
        </w:rPr>
        <w:t>2.0% (1)</w:t>
      </w:r>
    </w:p>
    <w:p>
      <w:pPr>
        <w:spacing w:after="0" w:line="24" w:lineRule="exact"/>
        <w:rPr>
          <w:sz w:val="20"/>
          <w:szCs w:val="20"/>
          <w:color w:val="auto"/>
        </w:rPr>
      </w:pPr>
    </w:p>
    <w:p>
      <w:pPr>
        <w:ind w:left="822" w:hanging="665"/>
        <w:spacing w:after="0"/>
        <w:tabs>
          <w:tab w:leader="none" w:pos="822"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5" w:lineRule="exact"/>
        <w:rPr>
          <w:sz w:val="20"/>
          <w:szCs w:val="20"/>
          <w:color w:val="auto"/>
        </w:rPr>
      </w:pPr>
    </w:p>
    <w:p>
      <w:pPr>
        <w:ind w:left="822"/>
        <w:spacing w:after="0"/>
        <w:rPr>
          <w:sz w:val="20"/>
          <w:szCs w:val="20"/>
          <w:color w:val="auto"/>
        </w:rPr>
      </w:pPr>
      <w:r>
        <w:rPr>
          <w:rFonts w:ascii="Arial" w:cs="Arial" w:eastAsia="Arial" w:hAnsi="Arial"/>
          <w:sz w:val="22"/>
          <w:szCs w:val="22"/>
          <w:color w:val="auto"/>
        </w:rPr>
        <w:t>PN</w:t>
      </w:r>
    </w:p>
    <w:p>
      <w:pPr>
        <w:spacing w:after="0" w:line="267" w:lineRule="exact"/>
        <w:rPr>
          <w:sz w:val="20"/>
          <w:szCs w:val="20"/>
          <w:color w:val="auto"/>
        </w:rPr>
      </w:pPr>
    </w:p>
    <w:p>
      <w:pPr>
        <w:ind w:left="442" w:right="220" w:hanging="442"/>
        <w:spacing w:after="0" w:line="308" w:lineRule="auto"/>
        <w:tabs>
          <w:tab w:leader="none" w:pos="44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percent of class was calculated based on 43,950,375 shares of common stock issued and outstanding as of October 26, 2018, as disclosed in the Issuer’s Prospectus Supplement filed with the Securities and Exchange Commission on October 30, 2018.</w:t>
      </w:r>
    </w:p>
    <w:p>
      <w:pPr>
        <w:sectPr>
          <w:pgSz w:w="11900" w:h="16838" w:orient="portrait"/>
          <w:cols w:equalWidth="0" w:num="1">
            <w:col w:w="11022"/>
          </w:cols>
          <w:pgMar w:left="438" w:top="190" w:right="439" w:bottom="1440" w:gutter="0" w:footer="0" w:header="0"/>
        </w:sectPr>
      </w:pPr>
    </w:p>
    <w:bookmarkStart w:id="2" w:name="page3"/>
    <w:bookmarkEnd w:id="2"/>
    <w:p>
      <w:pPr>
        <w:spacing w:after="0"/>
        <w:tabs>
          <w:tab w:leader="none" w:pos="4860" w:val="left"/>
          <w:tab w:leader="none" w:pos="9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3 of 12 Pages</w:t>
      </w:r>
    </w:p>
    <w:p>
      <w:pPr>
        <w:spacing w:after="0" w:line="175" w:lineRule="exact"/>
        <w:rPr>
          <w:sz w:val="20"/>
          <w:szCs w:val="20"/>
          <w:color w:val="auto"/>
        </w:rPr>
      </w:pPr>
    </w:p>
    <w:p>
      <w:pPr>
        <w:ind w:left="820" w:hanging="57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003415" cy="5237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Third Rock Ventures GP II, L.P.</w:t>
      </w:r>
    </w:p>
    <w:p>
      <w:pPr>
        <w:spacing w:after="0" w:line="30" w:lineRule="exact"/>
        <w:rPr>
          <w:sz w:val="20"/>
          <w:szCs w:val="20"/>
          <w:color w:val="auto"/>
        </w:rPr>
      </w:pPr>
    </w:p>
    <w:p>
      <w:pPr>
        <w:ind w:left="820" w:hanging="575"/>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20" w:hanging="57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20" w:hanging="57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980" w:hanging="349"/>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40" w:type="dxa"/>
            <w:vAlign w:val="bottom"/>
            <w:vMerge w:val="restart"/>
          </w:tcPr>
          <w:p>
            <w:pPr>
              <w:ind w:left="100"/>
              <w:spacing w:after="0"/>
              <w:rPr>
                <w:sz w:val="20"/>
                <w:szCs w:val="20"/>
                <w:color w:val="auto"/>
              </w:rPr>
            </w:pPr>
            <w:r>
              <w:rPr>
                <w:rFonts w:ascii="Arial" w:cs="Arial" w:eastAsia="Arial" w:hAnsi="Arial"/>
                <w:sz w:val="22"/>
                <w:szCs w:val="22"/>
                <w:color w:val="auto"/>
              </w:rPr>
              <w:t>878,875</w:t>
            </w:r>
          </w:p>
        </w:tc>
        <w:tc>
          <w:tcPr>
            <w:tcW w:w="0" w:type="dxa"/>
            <w:vAlign w:val="bottom"/>
          </w:tcPr>
          <w:p>
            <w:pPr>
              <w:spacing w:after="0"/>
              <w:rPr>
                <w:sz w:val="1"/>
                <w:szCs w:val="1"/>
                <w:color w:val="auto"/>
              </w:rPr>
            </w:pPr>
          </w:p>
        </w:tc>
      </w:tr>
      <w:tr>
        <w:trPr>
          <w:trHeight w:val="230"/>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6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20"/>
                <w:szCs w:val="20"/>
                <w:color w:val="auto"/>
              </w:rPr>
            </w:pPr>
          </w:p>
        </w:tc>
        <w:tc>
          <w:tcPr>
            <w:tcW w:w="914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6"/>
                <w:szCs w:val="6"/>
                <w:color w:val="auto"/>
              </w:rPr>
            </w:pPr>
          </w:p>
        </w:tc>
        <w:tc>
          <w:tcPr>
            <w:tcW w:w="9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360" w:type="dxa"/>
            <w:vAlign w:val="bottom"/>
            <w:vMerge w:val="continue"/>
          </w:tcPr>
          <w:p>
            <w:pPr>
              <w:spacing w:after="0"/>
              <w:rPr>
                <w:sz w:val="11"/>
                <w:szCs w:val="11"/>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13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878,875</w:t>
      </w:r>
    </w:p>
    <w:p>
      <w:pPr>
        <w:spacing w:after="0" w:line="24" w:lineRule="exact"/>
        <w:rPr>
          <w:sz w:val="20"/>
          <w:szCs w:val="20"/>
          <w:color w:val="auto"/>
        </w:rPr>
      </w:pPr>
    </w:p>
    <w:p>
      <w:pPr>
        <w:ind w:left="820" w:hanging="57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878,875</w:t>
      </w:r>
    </w:p>
    <w:p>
      <w:pPr>
        <w:spacing w:after="0" w:line="21" w:lineRule="exact"/>
        <w:rPr>
          <w:sz w:val="20"/>
          <w:szCs w:val="20"/>
          <w:color w:val="auto"/>
        </w:rPr>
      </w:pPr>
    </w:p>
    <w:p>
      <w:pPr>
        <w:ind w:left="820" w:hanging="665"/>
        <w:spacing w:after="0" w:line="207" w:lineRule="exact"/>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820" w:hanging="66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2.0% (1)</w:t>
      </w:r>
    </w:p>
    <w:p>
      <w:pPr>
        <w:spacing w:after="0" w:line="24" w:lineRule="exact"/>
        <w:rPr>
          <w:sz w:val="20"/>
          <w:szCs w:val="20"/>
          <w:color w:val="auto"/>
        </w:rPr>
      </w:pPr>
    </w:p>
    <w:p>
      <w:pPr>
        <w:ind w:left="820" w:hanging="66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020"/>
          </w:cols>
          <w:pgMar w:left="440" w:top="190" w:right="439" w:bottom="1440" w:gutter="0" w:footer="0" w:header="0"/>
        </w:sectPr>
      </w:pPr>
    </w:p>
    <w:bookmarkStart w:id="3" w:name="page4"/>
    <w:bookmarkEnd w:id="3"/>
    <w:p>
      <w:pPr>
        <w:spacing w:after="0"/>
        <w:tabs>
          <w:tab w:leader="none" w:pos="4860" w:val="left"/>
          <w:tab w:leader="none" w:pos="9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4 of 12 Pages</w:t>
      </w:r>
    </w:p>
    <w:p>
      <w:pPr>
        <w:spacing w:after="0" w:line="175" w:lineRule="exact"/>
        <w:rPr>
          <w:sz w:val="20"/>
          <w:szCs w:val="20"/>
          <w:color w:val="auto"/>
        </w:rPr>
      </w:pPr>
    </w:p>
    <w:p>
      <w:pPr>
        <w:ind w:left="820" w:hanging="57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003415" cy="5237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TRV GP II, LLC</w:t>
      </w:r>
    </w:p>
    <w:p>
      <w:pPr>
        <w:spacing w:after="0" w:line="30" w:lineRule="exact"/>
        <w:rPr>
          <w:sz w:val="20"/>
          <w:szCs w:val="20"/>
          <w:color w:val="auto"/>
        </w:rPr>
      </w:pPr>
    </w:p>
    <w:p>
      <w:pPr>
        <w:ind w:left="820" w:hanging="57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20" w:hanging="57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20" w:hanging="57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980" w:hanging="349"/>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40" w:type="dxa"/>
            <w:vAlign w:val="bottom"/>
            <w:vMerge w:val="restart"/>
          </w:tcPr>
          <w:p>
            <w:pPr>
              <w:ind w:left="100"/>
              <w:spacing w:after="0"/>
              <w:rPr>
                <w:sz w:val="20"/>
                <w:szCs w:val="20"/>
                <w:color w:val="auto"/>
              </w:rPr>
            </w:pPr>
            <w:r>
              <w:rPr>
                <w:rFonts w:ascii="Arial" w:cs="Arial" w:eastAsia="Arial" w:hAnsi="Arial"/>
                <w:sz w:val="22"/>
                <w:szCs w:val="22"/>
                <w:color w:val="auto"/>
              </w:rPr>
              <w:t>878,875</w:t>
            </w:r>
          </w:p>
        </w:tc>
        <w:tc>
          <w:tcPr>
            <w:tcW w:w="0" w:type="dxa"/>
            <w:vAlign w:val="bottom"/>
          </w:tcPr>
          <w:p>
            <w:pPr>
              <w:spacing w:after="0"/>
              <w:rPr>
                <w:sz w:val="1"/>
                <w:szCs w:val="1"/>
                <w:color w:val="auto"/>
              </w:rPr>
            </w:pPr>
          </w:p>
        </w:tc>
      </w:tr>
      <w:tr>
        <w:trPr>
          <w:trHeight w:val="230"/>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6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20"/>
                <w:szCs w:val="20"/>
                <w:color w:val="auto"/>
              </w:rPr>
            </w:pPr>
          </w:p>
        </w:tc>
        <w:tc>
          <w:tcPr>
            <w:tcW w:w="914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6"/>
                <w:szCs w:val="6"/>
                <w:color w:val="auto"/>
              </w:rPr>
            </w:pPr>
          </w:p>
        </w:tc>
        <w:tc>
          <w:tcPr>
            <w:tcW w:w="9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360" w:type="dxa"/>
            <w:vAlign w:val="bottom"/>
            <w:vMerge w:val="continue"/>
          </w:tcPr>
          <w:p>
            <w:pPr>
              <w:spacing w:after="0"/>
              <w:rPr>
                <w:sz w:val="11"/>
                <w:szCs w:val="11"/>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13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878,875</w:t>
      </w:r>
    </w:p>
    <w:p>
      <w:pPr>
        <w:spacing w:after="0" w:line="24" w:lineRule="exact"/>
        <w:rPr>
          <w:sz w:val="20"/>
          <w:szCs w:val="20"/>
          <w:color w:val="auto"/>
        </w:rPr>
      </w:pPr>
    </w:p>
    <w:p>
      <w:pPr>
        <w:ind w:left="820" w:hanging="57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878,875</w:t>
      </w:r>
    </w:p>
    <w:p>
      <w:pPr>
        <w:spacing w:after="0" w:line="21" w:lineRule="exact"/>
        <w:rPr>
          <w:sz w:val="20"/>
          <w:szCs w:val="20"/>
          <w:color w:val="auto"/>
        </w:rPr>
      </w:pPr>
    </w:p>
    <w:p>
      <w:pPr>
        <w:ind w:left="820" w:hanging="665"/>
        <w:spacing w:after="0" w:line="207" w:lineRule="exact"/>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820" w:hanging="665"/>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2.0% (1)</w:t>
      </w:r>
    </w:p>
    <w:p>
      <w:pPr>
        <w:spacing w:after="0" w:line="24" w:lineRule="exact"/>
        <w:rPr>
          <w:sz w:val="20"/>
          <w:szCs w:val="20"/>
          <w:color w:val="auto"/>
        </w:rPr>
      </w:pPr>
    </w:p>
    <w:p>
      <w:pPr>
        <w:ind w:left="820" w:hanging="665"/>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020"/>
          </w:cols>
          <w:pgMar w:left="440" w:top="190" w:right="439" w:bottom="1440" w:gutter="0" w:footer="0" w:header="0"/>
        </w:sectPr>
      </w:pPr>
    </w:p>
    <w:bookmarkStart w:id="4" w:name="page5"/>
    <w:bookmarkEnd w:id="4"/>
    <w:p>
      <w:pPr>
        <w:spacing w:after="0"/>
        <w:tabs>
          <w:tab w:leader="none" w:pos="4860" w:val="left"/>
          <w:tab w:leader="none" w:pos="9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5 of 12 Pages</w:t>
      </w:r>
    </w:p>
    <w:p>
      <w:pPr>
        <w:spacing w:after="0" w:line="175" w:lineRule="exact"/>
        <w:rPr>
          <w:sz w:val="20"/>
          <w:szCs w:val="20"/>
          <w:color w:val="auto"/>
        </w:rPr>
      </w:pPr>
    </w:p>
    <w:p>
      <w:pPr>
        <w:ind w:left="820" w:hanging="575"/>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003415" cy="5237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Mark Levin</w:t>
      </w:r>
    </w:p>
    <w:p>
      <w:pPr>
        <w:spacing w:after="0" w:line="30" w:lineRule="exact"/>
        <w:rPr>
          <w:sz w:val="20"/>
          <w:szCs w:val="20"/>
          <w:color w:val="auto"/>
        </w:rPr>
      </w:pPr>
    </w:p>
    <w:p>
      <w:pPr>
        <w:ind w:left="820" w:hanging="57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20" w:hanging="575"/>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20" w:hanging="575"/>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United States</w:t>
      </w:r>
    </w:p>
    <w:p>
      <w:pPr>
        <w:spacing w:after="0" w:line="24" w:lineRule="exact"/>
        <w:rPr>
          <w:sz w:val="20"/>
          <w:szCs w:val="20"/>
          <w:color w:val="auto"/>
        </w:rPr>
      </w:pPr>
    </w:p>
    <w:p>
      <w:pPr>
        <w:ind w:left="1980" w:hanging="349"/>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143,290</w:t>
            </w: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40" w:type="dxa"/>
            <w:vAlign w:val="bottom"/>
            <w:vMerge w:val="restart"/>
          </w:tcPr>
          <w:p>
            <w:pPr>
              <w:ind w:left="100"/>
              <w:spacing w:after="0"/>
              <w:rPr>
                <w:sz w:val="20"/>
                <w:szCs w:val="20"/>
                <w:color w:val="auto"/>
              </w:rPr>
            </w:pPr>
            <w:r>
              <w:rPr>
                <w:rFonts w:ascii="Arial" w:cs="Arial" w:eastAsia="Arial" w:hAnsi="Arial"/>
                <w:sz w:val="22"/>
                <w:szCs w:val="22"/>
                <w:color w:val="auto"/>
              </w:rPr>
              <w:t>878,875</w:t>
            </w:r>
          </w:p>
        </w:tc>
        <w:tc>
          <w:tcPr>
            <w:tcW w:w="0" w:type="dxa"/>
            <w:vAlign w:val="bottom"/>
          </w:tcPr>
          <w:p>
            <w:pPr>
              <w:spacing w:after="0"/>
              <w:rPr>
                <w:sz w:val="1"/>
                <w:szCs w:val="1"/>
                <w:color w:val="auto"/>
              </w:rPr>
            </w:pPr>
          </w:p>
        </w:tc>
      </w:tr>
      <w:tr>
        <w:trPr>
          <w:trHeight w:val="230"/>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6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21"/>
                <w:szCs w:val="21"/>
                <w:color w:val="auto"/>
              </w:rPr>
            </w:pPr>
          </w:p>
        </w:tc>
        <w:tc>
          <w:tcPr>
            <w:tcW w:w="9140" w:type="dxa"/>
            <w:vAlign w:val="bottom"/>
          </w:tcPr>
          <w:p>
            <w:pPr>
              <w:ind w:left="100"/>
              <w:spacing w:after="0" w:line="244" w:lineRule="exact"/>
              <w:rPr>
                <w:sz w:val="20"/>
                <w:szCs w:val="20"/>
                <w:color w:val="auto"/>
              </w:rPr>
            </w:pPr>
            <w:r>
              <w:rPr>
                <w:rFonts w:ascii="Arial" w:cs="Arial" w:eastAsia="Arial" w:hAnsi="Arial"/>
                <w:sz w:val="22"/>
                <w:szCs w:val="22"/>
                <w:color w:val="auto"/>
              </w:rPr>
              <w:t>143,290</w:t>
            </w:r>
          </w:p>
        </w:tc>
        <w:tc>
          <w:tcPr>
            <w:tcW w:w="0" w:type="dxa"/>
            <w:vAlign w:val="bottom"/>
          </w:tcPr>
          <w:p>
            <w:pPr>
              <w:spacing w:after="0"/>
              <w:rPr>
                <w:sz w:val="1"/>
                <w:szCs w:val="1"/>
                <w:color w:val="auto"/>
              </w:rPr>
            </w:pPr>
          </w:p>
        </w:tc>
      </w:tr>
      <w:tr>
        <w:trPr>
          <w:trHeight w:val="68"/>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60" w:type="dxa"/>
            <w:vAlign w:val="bottom"/>
            <w:vMerge w:val="continue"/>
          </w:tcPr>
          <w:p>
            <w:pPr>
              <w:spacing w:after="0"/>
              <w:rPr>
                <w:sz w:val="12"/>
                <w:szCs w:val="12"/>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878,875</w:t>
      </w:r>
    </w:p>
    <w:p>
      <w:pPr>
        <w:spacing w:after="0" w:line="24" w:lineRule="exact"/>
        <w:rPr>
          <w:sz w:val="20"/>
          <w:szCs w:val="20"/>
          <w:color w:val="auto"/>
        </w:rPr>
      </w:pPr>
    </w:p>
    <w:p>
      <w:pPr>
        <w:ind w:left="820" w:hanging="575"/>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1,022,165</w:t>
      </w:r>
    </w:p>
    <w:p>
      <w:pPr>
        <w:spacing w:after="0" w:line="21" w:lineRule="exact"/>
        <w:rPr>
          <w:sz w:val="20"/>
          <w:szCs w:val="20"/>
          <w:color w:val="auto"/>
        </w:rPr>
      </w:pPr>
    </w:p>
    <w:p>
      <w:pPr>
        <w:ind w:left="820" w:hanging="665"/>
        <w:spacing w:after="0" w:line="207" w:lineRule="exact"/>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820" w:hanging="665"/>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2.3% (1)</w:t>
      </w:r>
    </w:p>
    <w:p>
      <w:pPr>
        <w:spacing w:after="0" w:line="24" w:lineRule="exact"/>
        <w:rPr>
          <w:sz w:val="20"/>
          <w:szCs w:val="20"/>
          <w:color w:val="auto"/>
        </w:rPr>
      </w:pPr>
    </w:p>
    <w:p>
      <w:pPr>
        <w:ind w:left="820" w:hanging="665"/>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IN</w:t>
      </w:r>
    </w:p>
    <w:p>
      <w:pPr>
        <w:sectPr>
          <w:pgSz w:w="11900" w:h="16838" w:orient="portrait"/>
          <w:cols w:equalWidth="0" w:num="1">
            <w:col w:w="11020"/>
          </w:cols>
          <w:pgMar w:left="440" w:top="190" w:right="439" w:bottom="1440" w:gutter="0" w:footer="0" w:header="0"/>
        </w:sectPr>
      </w:pPr>
    </w:p>
    <w:bookmarkStart w:id="5" w:name="page6"/>
    <w:bookmarkEnd w:id="5"/>
    <w:p>
      <w:pPr>
        <w:spacing w:after="0"/>
        <w:tabs>
          <w:tab w:leader="none" w:pos="4860" w:val="left"/>
          <w:tab w:leader="none" w:pos="9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6 of 12 Pages</w:t>
      </w:r>
    </w:p>
    <w:p>
      <w:pPr>
        <w:spacing w:after="0" w:line="175" w:lineRule="exact"/>
        <w:rPr>
          <w:sz w:val="20"/>
          <w:szCs w:val="20"/>
          <w:color w:val="auto"/>
        </w:rPr>
      </w:pPr>
    </w:p>
    <w:p>
      <w:pPr>
        <w:ind w:left="820" w:hanging="575"/>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003415" cy="5237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Kevin P. Starr</w:t>
      </w:r>
    </w:p>
    <w:p>
      <w:pPr>
        <w:spacing w:after="0" w:line="30" w:lineRule="exact"/>
        <w:rPr>
          <w:sz w:val="20"/>
          <w:szCs w:val="20"/>
          <w:color w:val="auto"/>
        </w:rPr>
      </w:pPr>
    </w:p>
    <w:p>
      <w:pPr>
        <w:ind w:left="820" w:hanging="575"/>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20" w:hanging="575"/>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20" w:hanging="575"/>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United States</w:t>
      </w:r>
    </w:p>
    <w:p>
      <w:pPr>
        <w:spacing w:after="0" w:line="24" w:lineRule="exact"/>
        <w:rPr>
          <w:sz w:val="20"/>
          <w:szCs w:val="20"/>
          <w:color w:val="auto"/>
        </w:rPr>
      </w:pPr>
    </w:p>
    <w:p>
      <w:pPr>
        <w:ind w:left="1980" w:hanging="349"/>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33,398</w:t>
            </w: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40" w:type="dxa"/>
            <w:vAlign w:val="bottom"/>
            <w:vMerge w:val="restart"/>
          </w:tcPr>
          <w:p>
            <w:pPr>
              <w:ind w:left="100"/>
              <w:spacing w:after="0"/>
              <w:rPr>
                <w:sz w:val="20"/>
                <w:szCs w:val="20"/>
                <w:color w:val="auto"/>
              </w:rPr>
            </w:pPr>
            <w:r>
              <w:rPr>
                <w:rFonts w:ascii="Arial" w:cs="Arial" w:eastAsia="Arial" w:hAnsi="Arial"/>
                <w:sz w:val="22"/>
                <w:szCs w:val="22"/>
                <w:color w:val="auto"/>
              </w:rPr>
              <w:t>878,875</w:t>
            </w:r>
          </w:p>
        </w:tc>
        <w:tc>
          <w:tcPr>
            <w:tcW w:w="0" w:type="dxa"/>
            <w:vAlign w:val="bottom"/>
          </w:tcPr>
          <w:p>
            <w:pPr>
              <w:spacing w:after="0"/>
              <w:rPr>
                <w:sz w:val="1"/>
                <w:szCs w:val="1"/>
                <w:color w:val="auto"/>
              </w:rPr>
            </w:pPr>
          </w:p>
        </w:tc>
      </w:tr>
      <w:tr>
        <w:trPr>
          <w:trHeight w:val="230"/>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6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21"/>
                <w:szCs w:val="21"/>
                <w:color w:val="auto"/>
              </w:rPr>
            </w:pPr>
          </w:p>
        </w:tc>
        <w:tc>
          <w:tcPr>
            <w:tcW w:w="9140" w:type="dxa"/>
            <w:vAlign w:val="bottom"/>
          </w:tcPr>
          <w:p>
            <w:pPr>
              <w:ind w:left="100"/>
              <w:spacing w:after="0" w:line="244" w:lineRule="exact"/>
              <w:rPr>
                <w:sz w:val="20"/>
                <w:szCs w:val="20"/>
                <w:color w:val="auto"/>
              </w:rPr>
            </w:pPr>
            <w:r>
              <w:rPr>
                <w:rFonts w:ascii="Arial" w:cs="Arial" w:eastAsia="Arial" w:hAnsi="Arial"/>
                <w:sz w:val="22"/>
                <w:szCs w:val="22"/>
                <w:color w:val="auto"/>
              </w:rPr>
              <w:t>33,398</w:t>
            </w:r>
          </w:p>
        </w:tc>
        <w:tc>
          <w:tcPr>
            <w:tcW w:w="0" w:type="dxa"/>
            <w:vAlign w:val="bottom"/>
          </w:tcPr>
          <w:p>
            <w:pPr>
              <w:spacing w:after="0"/>
              <w:rPr>
                <w:sz w:val="1"/>
                <w:szCs w:val="1"/>
                <w:color w:val="auto"/>
              </w:rPr>
            </w:pPr>
          </w:p>
        </w:tc>
      </w:tr>
      <w:tr>
        <w:trPr>
          <w:trHeight w:val="68"/>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60" w:type="dxa"/>
            <w:vAlign w:val="bottom"/>
            <w:vMerge w:val="continue"/>
          </w:tcPr>
          <w:p>
            <w:pPr>
              <w:spacing w:after="0"/>
              <w:rPr>
                <w:sz w:val="12"/>
                <w:szCs w:val="12"/>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878,875</w:t>
      </w:r>
    </w:p>
    <w:p>
      <w:pPr>
        <w:spacing w:after="0" w:line="24" w:lineRule="exact"/>
        <w:rPr>
          <w:sz w:val="20"/>
          <w:szCs w:val="20"/>
          <w:color w:val="auto"/>
        </w:rPr>
      </w:pPr>
    </w:p>
    <w:p>
      <w:pPr>
        <w:ind w:left="820" w:hanging="575"/>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912,273</w:t>
      </w:r>
    </w:p>
    <w:p>
      <w:pPr>
        <w:spacing w:after="0" w:line="21" w:lineRule="exact"/>
        <w:rPr>
          <w:sz w:val="20"/>
          <w:szCs w:val="20"/>
          <w:color w:val="auto"/>
        </w:rPr>
      </w:pPr>
    </w:p>
    <w:p>
      <w:pPr>
        <w:ind w:left="820" w:hanging="665"/>
        <w:spacing w:after="0" w:line="207" w:lineRule="exact"/>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820" w:hanging="66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2.1% (1)</w:t>
      </w:r>
    </w:p>
    <w:p>
      <w:pPr>
        <w:spacing w:after="0" w:line="24" w:lineRule="exact"/>
        <w:rPr>
          <w:sz w:val="20"/>
          <w:szCs w:val="20"/>
          <w:color w:val="auto"/>
        </w:rPr>
      </w:pPr>
    </w:p>
    <w:p>
      <w:pPr>
        <w:ind w:left="820" w:hanging="665"/>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IN</w:t>
      </w:r>
    </w:p>
    <w:p>
      <w:pPr>
        <w:sectPr>
          <w:pgSz w:w="11900" w:h="16838" w:orient="portrait"/>
          <w:cols w:equalWidth="0" w:num="1">
            <w:col w:w="11020"/>
          </w:cols>
          <w:pgMar w:left="440" w:top="190" w:right="439" w:bottom="1440" w:gutter="0" w:footer="0" w:header="0"/>
        </w:sectPr>
      </w:pPr>
    </w:p>
    <w:bookmarkStart w:id="6" w:name="page7"/>
    <w:bookmarkEnd w:id="6"/>
    <w:p>
      <w:pPr>
        <w:spacing w:after="0"/>
        <w:tabs>
          <w:tab w:leader="none" w:pos="4860" w:val="left"/>
          <w:tab w:leader="none" w:pos="9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7 of 12 Pages</w:t>
      </w:r>
    </w:p>
    <w:p>
      <w:pPr>
        <w:spacing w:after="0" w:line="175" w:lineRule="exact"/>
        <w:rPr>
          <w:sz w:val="20"/>
          <w:szCs w:val="20"/>
          <w:color w:val="auto"/>
        </w:rPr>
      </w:pPr>
    </w:p>
    <w:p>
      <w:pPr>
        <w:ind w:left="820" w:hanging="575"/>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003415" cy="5237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Robert I. Tepper</w:t>
      </w:r>
    </w:p>
    <w:p>
      <w:pPr>
        <w:spacing w:after="0" w:line="30" w:lineRule="exact"/>
        <w:rPr>
          <w:sz w:val="20"/>
          <w:szCs w:val="20"/>
          <w:color w:val="auto"/>
        </w:rPr>
      </w:pPr>
    </w:p>
    <w:p>
      <w:pPr>
        <w:ind w:left="820" w:hanging="575"/>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20" w:hanging="575"/>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20" w:hanging="575"/>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United States</w:t>
      </w:r>
    </w:p>
    <w:p>
      <w:pPr>
        <w:spacing w:after="0" w:line="24" w:lineRule="exact"/>
        <w:rPr>
          <w:sz w:val="20"/>
          <w:szCs w:val="20"/>
          <w:color w:val="auto"/>
        </w:rPr>
      </w:pPr>
    </w:p>
    <w:p>
      <w:pPr>
        <w:ind w:left="1980" w:hanging="349"/>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84,378</w:t>
            </w: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40" w:type="dxa"/>
            <w:vAlign w:val="bottom"/>
            <w:vMerge w:val="restart"/>
          </w:tcPr>
          <w:p>
            <w:pPr>
              <w:ind w:left="100"/>
              <w:spacing w:after="0"/>
              <w:rPr>
                <w:sz w:val="20"/>
                <w:szCs w:val="20"/>
                <w:color w:val="auto"/>
              </w:rPr>
            </w:pPr>
            <w:r>
              <w:rPr>
                <w:rFonts w:ascii="Arial" w:cs="Arial" w:eastAsia="Arial" w:hAnsi="Arial"/>
                <w:sz w:val="22"/>
                <w:szCs w:val="22"/>
                <w:color w:val="auto"/>
              </w:rPr>
              <w:t>878,875</w:t>
            </w:r>
          </w:p>
        </w:tc>
        <w:tc>
          <w:tcPr>
            <w:tcW w:w="0" w:type="dxa"/>
            <w:vAlign w:val="bottom"/>
          </w:tcPr>
          <w:p>
            <w:pPr>
              <w:spacing w:after="0"/>
              <w:rPr>
                <w:sz w:val="1"/>
                <w:szCs w:val="1"/>
                <w:color w:val="auto"/>
              </w:rPr>
            </w:pPr>
          </w:p>
        </w:tc>
      </w:tr>
      <w:tr>
        <w:trPr>
          <w:trHeight w:val="230"/>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6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30"/>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21"/>
                <w:szCs w:val="21"/>
                <w:color w:val="auto"/>
              </w:rPr>
            </w:pPr>
          </w:p>
        </w:tc>
        <w:tc>
          <w:tcPr>
            <w:tcW w:w="9140" w:type="dxa"/>
            <w:vAlign w:val="bottom"/>
          </w:tcPr>
          <w:p>
            <w:pPr>
              <w:ind w:left="100"/>
              <w:spacing w:after="0" w:line="244" w:lineRule="exact"/>
              <w:rPr>
                <w:sz w:val="20"/>
                <w:szCs w:val="20"/>
                <w:color w:val="auto"/>
              </w:rPr>
            </w:pPr>
            <w:r>
              <w:rPr>
                <w:rFonts w:ascii="Arial" w:cs="Arial" w:eastAsia="Arial" w:hAnsi="Arial"/>
                <w:sz w:val="22"/>
                <w:szCs w:val="22"/>
                <w:color w:val="auto"/>
              </w:rPr>
              <w:t>84,378</w:t>
            </w:r>
          </w:p>
        </w:tc>
        <w:tc>
          <w:tcPr>
            <w:tcW w:w="0" w:type="dxa"/>
            <w:vAlign w:val="bottom"/>
          </w:tcPr>
          <w:p>
            <w:pPr>
              <w:spacing w:after="0"/>
              <w:rPr>
                <w:sz w:val="1"/>
                <w:szCs w:val="1"/>
                <w:color w:val="auto"/>
              </w:rPr>
            </w:pPr>
          </w:p>
        </w:tc>
      </w:tr>
      <w:tr>
        <w:trPr>
          <w:trHeight w:val="68"/>
        </w:trPr>
        <w:tc>
          <w:tcPr>
            <w:tcW w:w="136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60" w:type="dxa"/>
            <w:vAlign w:val="bottom"/>
            <w:vMerge w:val="continue"/>
          </w:tcPr>
          <w:p>
            <w:pPr>
              <w:spacing w:after="0"/>
              <w:rPr>
                <w:sz w:val="12"/>
                <w:szCs w:val="12"/>
                <w:color w:val="auto"/>
              </w:rPr>
            </w:pP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878,875</w:t>
      </w:r>
    </w:p>
    <w:p>
      <w:pPr>
        <w:spacing w:after="0" w:line="24" w:lineRule="exact"/>
        <w:rPr>
          <w:sz w:val="20"/>
          <w:szCs w:val="20"/>
          <w:color w:val="auto"/>
        </w:rPr>
      </w:pPr>
    </w:p>
    <w:p>
      <w:pPr>
        <w:ind w:left="820" w:hanging="575"/>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963,253</w:t>
      </w:r>
    </w:p>
    <w:p>
      <w:pPr>
        <w:spacing w:after="0" w:line="21" w:lineRule="exact"/>
        <w:rPr>
          <w:sz w:val="20"/>
          <w:szCs w:val="20"/>
          <w:color w:val="auto"/>
        </w:rPr>
      </w:pPr>
    </w:p>
    <w:p>
      <w:pPr>
        <w:ind w:left="820" w:hanging="665"/>
        <w:spacing w:after="0" w:line="207" w:lineRule="exact"/>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820" w:hanging="665"/>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2.2% (1)</w:t>
      </w:r>
    </w:p>
    <w:p>
      <w:pPr>
        <w:spacing w:after="0" w:line="24" w:lineRule="exact"/>
        <w:rPr>
          <w:sz w:val="20"/>
          <w:szCs w:val="20"/>
          <w:color w:val="auto"/>
        </w:rPr>
      </w:pPr>
    </w:p>
    <w:p>
      <w:pPr>
        <w:ind w:left="820" w:hanging="665"/>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IN</w:t>
      </w:r>
    </w:p>
    <w:p>
      <w:pPr>
        <w:sectPr>
          <w:pgSz w:w="11900" w:h="16838" w:orient="portrait"/>
          <w:cols w:equalWidth="0" w:num="1">
            <w:col w:w="11020"/>
          </w:cols>
          <w:pgMar w:left="440" w:top="190" w:right="4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CUSIP No. 09627Y109</w:t>
      </w:r>
    </w:p>
    <w:p>
      <w:pPr>
        <w:spacing w:after="0" w:line="20" w:lineRule="exact"/>
        <w:rPr>
          <w:sz w:val="20"/>
          <w:szCs w:val="20"/>
          <w:color w:val="auto"/>
        </w:rPr>
      </w:pPr>
      <w:r>
        <w:rPr>
          <w:sz w:val="20"/>
          <w:szCs w:val="20"/>
          <w:color w:val="auto"/>
        </w:rPr>
        <w:br w:type="column"/>
      </w:r>
    </w:p>
    <w:p>
      <w:pPr>
        <w:jc w:val="center"/>
        <w:ind w:right="264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-206375</wp:posOffset>
            </wp:positionV>
            <wp:extent cx="73806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8 of 12 Pages</w:t>
      </w:r>
    </w:p>
    <w:p>
      <w:pPr>
        <w:spacing w:after="0" w:line="191" w:lineRule="exact"/>
        <w:rPr>
          <w:sz w:val="20"/>
          <w:szCs w:val="20"/>
          <w:color w:val="auto"/>
        </w:rPr>
      </w:pPr>
    </w:p>
    <w:p>
      <w:pPr>
        <w:sectPr>
          <w:pgSz w:w="11900" w:h="16838" w:orient="portrait"/>
          <w:cols w:equalWidth="0" w:num="3">
            <w:col w:w="4160" w:space="720"/>
            <w:col w:w="4000" w:space="720"/>
            <w:col w:w="1420"/>
          </w:cols>
          <w:pgMar w:left="440" w:top="190" w:right="439" w:bottom="1440" w:gutter="0" w:footer="0" w:header="0"/>
        </w:sectPr>
      </w:pPr>
    </w:p>
    <w:p>
      <w:pPr>
        <w:spacing w:after="0"/>
        <w:tabs>
          <w:tab w:leader="none" w:pos="15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Issuer</w:t>
      </w:r>
    </w:p>
    <w:p>
      <w:pPr>
        <w:sectPr>
          <w:pgSz w:w="11900" w:h="16838" w:orient="portrait"/>
          <w:cols w:equalWidth="0" w:num="1">
            <w:col w:w="11020"/>
          </w:cols>
          <w:pgMar w:left="440" w:top="190" w:right="439" w:bottom="1440" w:gutter="0" w:footer="0" w:header="0"/>
          <w:type w:val="continuous"/>
        </w:sectPr>
      </w:pPr>
    </w:p>
    <w:p>
      <w:pPr>
        <w:spacing w:after="0" w:line="121" w:lineRule="exact"/>
        <w:rPr>
          <w:sz w:val="20"/>
          <w:szCs w:val="20"/>
          <w:color w:val="auto"/>
        </w:rPr>
      </w:pPr>
    </w:p>
    <w:p>
      <w:pPr>
        <w:ind w:left="1560" w:hanging="806"/>
        <w:spacing w:after="0"/>
        <w:tabs>
          <w:tab w:leader="none" w:pos="1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Blueprint Medicines Corporation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560" w:hanging="806"/>
        <w:spacing w:after="0"/>
        <w:tabs>
          <w:tab w:leader="none" w:pos="1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560" w:right="7800"/>
        <w:spacing w:after="0" w:line="342" w:lineRule="auto"/>
        <w:rPr>
          <w:rFonts w:ascii="Arial" w:cs="Arial" w:eastAsia="Arial" w:hAnsi="Arial"/>
          <w:sz w:val="18"/>
          <w:szCs w:val="18"/>
          <w:color w:val="auto"/>
        </w:rPr>
      </w:pPr>
      <w:r>
        <w:rPr>
          <w:rFonts w:ascii="Arial" w:cs="Arial" w:eastAsia="Arial" w:hAnsi="Arial"/>
          <w:sz w:val="16"/>
          <w:szCs w:val="16"/>
          <w:color w:val="auto"/>
        </w:rPr>
        <w:t>45 Sidney Street Cambridge, MA 02139</w:t>
      </w:r>
    </w:p>
    <w:p>
      <w:pPr>
        <w:spacing w:after="0" w:line="2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1000" w:hanging="246"/>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(c)   Name of Persons Filing; Address; Citizenship:</w:t>
      </w:r>
    </w:p>
    <w:p>
      <w:pPr>
        <w:spacing w:after="0" w:line="113" w:lineRule="exact"/>
        <w:rPr>
          <w:rFonts w:ascii="Arial" w:cs="Arial" w:eastAsia="Arial" w:hAnsi="Arial"/>
          <w:sz w:val="18"/>
          <w:szCs w:val="18"/>
          <w:color w:val="auto"/>
        </w:rPr>
      </w:pPr>
    </w:p>
    <w:p>
      <w:pPr>
        <w:ind w:left="2260" w:hanging="349"/>
        <w:spacing w:after="0"/>
        <w:tabs>
          <w:tab w:leader="none" w:pos="2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Third Rock Ventures II, L.P. (“</w:t>
      </w:r>
      <w:r>
        <w:rPr>
          <w:rFonts w:ascii="Arial" w:cs="Arial" w:eastAsia="Arial" w:hAnsi="Arial"/>
          <w:sz w:val="18"/>
          <w:szCs w:val="18"/>
          <w:b w:val="1"/>
          <w:bCs w:val="1"/>
          <w:color w:val="auto"/>
        </w:rPr>
        <w:t>TRV II</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260" w:hanging="349"/>
        <w:spacing w:after="0"/>
        <w:tabs>
          <w:tab w:leader="none" w:pos="2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Third Rock Ventures GP II, L.P. (“</w:t>
      </w:r>
      <w:r>
        <w:rPr>
          <w:rFonts w:ascii="Arial" w:cs="Arial" w:eastAsia="Arial" w:hAnsi="Arial"/>
          <w:sz w:val="18"/>
          <w:szCs w:val="18"/>
          <w:b w:val="1"/>
          <w:bCs w:val="1"/>
          <w:color w:val="auto"/>
        </w:rPr>
        <w:t>TRV GP II</w:t>
      </w:r>
      <w:r>
        <w:rPr>
          <w:rFonts w:ascii="Arial" w:cs="Arial" w:eastAsia="Arial" w:hAnsi="Arial"/>
          <w:sz w:val="18"/>
          <w:szCs w:val="18"/>
          <w:color w:val="auto"/>
        </w:rPr>
        <w:t>”), which is the sole general partner of TRV II;</w:t>
      </w:r>
    </w:p>
    <w:p>
      <w:pPr>
        <w:spacing w:after="0" w:line="130" w:lineRule="exact"/>
        <w:rPr>
          <w:rFonts w:ascii="Arial" w:cs="Arial" w:eastAsia="Arial" w:hAnsi="Arial"/>
          <w:sz w:val="18"/>
          <w:szCs w:val="18"/>
          <w:color w:val="auto"/>
        </w:rPr>
      </w:pPr>
    </w:p>
    <w:p>
      <w:pPr>
        <w:ind w:left="2240" w:hanging="329"/>
        <w:spacing w:after="0"/>
        <w:tabs>
          <w:tab w:leader="none" w:pos="2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TRV GP II, LLC (“</w:t>
      </w:r>
      <w:r>
        <w:rPr>
          <w:rFonts w:ascii="Arial" w:cs="Arial" w:eastAsia="Arial" w:hAnsi="Arial"/>
          <w:sz w:val="18"/>
          <w:szCs w:val="18"/>
          <w:b w:val="1"/>
          <w:bCs w:val="1"/>
          <w:color w:val="auto"/>
        </w:rPr>
        <w:t>TRV GP II LLC</w:t>
      </w:r>
      <w:r>
        <w:rPr>
          <w:rFonts w:ascii="Arial" w:cs="Arial" w:eastAsia="Arial" w:hAnsi="Arial"/>
          <w:sz w:val="18"/>
          <w:szCs w:val="18"/>
          <w:color w:val="auto"/>
        </w:rPr>
        <w:t>”), which is the sole general partner of TRV GP II;</w:t>
      </w:r>
    </w:p>
    <w:p>
      <w:pPr>
        <w:spacing w:after="0" w:line="130" w:lineRule="exact"/>
        <w:rPr>
          <w:rFonts w:ascii="Arial" w:cs="Arial" w:eastAsia="Arial" w:hAnsi="Arial"/>
          <w:sz w:val="18"/>
          <w:szCs w:val="18"/>
          <w:color w:val="auto"/>
        </w:rPr>
      </w:pPr>
    </w:p>
    <w:p>
      <w:pPr>
        <w:ind w:left="2260" w:hanging="349"/>
        <w:spacing w:after="0"/>
        <w:tabs>
          <w:tab w:leader="none" w:pos="2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Mark Levin (“</w:t>
      </w:r>
      <w:r>
        <w:rPr>
          <w:rFonts w:ascii="Arial" w:cs="Arial" w:eastAsia="Arial" w:hAnsi="Arial"/>
          <w:sz w:val="18"/>
          <w:szCs w:val="18"/>
          <w:b w:val="1"/>
          <w:bCs w:val="1"/>
          <w:color w:val="auto"/>
        </w:rPr>
        <w:t>Levin</w:t>
      </w:r>
      <w:r>
        <w:rPr>
          <w:rFonts w:ascii="Arial" w:cs="Arial" w:eastAsia="Arial" w:hAnsi="Arial"/>
          <w:sz w:val="18"/>
          <w:szCs w:val="18"/>
          <w:color w:val="auto"/>
        </w:rPr>
        <w:t>”), a managing member of TRV GP II LLC;</w:t>
      </w:r>
    </w:p>
    <w:p>
      <w:pPr>
        <w:spacing w:after="0" w:line="130" w:lineRule="exact"/>
        <w:rPr>
          <w:rFonts w:ascii="Arial" w:cs="Arial" w:eastAsia="Arial" w:hAnsi="Arial"/>
          <w:sz w:val="18"/>
          <w:szCs w:val="18"/>
          <w:color w:val="auto"/>
        </w:rPr>
      </w:pPr>
    </w:p>
    <w:p>
      <w:pPr>
        <w:ind w:left="2260" w:hanging="349"/>
        <w:spacing w:after="0"/>
        <w:tabs>
          <w:tab w:leader="none" w:pos="2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Kevin P. Starr (“</w:t>
      </w:r>
      <w:r>
        <w:rPr>
          <w:rFonts w:ascii="Arial" w:cs="Arial" w:eastAsia="Arial" w:hAnsi="Arial"/>
          <w:sz w:val="18"/>
          <w:szCs w:val="18"/>
          <w:b w:val="1"/>
          <w:bCs w:val="1"/>
          <w:color w:val="auto"/>
        </w:rPr>
        <w:t>Starr</w:t>
      </w:r>
      <w:r>
        <w:rPr>
          <w:rFonts w:ascii="Arial" w:cs="Arial" w:eastAsia="Arial" w:hAnsi="Arial"/>
          <w:sz w:val="18"/>
          <w:szCs w:val="18"/>
          <w:color w:val="auto"/>
        </w:rPr>
        <w:t>”), a managing member of TRV GP II LLC; and</w:t>
      </w:r>
    </w:p>
    <w:p>
      <w:pPr>
        <w:spacing w:after="0" w:line="130" w:lineRule="exact"/>
        <w:rPr>
          <w:rFonts w:ascii="Arial" w:cs="Arial" w:eastAsia="Arial" w:hAnsi="Arial"/>
          <w:sz w:val="18"/>
          <w:szCs w:val="18"/>
          <w:color w:val="auto"/>
        </w:rPr>
      </w:pPr>
    </w:p>
    <w:p>
      <w:pPr>
        <w:ind w:left="2280" w:right="60" w:hanging="369"/>
        <w:spacing w:after="0" w:line="282" w:lineRule="auto"/>
        <w:tabs>
          <w:tab w:leader="none" w:pos="227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Robert I. Tepper (“</w:t>
      </w:r>
      <w:r>
        <w:rPr>
          <w:rFonts w:ascii="Arial" w:cs="Arial" w:eastAsia="Arial" w:hAnsi="Arial"/>
          <w:sz w:val="18"/>
          <w:szCs w:val="18"/>
          <w:b w:val="1"/>
          <w:bCs w:val="1"/>
          <w:color w:val="auto"/>
        </w:rPr>
        <w:t>Tepper</w:t>
      </w:r>
      <w:r>
        <w:rPr>
          <w:rFonts w:ascii="Arial" w:cs="Arial" w:eastAsia="Arial" w:hAnsi="Arial"/>
          <w:sz w:val="18"/>
          <w:szCs w:val="18"/>
          <w:color w:val="auto"/>
        </w:rPr>
        <w:t>,” and collectively with TRV II, TRV GP II, TRV GP II LLC, Levin and Starr, the “</w:t>
      </w:r>
      <w:r>
        <w:rPr>
          <w:rFonts w:ascii="Arial" w:cs="Arial" w:eastAsia="Arial" w:hAnsi="Arial"/>
          <w:sz w:val="18"/>
          <w:szCs w:val="18"/>
          <w:b w:val="1"/>
          <w:bCs w:val="1"/>
          <w:color w:val="auto"/>
        </w:rPr>
        <w:t>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Persons</w:t>
      </w:r>
      <w:r>
        <w:rPr>
          <w:rFonts w:ascii="Arial" w:cs="Arial" w:eastAsia="Arial" w:hAnsi="Arial"/>
          <w:sz w:val="18"/>
          <w:szCs w:val="18"/>
          <w:color w:val="auto"/>
        </w:rPr>
        <w:t>”), a managing member of TRV GP II LLC.</w:t>
      </w:r>
    </w:p>
    <w:p>
      <w:pPr>
        <w:spacing w:after="0" w:line="71" w:lineRule="exact"/>
        <w:rPr>
          <w:sz w:val="20"/>
          <w:szCs w:val="20"/>
          <w:color w:val="auto"/>
        </w:rPr>
      </w:pPr>
    </w:p>
    <w:p>
      <w:pPr>
        <w:ind w:left="1560" w:right="20"/>
        <w:spacing w:after="0" w:line="277" w:lineRule="auto"/>
        <w:rPr>
          <w:sz w:val="20"/>
          <w:szCs w:val="20"/>
          <w:color w:val="auto"/>
        </w:rPr>
      </w:pPr>
      <w:r>
        <w:rPr>
          <w:rFonts w:ascii="Arial" w:cs="Arial" w:eastAsia="Arial" w:hAnsi="Arial"/>
          <w:sz w:val="18"/>
          <w:szCs w:val="18"/>
          <w:color w:val="auto"/>
        </w:rPr>
        <w:t>The address of the principal business office of each of the Reporting Persons is Third Rock Ventures, LLC, 29 Newbury Street, 3rd Floor, Boston, MA 02116.</w:t>
      </w:r>
    </w:p>
    <w:p>
      <w:pPr>
        <w:spacing w:after="0" w:line="76" w:lineRule="exact"/>
        <w:rPr>
          <w:sz w:val="20"/>
          <w:szCs w:val="20"/>
          <w:color w:val="auto"/>
        </w:rPr>
      </w:pPr>
    </w:p>
    <w:p>
      <w:pPr>
        <w:ind w:left="1560" w:right="100"/>
        <w:spacing w:after="0" w:line="277" w:lineRule="auto"/>
        <w:rPr>
          <w:sz w:val="20"/>
          <w:szCs w:val="20"/>
          <w:color w:val="auto"/>
        </w:rPr>
      </w:pPr>
      <w:r>
        <w:rPr>
          <w:rFonts w:ascii="Arial" w:cs="Arial" w:eastAsia="Arial" w:hAnsi="Arial"/>
          <w:sz w:val="18"/>
          <w:szCs w:val="18"/>
          <w:color w:val="auto"/>
        </w:rPr>
        <w:t>Each of TRV II and TRV GP II is a Delaware limited partnership. TRV GP II LLC is a Delaware limited liability company. Levin, Tepper and Starr are United States citizens.</w:t>
      </w:r>
    </w:p>
    <w:p>
      <w:pPr>
        <w:spacing w:after="0" w:line="76" w:lineRule="exact"/>
        <w:rPr>
          <w:sz w:val="20"/>
          <w:szCs w:val="20"/>
          <w:color w:val="auto"/>
        </w:rPr>
      </w:pPr>
    </w:p>
    <w:p>
      <w:pPr>
        <w:ind w:left="1560" w:hanging="806"/>
        <w:spacing w:after="0"/>
        <w:tabs>
          <w:tab w:leader="none" w:pos="1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3"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560" w:right="8280" w:hanging="806"/>
        <w:spacing w:after="0" w:line="437" w:lineRule="auto"/>
        <w:tabs>
          <w:tab w:leader="none" w:pos="1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CUSIP Number: 09627Y109</w:t>
      </w:r>
    </w:p>
    <w:p>
      <w:pPr>
        <w:spacing w:after="0" w:line="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560" w:hanging="806"/>
        <w:spacing w:after="0" w:line="207" w:lineRule="exact"/>
        <w:tabs>
          <w:tab w:leader="none" w:pos="1560" w:val="left"/>
        </w:tabs>
        <w:numPr>
          <w:ilvl w:val="0"/>
          <w:numId w:val="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117" w:lineRule="exact"/>
        <w:rPr>
          <w:rFonts w:ascii="Arial" w:cs="Arial" w:eastAsia="Arial" w:hAnsi="Arial"/>
          <w:sz w:val="18"/>
          <w:szCs w:val="18"/>
          <w:color w:val="auto"/>
        </w:rPr>
      </w:pPr>
    </w:p>
    <w:p>
      <w:pPr>
        <w:ind w:left="1560" w:hanging="806"/>
        <w:spacing w:after="0" w:line="207" w:lineRule="exact"/>
        <w:tabs>
          <w:tab w:leader="none" w:pos="1560" w:val="left"/>
        </w:tabs>
        <w:numPr>
          <w:ilvl w:val="0"/>
          <w:numId w:val="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117" w:lineRule="exact"/>
        <w:rPr>
          <w:rFonts w:ascii="Arial" w:cs="Arial" w:eastAsia="Arial" w:hAnsi="Arial"/>
          <w:sz w:val="18"/>
          <w:szCs w:val="18"/>
          <w:color w:val="auto"/>
        </w:rPr>
      </w:pPr>
    </w:p>
    <w:p>
      <w:pPr>
        <w:ind w:left="1560" w:hanging="806"/>
        <w:spacing w:after="0" w:line="207" w:lineRule="exact"/>
        <w:tabs>
          <w:tab w:leader="none" w:pos="1560" w:val="left"/>
        </w:tabs>
        <w:numPr>
          <w:ilvl w:val="0"/>
          <w:numId w:val="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117" w:lineRule="exact"/>
        <w:rPr>
          <w:rFonts w:ascii="Arial" w:cs="Arial" w:eastAsia="Arial" w:hAnsi="Arial"/>
          <w:sz w:val="18"/>
          <w:szCs w:val="18"/>
          <w:color w:val="auto"/>
        </w:rPr>
      </w:pPr>
    </w:p>
    <w:p>
      <w:pPr>
        <w:ind w:left="1560" w:hanging="806"/>
        <w:spacing w:after="0" w:line="207" w:lineRule="exact"/>
        <w:tabs>
          <w:tab w:leader="none" w:pos="1560" w:val="left"/>
        </w:tabs>
        <w:numPr>
          <w:ilvl w:val="0"/>
          <w:numId w:val="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117" w:lineRule="exact"/>
        <w:rPr>
          <w:rFonts w:ascii="Arial" w:cs="Arial" w:eastAsia="Arial" w:hAnsi="Arial"/>
          <w:sz w:val="18"/>
          <w:szCs w:val="18"/>
          <w:color w:val="auto"/>
        </w:rPr>
      </w:pPr>
    </w:p>
    <w:p>
      <w:pPr>
        <w:ind w:left="1560" w:hanging="806"/>
        <w:spacing w:after="0" w:line="207" w:lineRule="exact"/>
        <w:tabs>
          <w:tab w:leader="none" w:pos="1560" w:val="left"/>
        </w:tabs>
        <w:numPr>
          <w:ilvl w:val="0"/>
          <w:numId w:val="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117" w:lineRule="exact"/>
        <w:rPr>
          <w:rFonts w:ascii="Arial" w:cs="Arial" w:eastAsia="Arial" w:hAnsi="Arial"/>
          <w:sz w:val="18"/>
          <w:szCs w:val="18"/>
          <w:color w:val="auto"/>
        </w:rPr>
      </w:pPr>
    </w:p>
    <w:p>
      <w:pPr>
        <w:ind w:left="1560" w:hanging="806"/>
        <w:spacing w:after="0" w:line="207" w:lineRule="exact"/>
        <w:tabs>
          <w:tab w:leader="none" w:pos="1560" w:val="left"/>
        </w:tabs>
        <w:numPr>
          <w:ilvl w:val="0"/>
          <w:numId w:val="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117" w:lineRule="exact"/>
        <w:rPr>
          <w:rFonts w:ascii="Arial" w:cs="Arial" w:eastAsia="Arial" w:hAnsi="Arial"/>
          <w:sz w:val="18"/>
          <w:szCs w:val="18"/>
          <w:color w:val="auto"/>
        </w:rPr>
      </w:pPr>
    </w:p>
    <w:p>
      <w:pPr>
        <w:ind w:left="1560" w:hanging="806"/>
        <w:spacing w:after="0" w:line="207" w:lineRule="exact"/>
        <w:tabs>
          <w:tab w:leader="none" w:pos="1560" w:val="left"/>
        </w:tabs>
        <w:numPr>
          <w:ilvl w:val="0"/>
          <w:numId w:val="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117" w:lineRule="exact"/>
        <w:rPr>
          <w:rFonts w:ascii="Arial" w:cs="Arial" w:eastAsia="Arial" w:hAnsi="Arial"/>
          <w:sz w:val="18"/>
          <w:szCs w:val="18"/>
          <w:color w:val="auto"/>
        </w:rPr>
      </w:pPr>
    </w:p>
    <w:p>
      <w:pPr>
        <w:ind w:left="1560" w:hanging="806"/>
        <w:spacing w:after="0" w:line="207" w:lineRule="exact"/>
        <w:tabs>
          <w:tab w:leader="none" w:pos="1560" w:val="left"/>
        </w:tabs>
        <w:numPr>
          <w:ilvl w:val="0"/>
          <w:numId w:val="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2180" w:right="340" w:hanging="1426"/>
        <w:spacing w:after="0" w:line="223" w:lineRule="exact"/>
        <w:tabs>
          <w:tab w:leader="none" w:pos="1550" w:val="left"/>
        </w:tabs>
        <w:numPr>
          <w:ilvl w:val="0"/>
          <w:numId w:val="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w:t>
      </w:r>
    </w:p>
    <w:p>
      <w:pPr>
        <w:spacing w:after="0" w:line="94" w:lineRule="exact"/>
        <w:rPr>
          <w:rFonts w:ascii="Arial" w:cs="Arial" w:eastAsia="Arial" w:hAnsi="Arial"/>
          <w:sz w:val="18"/>
          <w:szCs w:val="18"/>
          <w:color w:val="auto"/>
        </w:rPr>
      </w:pPr>
    </w:p>
    <w:p>
      <w:pPr>
        <w:ind w:left="1560" w:hanging="806"/>
        <w:spacing w:after="0" w:line="207" w:lineRule="exact"/>
        <w:tabs>
          <w:tab w:leader="none" w:pos="1560" w:val="left"/>
        </w:tabs>
        <w:numPr>
          <w:ilvl w:val="0"/>
          <w:numId w:val="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240.13d-1(b)(1)(ii)(J);</w:t>
      </w:r>
    </w:p>
    <w:p>
      <w:pPr>
        <w:spacing w:after="0" w:line="117" w:lineRule="exact"/>
        <w:rPr>
          <w:rFonts w:ascii="Arial" w:cs="Arial" w:eastAsia="Arial" w:hAnsi="Arial"/>
          <w:sz w:val="18"/>
          <w:szCs w:val="18"/>
          <w:color w:val="auto"/>
        </w:rPr>
      </w:pPr>
    </w:p>
    <w:p>
      <w:pPr>
        <w:ind w:left="1560" w:hanging="806"/>
        <w:spacing w:after="0" w:line="207" w:lineRule="exact"/>
        <w:tabs>
          <w:tab w:leader="none" w:pos="1560" w:val="left"/>
        </w:tabs>
        <w:numPr>
          <w:ilvl w:val="0"/>
          <w:numId w:val="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240.13d-1(b)(1)(ii)(K). If filing as a non-U.S. institution in accordance with</w:t>
      </w:r>
    </w:p>
    <w:p>
      <w:pPr>
        <w:spacing w:after="0" w:line="58"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Rule 240.13d-1(b)(1)(ii)(J), please specify the type of institution:</w:t>
      </w:r>
    </w:p>
    <w:p>
      <w:pPr>
        <w:sectPr>
          <w:pgSz w:w="11900" w:h="16838" w:orient="portrait"/>
          <w:cols w:equalWidth="0" w:num="1">
            <w:col w:w="11020"/>
          </w:cols>
          <w:pgMar w:left="440" w:top="190" w:right="439" w:bottom="1440" w:gutter="0" w:footer="0" w:header="0"/>
          <w:type w:val="continuous"/>
        </w:sectPr>
      </w:pPr>
    </w:p>
    <w:bookmarkStart w:id="8" w:name="page9"/>
    <w:bookmarkEnd w:id="8"/>
    <w:p>
      <w:pPr>
        <w:spacing w:after="0"/>
        <w:tabs>
          <w:tab w:leader="none" w:pos="4860" w:val="left"/>
          <w:tab w:leader="none" w:pos="9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9 of 12 Pages</w:t>
      </w:r>
    </w:p>
    <w:p>
      <w:pPr>
        <w:spacing w:after="0" w:line="1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000" w:hanging="246"/>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and (b)   Amount beneficially owned:</w:t>
      </w:r>
    </w:p>
    <w:p>
      <w:pPr>
        <w:spacing w:after="0" w:line="113" w:lineRule="exact"/>
        <w:rPr>
          <w:rFonts w:ascii="Arial" w:cs="Arial" w:eastAsia="Arial" w:hAnsi="Arial"/>
          <w:sz w:val="18"/>
          <w:szCs w:val="18"/>
          <w:color w:val="auto"/>
        </w:rPr>
      </w:pPr>
    </w:p>
    <w:p>
      <w:pPr>
        <w:ind w:left="2120" w:right="520" w:hanging="381"/>
        <w:spacing w:after="0" w:line="282" w:lineRule="auto"/>
        <w:tabs>
          <w:tab w:leader="none" w:pos="2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TRV II directly owns 878,875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which represents approximately 2.0% of the outstanding shares of Common Stock.</w:t>
      </w:r>
    </w:p>
    <w:p>
      <w:pPr>
        <w:spacing w:after="0" w:line="57" w:lineRule="exact"/>
        <w:rPr>
          <w:rFonts w:ascii="Arial" w:cs="Arial" w:eastAsia="Arial" w:hAnsi="Arial"/>
          <w:sz w:val="18"/>
          <w:szCs w:val="18"/>
          <w:color w:val="auto"/>
        </w:rPr>
      </w:pPr>
    </w:p>
    <w:p>
      <w:pPr>
        <w:ind w:left="2120" w:hanging="381"/>
        <w:spacing w:after="0"/>
        <w:tabs>
          <w:tab w:leader="none" w:pos="2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TRV GP II is the general partner of TRV II and may be deemed to beneficially own the Shares.</w:t>
      </w:r>
    </w:p>
    <w:p>
      <w:pPr>
        <w:spacing w:after="0" w:line="117" w:lineRule="exact"/>
        <w:rPr>
          <w:rFonts w:ascii="Arial" w:cs="Arial" w:eastAsia="Arial" w:hAnsi="Arial"/>
          <w:sz w:val="18"/>
          <w:szCs w:val="18"/>
          <w:color w:val="auto"/>
        </w:rPr>
      </w:pPr>
    </w:p>
    <w:p>
      <w:pPr>
        <w:ind w:left="2120" w:hanging="381"/>
        <w:spacing w:after="0"/>
        <w:tabs>
          <w:tab w:leader="none" w:pos="2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TRV GP II LLC is the general partner of TRV GP II and may be deemed to beneficially own the Shares.</w:t>
      </w:r>
    </w:p>
    <w:p>
      <w:pPr>
        <w:spacing w:after="0" w:line="117" w:lineRule="exact"/>
        <w:rPr>
          <w:rFonts w:ascii="Arial" w:cs="Arial" w:eastAsia="Arial" w:hAnsi="Arial"/>
          <w:sz w:val="18"/>
          <w:szCs w:val="18"/>
          <w:color w:val="auto"/>
        </w:rPr>
      </w:pPr>
    </w:p>
    <w:p>
      <w:pPr>
        <w:ind w:left="2120" w:right="440" w:hanging="381"/>
        <w:spacing w:after="0" w:line="259" w:lineRule="auto"/>
        <w:tabs>
          <w:tab w:leader="none" w:pos="2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As a managing member of TRV GP II LLC, Levin may be deemed to beneficially own the Shares. Additionally, as of December 31, 2018, Levin directly owns 143,290 shares of Common Stock. As a result, Levin may be deemed to beneficially own an aggregate of 1,022,165 shares of Common Stock, which represents approximately 2.3% of the outstanding shares of Common Stock.</w:t>
      </w:r>
    </w:p>
    <w:p>
      <w:pPr>
        <w:spacing w:after="0" w:line="78" w:lineRule="exact"/>
        <w:rPr>
          <w:rFonts w:ascii="Arial" w:cs="Arial" w:eastAsia="Arial" w:hAnsi="Arial"/>
          <w:sz w:val="18"/>
          <w:szCs w:val="18"/>
          <w:color w:val="auto"/>
        </w:rPr>
      </w:pPr>
    </w:p>
    <w:p>
      <w:pPr>
        <w:ind w:left="2120" w:right="380" w:hanging="381"/>
        <w:spacing w:after="0" w:line="259" w:lineRule="auto"/>
        <w:tabs>
          <w:tab w:leader="none" w:pos="2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As a managing member of TRV GP II LLC, Tepper may be deemed to beneficially own the Shares. Additionally, as of December 31, 2018, Tepper directly owns 84,378 shares of Common Stock. As a result, Tepper may be deemed to beneficially own an aggregate of 963,253 shares of Common Stock, which represents approximately 2.2% of the outstanding shares of Common Stock.</w:t>
      </w:r>
    </w:p>
    <w:p>
      <w:pPr>
        <w:spacing w:after="0" w:line="78" w:lineRule="exact"/>
        <w:rPr>
          <w:rFonts w:ascii="Arial" w:cs="Arial" w:eastAsia="Arial" w:hAnsi="Arial"/>
          <w:sz w:val="18"/>
          <w:szCs w:val="18"/>
          <w:color w:val="auto"/>
        </w:rPr>
      </w:pPr>
    </w:p>
    <w:p>
      <w:pPr>
        <w:ind w:left="2120" w:right="80" w:hanging="381"/>
        <w:spacing w:after="0" w:line="259" w:lineRule="auto"/>
        <w:tabs>
          <w:tab w:leader="none" w:pos="2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As a managing member of TRV GP II LLC, Starr may be deemed to beneficially own the Shares. Additionally, as of December 31, 2018, Starr directly owns 33,398 shares of Common Stock. As a result, Starr may be deemed to beneficially own an aggregate of 912,273 shares of Common Stock, which represents approximately 2.1% of the outstanding shares of Common Stock.</w:t>
      </w:r>
    </w:p>
    <w:p>
      <w:pPr>
        <w:spacing w:after="0" w:line="79" w:lineRule="exact"/>
        <w:rPr>
          <w:sz w:val="20"/>
          <w:szCs w:val="20"/>
          <w:color w:val="auto"/>
        </w:rPr>
      </w:pPr>
    </w:p>
    <w:p>
      <w:pPr>
        <w:ind w:left="1740" w:hanging="986"/>
        <w:spacing w:after="0"/>
        <w:tabs>
          <w:tab w:leader="none" w:pos="1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44"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4980" w:type="dxa"/>
            <w:vAlign w:val="bottom"/>
            <w:vMerge w:val="restart"/>
          </w:tcPr>
          <w:p>
            <w:pPr>
              <w:spacing w:after="0"/>
              <w:rPr>
                <w:sz w:val="14"/>
                <w:szCs w:val="14"/>
                <w:color w:val="auto"/>
              </w:rPr>
            </w:pPr>
          </w:p>
        </w:tc>
        <w:tc>
          <w:tcPr>
            <w:tcW w:w="3380" w:type="dxa"/>
            <w:vAlign w:val="bottom"/>
            <w:gridSpan w:val="8"/>
          </w:tcPr>
          <w:p>
            <w:pPr>
              <w:ind w:left="540"/>
              <w:spacing w:after="0"/>
              <w:rPr>
                <w:sz w:val="20"/>
                <w:szCs w:val="20"/>
                <w:color w:val="auto"/>
              </w:rPr>
            </w:pPr>
            <w:r>
              <w:rPr>
                <w:rFonts w:ascii="Arial" w:cs="Arial" w:eastAsia="Arial" w:hAnsi="Arial"/>
                <w:sz w:val="14"/>
                <w:szCs w:val="14"/>
                <w:b w:val="1"/>
                <w:bCs w:val="1"/>
                <w:color w:val="auto"/>
              </w:rPr>
              <w:t>Number of Shares of Common Stock</w:t>
            </w:r>
          </w:p>
        </w:tc>
        <w:tc>
          <w:tcPr>
            <w:tcW w:w="0" w:type="dxa"/>
            <w:vAlign w:val="bottom"/>
          </w:tcPr>
          <w:p>
            <w:pPr>
              <w:spacing w:after="0"/>
              <w:rPr>
                <w:sz w:val="1"/>
                <w:szCs w:val="1"/>
                <w:color w:val="auto"/>
              </w:rPr>
            </w:pPr>
          </w:p>
        </w:tc>
      </w:tr>
      <w:tr>
        <w:trPr>
          <w:trHeight w:val="149"/>
        </w:trPr>
        <w:tc>
          <w:tcPr>
            <w:tcW w:w="1100" w:type="dxa"/>
            <w:vAlign w:val="bottom"/>
            <w:tcBorders>
              <w:bottom w:val="single" w:sz="8" w:color="auto"/>
            </w:tcBorders>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90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4"/>
                <w:szCs w:val="14"/>
                <w:color w:val="auto"/>
              </w:rPr>
              <w:t>(i)</w:t>
            </w:r>
          </w:p>
        </w:tc>
        <w:tc>
          <w:tcPr>
            <w:tcW w:w="90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color w:val="auto"/>
              </w:rPr>
              <w:t>(ii)</w:t>
            </w:r>
          </w:p>
        </w:tc>
        <w:tc>
          <w:tcPr>
            <w:tcW w:w="88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4"/>
                <w:szCs w:val="14"/>
                <w:color w:val="auto"/>
              </w:rPr>
              <w:t>(iii)</w:t>
            </w:r>
          </w:p>
        </w:tc>
        <w:tc>
          <w:tcPr>
            <w:tcW w:w="66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color w:val="auto"/>
              </w:rPr>
              <w:t>(iv)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TRV II</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878,875</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878,875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TRV GP II</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878,875</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878,875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TRV GP II LLC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878,875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878,875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Levin</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143,290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878,875</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143,290</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878,875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Starr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878,875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878,875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Tepper</w:t>
            </w:r>
          </w:p>
        </w:tc>
        <w:tc>
          <w:tcPr>
            <w:tcW w:w="660" w:type="dxa"/>
            <w:vAlign w:val="bottom"/>
          </w:tcPr>
          <w:p>
            <w:pPr>
              <w:jc w:val="right"/>
              <w:spacing w:after="0"/>
              <w:rPr>
                <w:sz w:val="20"/>
                <w:szCs w:val="20"/>
                <w:color w:val="auto"/>
              </w:rPr>
            </w:pPr>
            <w:r>
              <w:rPr>
                <w:rFonts w:ascii="Arial" w:cs="Arial" w:eastAsia="Arial" w:hAnsi="Arial"/>
                <w:sz w:val="18"/>
                <w:szCs w:val="18"/>
                <w:color w:val="auto"/>
              </w:rPr>
              <w:t>84,378</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878,875</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84,378</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878,875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0" w:hanging="431"/>
        <w:spacing w:after="0"/>
        <w:tabs>
          <w:tab w:leader="none" w:pos="1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130" w:lineRule="exact"/>
        <w:rPr>
          <w:rFonts w:ascii="Arial" w:cs="Arial" w:eastAsia="Arial" w:hAnsi="Arial"/>
          <w:sz w:val="18"/>
          <w:szCs w:val="18"/>
          <w:color w:val="auto"/>
        </w:rPr>
      </w:pPr>
    </w:p>
    <w:p>
      <w:pPr>
        <w:ind w:left="1860" w:hanging="431"/>
        <w:spacing w:after="0"/>
        <w:tabs>
          <w:tab w:leader="none" w:pos="1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860" w:hanging="431"/>
        <w:spacing w:after="0"/>
        <w:tabs>
          <w:tab w:leader="none" w:pos="1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1860" w:hanging="431"/>
        <w:spacing w:after="0"/>
        <w:tabs>
          <w:tab w:leader="none" w:pos="1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880" w:right="660"/>
        <w:spacing w:after="0" w:line="342" w:lineRule="auto"/>
        <w:rPr>
          <w:sz w:val="20"/>
          <w:szCs w:val="20"/>
          <w:color w:val="auto"/>
        </w:rPr>
      </w:pPr>
      <w:r>
        <w:rPr>
          <w:rFonts w:ascii="Arial" w:cs="Arial" w:eastAsia="Arial" w:hAnsi="Arial"/>
          <w:sz w:val="16"/>
          <w:szCs w:val="16"/>
          <w:color w:val="auto"/>
        </w:rPr>
        <w:t>The percent of class was calculated based on 43,950,375 shares of common stock issued and outstanding as of October 26, 2018, as disclosed in the Issuer’s Prospectus Supplement filed with the Securities and Exchange Commission on October 30, 2018.</w:t>
      </w:r>
    </w:p>
    <w:p>
      <w:pPr>
        <w:sectPr>
          <w:pgSz w:w="11900" w:h="16838" w:orient="portrait"/>
          <w:cols w:equalWidth="0" w:num="1">
            <w:col w:w="11020"/>
          </w:cols>
          <w:pgMar w:left="440" w:top="190" w:right="4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CUSIP No. 09627Y109</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-206375</wp:posOffset>
            </wp:positionV>
            <wp:extent cx="738060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10 of 12 Pages</w:t>
      </w:r>
    </w:p>
    <w:p>
      <w:pPr>
        <w:spacing w:after="0" w:line="191" w:lineRule="exact"/>
        <w:rPr>
          <w:sz w:val="20"/>
          <w:szCs w:val="20"/>
          <w:color w:val="auto"/>
        </w:rPr>
      </w:pPr>
    </w:p>
    <w:p>
      <w:pPr>
        <w:sectPr>
          <w:pgSz w:w="11900" w:h="16838" w:orient="portrait"/>
          <w:cols w:equalWidth="0" w:num="3">
            <w:col w:w="4160" w:space="720"/>
            <w:col w:w="3920" w:space="720"/>
            <w:col w:w="1500"/>
          </w:cols>
          <w:pgMar w:left="440" w:top="190" w:right="439" w:bottom="1440" w:gutter="0" w:footer="0" w:header="0"/>
        </w:sect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ectPr>
          <w:pgSz w:w="11900" w:h="16838" w:orient="portrait"/>
          <w:cols w:equalWidth="0" w:num="1">
            <w:col w:w="11020"/>
          </w:cols>
          <w:pgMar w:left="440" w:top="190" w:right="439" w:bottom="1440" w:gutter="0" w:footer="0" w:header="0"/>
          <w:type w:val="continuous"/>
        </w:sectPr>
      </w:pPr>
    </w:p>
    <w:p>
      <w:pPr>
        <w:spacing w:after="0" w:line="121" w:lineRule="exact"/>
        <w:rPr>
          <w:sz w:val="20"/>
          <w:szCs w:val="20"/>
          <w:color w:val="auto"/>
        </w:rPr>
      </w:pPr>
    </w:p>
    <w:p>
      <w:pPr>
        <w:ind w:left="880" w:right="3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880" w:right="20" w:hanging="876"/>
        <w:spacing w:after="0" w:line="282" w:lineRule="auto"/>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190" w:right="439" w:bottom="1440" w:gutter="0" w:footer="0" w:header="0"/>
          <w:type w:val="continuous"/>
        </w:sectPr>
      </w:pPr>
    </w:p>
    <w:bookmarkStart w:id="10" w:name="page11"/>
    <w:bookmarkEnd w:id="10"/>
    <w:p>
      <w:pPr>
        <w:spacing w:after="0"/>
        <w:tabs>
          <w:tab w:leader="none" w:pos="486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11 of 12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II, L.P.</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GP II,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6149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GP II, L.P.</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6149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TRV GP II,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6149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MARK LEVIN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Levin</w:t>
      </w:r>
    </w:p>
    <w:p>
      <w:pPr>
        <w:spacing w:after="0" w:line="2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KEVIN P. STARR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P. Starr</w:t>
      </w:r>
    </w:p>
    <w:p>
      <w:pPr>
        <w:spacing w:after="0" w:line="2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ROBERT I. TEPPER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Robert I. Tepper</w:t>
      </w:r>
    </w:p>
    <w:p>
      <w:pPr>
        <w:sectPr>
          <w:pgSz w:w="11900" w:h="16838" w:orient="portrait"/>
          <w:cols w:equalWidth="0" w:num="1">
            <w:col w:w="11020"/>
          </w:cols>
          <w:pgMar w:left="440" w:top="190"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80605" cy="38735"/>
                    </a:xfrm>
                    <a:prstGeom prst="rect">
                      <a:avLst/>
                    </a:prstGeom>
                    <a:noFill/>
                  </pic:spPr>
                </pic:pic>
              </a:graphicData>
            </a:graphic>
          </wp:anchor>
        </w:drawing>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KNOW ALL MEN BY THESE PRESENTS, that the undersigned hereby constitutes and appoints Kevin Gillis his true and lawful attorney-in-fact, with full power of substitution, to sign any and all instruments, certificates and documents that may be necessary, desirable or appropriate to be executed on behalf of himself as an individual or in his capacity as a direct or indirect general partner, director, officer, member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might or could do in person, thereby ratifying and confirming all that said attorney-in-fact, or his substitutes, may lawfully do or cause to be done by virtue hereof. Each of the undersigned may execute this power of attorney in separate counterparts, and each counterpart shall be deemed to be an original instrument. This agreement shall be effective as to each of the undersigned as of the date signed by that signatory.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16th day of January, 2014.</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Levin</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P.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P. Starr</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Robert I. Tepper</w:t>
      </w:r>
    </w:p>
    <w:p>
      <w:pPr>
        <w:sectPr>
          <w:pgSz w:w="11900" w:h="16838" w:orient="portrait"/>
          <w:cols w:equalWidth="0" w:num="1">
            <w:col w:w="11020"/>
          </w:cols>
          <w:pgMar w:left="440" w:top="190"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80605" cy="3873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II, L.P.</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GP II,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6149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GP II, L.P.</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6149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TRV GP II,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6149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MARK LEVIN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Levin</w:t>
      </w:r>
    </w:p>
    <w:p>
      <w:pPr>
        <w:spacing w:after="0" w:line="2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KEVIN P. STARR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P. Starr</w:t>
      </w:r>
    </w:p>
    <w:p>
      <w:pPr>
        <w:spacing w:after="0" w:line="2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ROBERT I. TEPPER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Robert I. Tepper</w:t>
      </w:r>
    </w:p>
    <w:sectPr>
      <w:pgSz w:w="11900" w:h="16838" w:orient="portrait"/>
      <w:cols w:equalWidth="0" w:num="1">
        <w:col w:w="11020"/>
      </w:cols>
      <w:pgMar w:left="440" w:top="19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lvl w:ilvl="1">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2"/>
    </w:lvl>
  </w:abstractNum>
  <w:abstractNum w:abstractNumId="4">
    <w:nsid w:val="836C40E"/>
    <w:multiLevelType w:val="hybridMultilevel"/>
    <w:lvl w:ilvl="0">
      <w:lvlJc w:val="left"/>
      <w:lvlText w:val="%1."/>
      <w:numFmt w:val="decimal"/>
      <w:start w:val="3"/>
    </w:lvl>
  </w:abstractNum>
  <w:abstractNum w:abstractNumId="5">
    <w:nsid w:val="2901D82"/>
    <w:multiLevelType w:val="hybridMultilevel"/>
    <w:lvl w:ilvl="0">
      <w:lvlJc w:val="left"/>
      <w:lvlText w:val="%1."/>
      <w:numFmt w:val="decimal"/>
      <w:start w:val="5"/>
    </w:lvl>
  </w:abstractNum>
  <w:abstractNum w:abstractNumId="6">
    <w:nsid w:val="3A95F874"/>
    <w:multiLevelType w:val="hybridMultilevel"/>
    <w:lvl w:ilvl="0">
      <w:lvlJc w:val="left"/>
      <w:lvlText w:val="%1."/>
      <w:numFmt w:val="decimal"/>
      <w:start w:val="9"/>
    </w:lvl>
  </w:abstractNum>
  <w:abstractNum w:abstractNumId="7">
    <w:nsid w:val="8138641"/>
    <w:multiLevelType w:val="hybridMultilevel"/>
    <w:lvl w:ilvl="0">
      <w:lvlJc w:val="left"/>
      <w:lvlText w:val="%1."/>
      <w:numFmt w:val="decimal"/>
      <w:start w:val="10"/>
    </w:lvl>
  </w:abstractNum>
  <w:abstractNum w:abstractNumId="8">
    <w:nsid w:val="1E7FF521"/>
    <w:multiLevelType w:val="hybridMultilevel"/>
    <w:lvl w:ilvl="0">
      <w:lvlJc w:val="left"/>
      <w:lvlText w:val="%1."/>
      <w:numFmt w:val="decimal"/>
      <w:start w:val="12"/>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2"/>
    </w:lvl>
  </w:abstractNum>
  <w:abstractNum w:abstractNumId="12">
    <w:nsid w:val="22221A70"/>
    <w:multiLevelType w:val="hybridMultilevel"/>
    <w:lvl w:ilvl="0">
      <w:lvlJc w:val="left"/>
      <w:lvlText w:val="%1."/>
      <w:numFmt w:val="decimal"/>
      <w:start w:val="3"/>
    </w:lvl>
  </w:abstractNum>
  <w:abstractNum w:abstractNumId="13">
    <w:nsid w:val="4516DDE9"/>
    <w:multiLevelType w:val="hybridMultilevel"/>
    <w:lvl w:ilvl="0">
      <w:lvlJc w:val="left"/>
      <w:lvlText w:val="%1."/>
      <w:numFmt w:val="decimal"/>
      <w:start w:val="5"/>
    </w:lvl>
  </w:abstractNum>
  <w:abstractNum w:abstractNumId="14">
    <w:nsid w:val="3006C83E"/>
    <w:multiLevelType w:val="hybridMultilevel"/>
    <w:lvl w:ilvl="0">
      <w:lvlJc w:val="left"/>
      <w:lvlText w:val="%1."/>
      <w:numFmt w:val="decimal"/>
      <w:start w:val="9"/>
    </w:lvl>
  </w:abstractNum>
  <w:abstractNum w:abstractNumId="15">
    <w:nsid w:val="614FD4A1"/>
    <w:multiLevelType w:val="hybridMultilevel"/>
    <w:lvl w:ilvl="0">
      <w:lvlJc w:val="left"/>
      <w:lvlText w:val="%1."/>
      <w:numFmt w:val="decimal"/>
      <w:start w:val="10"/>
    </w:lvl>
  </w:abstractNum>
  <w:abstractNum w:abstractNumId="16">
    <w:nsid w:val="419AC241"/>
    <w:multiLevelType w:val="hybridMultilevel"/>
    <w:lvl w:ilvl="0">
      <w:lvlJc w:val="left"/>
      <w:lvlText w:val="%1."/>
      <w:numFmt w:val="decimal"/>
      <w:start w:val="12"/>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2"/>
    </w:lvl>
  </w:abstractNum>
  <w:abstractNum w:abstractNumId="19">
    <w:nsid w:val="5072367"/>
    <w:multiLevelType w:val="hybridMultilevel"/>
    <w:lvl w:ilvl="0">
      <w:lvlJc w:val="left"/>
      <w:lvlText w:val="%1."/>
      <w:numFmt w:val="decimal"/>
      <w:start w:val="3"/>
    </w:lvl>
  </w:abstractNum>
  <w:abstractNum w:abstractNumId="20">
    <w:nsid w:val="3804823E"/>
    <w:multiLevelType w:val="hybridMultilevel"/>
    <w:lvl w:ilvl="0">
      <w:lvlJc w:val="left"/>
      <w:lvlText w:val="%1."/>
      <w:numFmt w:val="decimal"/>
      <w:start w:val="5"/>
    </w:lvl>
  </w:abstractNum>
  <w:abstractNum w:abstractNumId="21">
    <w:nsid w:val="77465F01"/>
    <w:multiLevelType w:val="hybridMultilevel"/>
    <w:lvl w:ilvl="0">
      <w:lvlJc w:val="left"/>
      <w:lvlText w:val="%1."/>
      <w:numFmt w:val="decimal"/>
      <w:start w:val="9"/>
    </w:lvl>
  </w:abstractNum>
  <w:abstractNum w:abstractNumId="22">
    <w:nsid w:val="7724C67E"/>
    <w:multiLevelType w:val="hybridMultilevel"/>
    <w:lvl w:ilvl="0">
      <w:lvlJc w:val="left"/>
      <w:lvlText w:val="%1."/>
      <w:numFmt w:val="decimal"/>
      <w:start w:val="10"/>
    </w:lvl>
  </w:abstractNum>
  <w:abstractNum w:abstractNumId="23">
    <w:nsid w:val="5C482A97"/>
    <w:multiLevelType w:val="hybridMultilevel"/>
    <w:lvl w:ilvl="0">
      <w:lvlJc w:val="left"/>
      <w:lvlText w:val="%1."/>
      <w:numFmt w:val="decimal"/>
      <w:start w:val="12"/>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2"/>
    </w:lvl>
  </w:abstractNum>
  <w:abstractNum w:abstractNumId="26">
    <w:nsid w:val="51EAD36B"/>
    <w:multiLevelType w:val="hybridMultilevel"/>
    <w:lvl w:ilvl="0">
      <w:lvlJc w:val="left"/>
      <w:lvlText w:val="%1."/>
      <w:numFmt w:val="decimal"/>
      <w:start w:val="3"/>
    </w:lvl>
  </w:abstractNum>
  <w:abstractNum w:abstractNumId="27">
    <w:nsid w:val="2D517796"/>
    <w:multiLevelType w:val="hybridMultilevel"/>
    <w:lvl w:ilvl="0">
      <w:lvlJc w:val="left"/>
      <w:lvlText w:val="%1."/>
      <w:numFmt w:val="decimal"/>
      <w:start w:val="5"/>
    </w:lvl>
  </w:abstractNum>
  <w:abstractNum w:abstractNumId="28">
    <w:nsid w:val="580BD78F"/>
    <w:multiLevelType w:val="hybridMultilevel"/>
    <w:lvl w:ilvl="0">
      <w:lvlJc w:val="left"/>
      <w:lvlText w:val="%1."/>
      <w:numFmt w:val="decimal"/>
      <w:start w:val="9"/>
    </w:lvl>
  </w:abstractNum>
  <w:abstractNum w:abstractNumId="29">
    <w:nsid w:val="153EA438"/>
    <w:multiLevelType w:val="hybridMultilevel"/>
    <w:lvl w:ilvl="0">
      <w:lvlJc w:val="left"/>
      <w:lvlText w:val="%1."/>
      <w:numFmt w:val="decimal"/>
      <w:start w:val="10"/>
    </w:lvl>
  </w:abstractNum>
  <w:abstractNum w:abstractNumId="30">
    <w:nsid w:val="3855585C"/>
    <w:multiLevelType w:val="hybridMultilevel"/>
    <w:lvl w:ilvl="0">
      <w:lvlJc w:val="left"/>
      <w:lvlText w:val="%1."/>
      <w:numFmt w:val="decimal"/>
      <w:start w:val="12"/>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2"/>
    </w:lvl>
  </w:abstractNum>
  <w:abstractNum w:abstractNumId="33">
    <w:nsid w:val="2A487CB0"/>
    <w:multiLevelType w:val="hybridMultilevel"/>
    <w:lvl w:ilvl="0">
      <w:lvlJc w:val="left"/>
      <w:lvlText w:val="%1."/>
      <w:numFmt w:val="decimal"/>
      <w:start w:val="3"/>
    </w:lvl>
  </w:abstractNum>
  <w:abstractNum w:abstractNumId="34">
    <w:nsid w:val="1D4ED43B"/>
    <w:multiLevelType w:val="hybridMultilevel"/>
    <w:lvl w:ilvl="0">
      <w:lvlJc w:val="left"/>
      <w:lvlText w:val="%1."/>
      <w:numFmt w:val="decimal"/>
      <w:start w:val="5"/>
    </w:lvl>
  </w:abstractNum>
  <w:abstractNum w:abstractNumId="35">
    <w:nsid w:val="725A06FB"/>
    <w:multiLevelType w:val="hybridMultilevel"/>
    <w:lvl w:ilvl="0">
      <w:lvlJc w:val="left"/>
      <w:lvlText w:val="%1."/>
      <w:numFmt w:val="decimal"/>
      <w:start w:val="9"/>
    </w:lvl>
  </w:abstractNum>
  <w:abstractNum w:abstractNumId="36">
    <w:nsid w:val="2CD89A32"/>
    <w:multiLevelType w:val="hybridMultilevel"/>
    <w:lvl w:ilvl="0">
      <w:lvlJc w:val="left"/>
      <w:lvlText w:val="%1."/>
      <w:numFmt w:val="decimal"/>
      <w:start w:val="10"/>
    </w:lvl>
  </w:abstractNum>
  <w:abstractNum w:abstractNumId="37">
    <w:nsid w:val="57E4CCAF"/>
    <w:multiLevelType w:val="hybridMultilevel"/>
    <w:lvl w:ilvl="0">
      <w:lvlJc w:val="left"/>
      <w:lvlText w:val="%1."/>
      <w:numFmt w:val="decimal"/>
      <w:start w:val="12"/>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2"/>
    </w:lvl>
  </w:abstractNum>
  <w:abstractNum w:abstractNumId="40">
    <w:nsid w:val="542289EC"/>
    <w:multiLevelType w:val="hybridMultilevel"/>
    <w:lvl w:ilvl="0">
      <w:lvlJc w:val="left"/>
      <w:lvlText w:val="%1."/>
      <w:numFmt w:val="decimal"/>
      <w:start w:val="3"/>
    </w:lvl>
  </w:abstractNum>
  <w:abstractNum w:abstractNumId="41">
    <w:nsid w:val="6DE91B18"/>
    <w:multiLevelType w:val="hybridMultilevel"/>
    <w:lvl w:ilvl="0">
      <w:lvlJc w:val="left"/>
      <w:lvlText w:val="%1."/>
      <w:numFmt w:val="decimal"/>
      <w:start w:val="5"/>
    </w:lvl>
  </w:abstractNum>
  <w:abstractNum w:abstractNumId="42">
    <w:nsid w:val="38437FDB"/>
    <w:multiLevelType w:val="hybridMultilevel"/>
    <w:lvl w:ilvl="0">
      <w:lvlJc w:val="left"/>
      <w:lvlText w:val="%1."/>
      <w:numFmt w:val="decimal"/>
      <w:start w:val="9"/>
    </w:lvl>
  </w:abstractNum>
  <w:abstractNum w:abstractNumId="43">
    <w:nsid w:val="7644A45C"/>
    <w:multiLevelType w:val="hybridMultilevel"/>
    <w:lvl w:ilvl="0">
      <w:lvlJc w:val="left"/>
      <w:lvlText w:val="%1."/>
      <w:numFmt w:val="decimal"/>
      <w:start w:val="10"/>
    </w:lvl>
  </w:abstractNum>
  <w:abstractNum w:abstractNumId="44">
    <w:nsid w:val="32FFF902"/>
    <w:multiLevelType w:val="hybridMultilevel"/>
    <w:lvl w:ilvl="0">
      <w:lvlJc w:val="left"/>
      <w:lvlText w:val="%1."/>
      <w:numFmt w:val="decimal"/>
      <w:start w:val="12"/>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1"/>
    </w:lvl>
    <w:lvl w:ilvl="1">
      <w:lvlJc w:val="left"/>
      <w:lvlText w:val="(%2)"/>
      <w:numFmt w:val="lowerRoman"/>
      <w:start w:val="1"/>
    </w:lvl>
  </w:abstractNum>
  <w:abstractNum w:abstractNumId="47">
    <w:nsid w:val="749ABB43"/>
    <w:multiLevelType w:val="hybridMultilevel"/>
    <w:lvl w:ilvl="0">
      <w:lvlJc w:val="left"/>
      <w:lvlText w:val="(%1)"/>
      <w:numFmt w:val="lowerLetter"/>
      <w:start w:val="4"/>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1"/>
    </w:lvl>
    <w:lvl w:ilvl="1">
      <w:lvlJc w:val="left"/>
      <w:lvlText w:val="(%2)"/>
      <w:numFmt w:val="lowerRoman"/>
      <w:start w:val="1"/>
    </w:lvl>
  </w:abstractNum>
  <w:abstractNum w:abstractNumId="50">
    <w:nsid w:val="79A1DEAA"/>
    <w:multiLevelType w:val="hybridMultilevel"/>
    <w:lvl w:ilvl="0">
      <w:lvlJc w:val="left"/>
      <w:lvlText w:val="(%1)"/>
      <w:numFmt w:val="lowerLetter"/>
      <w:start w:val="3"/>
    </w:lvl>
  </w:abstractNum>
  <w:abstractNum w:abstractNumId="51">
    <w:nsid w:val="75C6C33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2019-12-15T15:19:07Z</dcterms:created>
  <dcterms:modified xsi:type="dcterms:W3CDTF">2019-12-15T15:19:07Z</dcterms:modified>
</cp:coreProperties>
</file>