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0"/>
          <w:szCs w:val="30"/>
          <w:b w:val="1"/>
          <w:bCs w:val="1"/>
          <w:color w:val="auto"/>
        </w:rPr>
        <w:t>UNITED STATES</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2213610</wp:posOffset>
            </wp:positionH>
            <wp:positionV relativeFrom="paragraph">
              <wp:posOffset>192405</wp:posOffset>
            </wp:positionV>
            <wp:extent cx="14833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3360" cy="762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2213610</wp:posOffset>
            </wp:positionH>
            <wp:positionV relativeFrom="paragraph">
              <wp:posOffset>210185</wp:posOffset>
            </wp:positionV>
            <wp:extent cx="148336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83360"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3720"/>
        <w:spacing w:after="0"/>
        <w:rPr>
          <w:sz w:val="20"/>
          <w:szCs w:val="20"/>
          <w:color w:val="auto"/>
        </w:rPr>
      </w:pPr>
      <w:r>
        <w:rPr>
          <w:rFonts w:ascii="Arial" w:cs="Arial" w:eastAsia="Arial" w:hAnsi="Arial"/>
          <w:sz w:val="20"/>
          <w:szCs w:val="20"/>
          <w:b w:val="1"/>
          <w:bCs w:val="1"/>
          <w:color w:val="auto"/>
        </w:rPr>
        <w:t>CURRENT REPORT</w:t>
      </w:r>
    </w:p>
    <w:p>
      <w:pPr>
        <w:spacing w:after="0" w:line="12" w:lineRule="exact"/>
        <w:rPr>
          <w:sz w:val="24"/>
          <w:szCs w:val="24"/>
          <w:color w:val="auto"/>
        </w:rPr>
      </w:pPr>
    </w:p>
    <w:p>
      <w:pPr>
        <w:ind w:left="3300"/>
        <w:spacing w:after="0"/>
        <w:rPr>
          <w:sz w:val="20"/>
          <w:szCs w:val="20"/>
          <w:color w:val="auto"/>
        </w:rPr>
      </w:pPr>
      <w:r>
        <w:rPr>
          <w:rFonts w:ascii="Arial" w:cs="Arial" w:eastAsia="Arial" w:hAnsi="Arial"/>
          <w:sz w:val="20"/>
          <w:szCs w:val="20"/>
          <w:b w:val="1"/>
          <w:bCs w:val="1"/>
          <w:color w:val="auto"/>
        </w:rPr>
        <w:t>Pursuant to Section 13 or 15(d)</w:t>
      </w:r>
    </w:p>
    <w:p>
      <w:pPr>
        <w:jc w:val="center"/>
        <w:ind w:right="-5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December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2213610</wp:posOffset>
            </wp:positionH>
            <wp:positionV relativeFrom="paragraph">
              <wp:posOffset>203835</wp:posOffset>
            </wp:positionV>
            <wp:extent cx="14833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3360" cy="762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59"/>
        <w:spacing w:after="0"/>
        <w:rPr>
          <w:sz w:val="20"/>
          <w:szCs w:val="20"/>
          <w:color w:val="auto"/>
        </w:rPr>
      </w:pPr>
      <w:r>
        <w:rPr>
          <w:rFonts w:ascii="Arial" w:cs="Arial" w:eastAsia="Arial" w:hAnsi="Arial"/>
          <w:sz w:val="30"/>
          <w:szCs w:val="30"/>
          <w:b w:val="1"/>
          <w:bCs w:val="1"/>
          <w:color w:val="auto"/>
        </w:rPr>
        <w:t>Blueprint Medicines Corporation</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2213610</wp:posOffset>
            </wp:positionH>
            <wp:positionV relativeFrom="paragraph">
              <wp:posOffset>192405</wp:posOffset>
            </wp:positionV>
            <wp:extent cx="14833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3360" cy="7620"/>
                    </a:xfrm>
                    <a:prstGeom prst="rect">
                      <a:avLst/>
                    </a:prstGeom>
                    <a:noFill/>
                  </pic:spPr>
                </pic:pic>
              </a:graphicData>
            </a:graphic>
          </wp:anchor>
        </w:drawing>
      </w:r>
    </w:p>
    <w:p>
      <w:pPr>
        <w:sectPr>
          <w:pgSz w:w="11900" w:h="16838" w:orient="portrait"/>
          <w:cols w:equalWidth="0" w:num="1">
            <w:col w:w="9240"/>
          </w:cols>
          <w:pgMar w:left="1300" w:top="201" w:right="1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1160"/>
        <w:spacing w:after="0"/>
        <w:rPr>
          <w:sz w:val="20"/>
          <w:szCs w:val="20"/>
          <w:color w:val="auto"/>
        </w:rPr>
      </w:pPr>
      <w:r>
        <w:rPr>
          <w:rFonts w:ascii="Arial" w:cs="Arial" w:eastAsia="Arial" w:hAnsi="Arial"/>
          <w:sz w:val="17"/>
          <w:szCs w:val="17"/>
          <w:b w:val="1"/>
          <w:bCs w:val="1"/>
          <w:color w:val="auto"/>
        </w:rPr>
        <w:t>Delaware</w:t>
      </w:r>
    </w:p>
    <w:p>
      <w:pPr>
        <w:spacing w:after="0" w:line="21" w:lineRule="exact"/>
        <w:rPr>
          <w:sz w:val="24"/>
          <w:szCs w:val="24"/>
          <w:color w:val="auto"/>
        </w:rPr>
      </w:pPr>
    </w:p>
    <w:p>
      <w:pPr>
        <w:ind w:left="620"/>
        <w:spacing w:after="0"/>
        <w:rPr>
          <w:sz w:val="20"/>
          <w:szCs w:val="20"/>
          <w:color w:val="auto"/>
        </w:rPr>
      </w:pPr>
      <w:r>
        <w:rPr>
          <w:rFonts w:ascii="Arial" w:cs="Arial" w:eastAsia="Arial" w:hAnsi="Arial"/>
          <w:sz w:val="15"/>
          <w:szCs w:val="15"/>
          <w:color w:val="auto"/>
        </w:rPr>
        <w:t>(State or other jurisdiction</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jc w:val="center"/>
        <w:ind w:right="900"/>
        <w:spacing w:after="0"/>
        <w:rPr>
          <w:sz w:val="20"/>
          <w:szCs w:val="20"/>
          <w:color w:val="auto"/>
        </w:rPr>
      </w:pPr>
      <w:r>
        <w:rPr>
          <w:rFonts w:ascii="Arial" w:cs="Arial" w:eastAsia="Arial" w:hAnsi="Arial"/>
          <w:sz w:val="17"/>
          <w:szCs w:val="17"/>
          <w:b w:val="1"/>
          <w:bCs w:val="1"/>
          <w:color w:val="auto"/>
        </w:rPr>
        <w:t>001-37359</w:t>
      </w:r>
    </w:p>
    <w:p>
      <w:pPr>
        <w:spacing w:after="0" w:line="21" w:lineRule="exact"/>
        <w:rPr>
          <w:sz w:val="24"/>
          <w:szCs w:val="24"/>
          <w:color w:val="auto"/>
        </w:rPr>
      </w:pPr>
    </w:p>
    <w:p>
      <w:pPr>
        <w:jc w:val="center"/>
        <w:ind w:right="90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jc w:val="center"/>
        <w:ind w:right="820"/>
        <w:spacing w:after="0"/>
        <w:rPr>
          <w:sz w:val="20"/>
          <w:szCs w:val="20"/>
          <w:color w:val="auto"/>
        </w:rPr>
      </w:pPr>
      <w:r>
        <w:rPr>
          <w:rFonts w:ascii="Arial" w:cs="Arial" w:eastAsia="Arial" w:hAnsi="Arial"/>
          <w:sz w:val="17"/>
          <w:szCs w:val="17"/>
          <w:b w:val="1"/>
          <w:bCs w:val="1"/>
          <w:color w:val="auto"/>
        </w:rPr>
        <w:t>26-3632015</w:t>
      </w:r>
    </w:p>
    <w:p>
      <w:pPr>
        <w:spacing w:after="0" w:line="21"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(I.R.S. Employer</w:t>
      </w:r>
    </w:p>
    <w:p>
      <w:pPr>
        <w:spacing w:after="0" w:line="16" w:lineRule="exact"/>
        <w:rPr>
          <w:sz w:val="24"/>
          <w:szCs w:val="24"/>
          <w:color w:val="auto"/>
        </w:rPr>
      </w:pPr>
    </w:p>
    <w:p>
      <w:pPr>
        <w:jc w:val="center"/>
        <w:ind w:right="820"/>
        <w:spacing w:after="0"/>
        <w:rPr>
          <w:sz w:val="20"/>
          <w:szCs w:val="20"/>
          <w:color w:val="auto"/>
        </w:rPr>
      </w:pPr>
      <w:r>
        <w:rPr>
          <w:rFonts w:ascii="Arial" w:cs="Arial" w:eastAsia="Arial" w:hAnsi="Arial"/>
          <w:sz w:val="15"/>
          <w:szCs w:val="15"/>
          <w:color w:val="auto"/>
        </w:rPr>
        <w:t>Identification No.)</w:t>
      </w:r>
    </w:p>
    <w:p>
      <w:pPr>
        <w:spacing w:after="0" w:line="222" w:lineRule="exact"/>
        <w:rPr>
          <w:sz w:val="24"/>
          <w:szCs w:val="24"/>
          <w:color w:val="auto"/>
        </w:rPr>
      </w:pPr>
    </w:p>
    <w:p>
      <w:pPr>
        <w:sectPr>
          <w:pgSz w:w="11900" w:h="16838" w:orient="portrait"/>
          <w:cols w:equalWidth="0" w:num="3">
            <w:col w:w="3020" w:space="720"/>
            <w:col w:w="2740" w:space="720"/>
            <w:col w:w="2040"/>
          </w:cols>
          <w:pgMar w:left="1300" w:top="201" w:right="135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380"/>
        <w:spacing w:after="0"/>
        <w:rPr>
          <w:sz w:val="20"/>
          <w:szCs w:val="20"/>
          <w:color w:val="auto"/>
        </w:rPr>
      </w:pPr>
      <w:r>
        <w:rPr>
          <w:rFonts w:ascii="Arial" w:cs="Arial" w:eastAsia="Arial" w:hAnsi="Arial"/>
          <w:sz w:val="17"/>
          <w:szCs w:val="17"/>
          <w:b w:val="1"/>
          <w:bCs w:val="1"/>
          <w:color w:val="auto"/>
        </w:rPr>
        <w:t>38 Sidney Street, Suite 200</w:t>
      </w:r>
    </w:p>
    <w:p>
      <w:pPr>
        <w:spacing w:after="0" w:line="21" w:lineRule="exact"/>
        <w:rPr>
          <w:sz w:val="24"/>
          <w:szCs w:val="24"/>
          <w:color w:val="auto"/>
        </w:rPr>
      </w:pPr>
    </w:p>
    <w:p>
      <w:pPr>
        <w:jc w:val="center"/>
        <w:ind w:right="1380"/>
        <w:spacing w:after="0"/>
        <w:rPr>
          <w:sz w:val="20"/>
          <w:szCs w:val="20"/>
          <w:color w:val="auto"/>
        </w:rPr>
      </w:pPr>
      <w:r>
        <w:rPr>
          <w:rFonts w:ascii="Arial" w:cs="Arial" w:eastAsia="Arial" w:hAnsi="Arial"/>
          <w:sz w:val="17"/>
          <w:szCs w:val="17"/>
          <w:b w:val="1"/>
          <w:bCs w:val="1"/>
          <w:color w:val="auto"/>
        </w:rPr>
        <w:t>Cambridge, Massachusetts</w:t>
      </w:r>
    </w:p>
    <w:p>
      <w:pPr>
        <w:spacing w:after="0" w:line="4" w:lineRule="exact"/>
        <w:rPr>
          <w:sz w:val="24"/>
          <w:szCs w:val="24"/>
          <w:color w:val="auto"/>
        </w:rPr>
      </w:pPr>
    </w:p>
    <w:p>
      <w:pPr>
        <w:jc w:val="center"/>
        <w:ind w:right="138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840"/>
        <w:spacing w:after="0"/>
        <w:rPr>
          <w:sz w:val="20"/>
          <w:szCs w:val="20"/>
          <w:color w:val="auto"/>
        </w:rPr>
      </w:pPr>
      <w:r>
        <w:rPr>
          <w:rFonts w:ascii="Arial" w:cs="Arial" w:eastAsia="Arial" w:hAnsi="Arial"/>
          <w:sz w:val="17"/>
          <w:szCs w:val="17"/>
          <w:b w:val="1"/>
          <w:bCs w:val="1"/>
          <w:color w:val="auto"/>
        </w:rPr>
        <w:t>02139</w:t>
      </w:r>
    </w:p>
    <w:p>
      <w:pPr>
        <w:spacing w:after="0" w:line="21" w:lineRule="exact"/>
        <w:rPr>
          <w:sz w:val="24"/>
          <w:szCs w:val="24"/>
          <w:color w:val="auto"/>
        </w:rPr>
      </w:pPr>
    </w:p>
    <w:p>
      <w:pPr>
        <w:jc w:val="center"/>
        <w:ind w:right="184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5940" w:space="720"/>
            <w:col w:w="2580"/>
          </w:cols>
          <w:pgMar w:left="1300" w:top="201" w:right="1359" w:bottom="1440" w:gutter="0" w:footer="0" w:header="0"/>
          <w:type w:val="continuous"/>
        </w:sectPr>
      </w:pPr>
    </w:p>
    <w:p>
      <w:pPr>
        <w:spacing w:after="0" w:line="335"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374-7580</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2213610</wp:posOffset>
            </wp:positionH>
            <wp:positionV relativeFrom="paragraph">
              <wp:posOffset>201295</wp:posOffset>
            </wp:positionV>
            <wp:extent cx="148336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3360"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firstLine="600"/>
        <w:spacing w:after="0" w:line="266"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ind w:left="1360" w:hanging="756"/>
        <w:spacing w:after="0"/>
        <w:tabs>
          <w:tab w:leader="none" w:pos="1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8" w:lineRule="exact"/>
        <w:rPr>
          <w:rFonts w:ascii="MS PGothic" w:cs="MS PGothic" w:eastAsia="MS PGothic" w:hAnsi="MS PGothic"/>
          <w:sz w:val="17"/>
          <w:szCs w:val="17"/>
          <w:color w:val="auto"/>
        </w:rPr>
      </w:pPr>
    </w:p>
    <w:p>
      <w:pPr>
        <w:ind w:left="1360" w:hanging="756"/>
        <w:spacing w:after="0"/>
        <w:tabs>
          <w:tab w:leader="none" w:pos="1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4" w:lineRule="exact"/>
        <w:rPr>
          <w:rFonts w:ascii="MS PGothic" w:cs="MS PGothic" w:eastAsia="MS PGothic" w:hAnsi="MS PGothic"/>
          <w:sz w:val="17"/>
          <w:szCs w:val="17"/>
          <w:color w:val="auto"/>
        </w:rPr>
      </w:pPr>
    </w:p>
    <w:p>
      <w:pPr>
        <w:ind w:left="1360" w:hanging="756"/>
        <w:spacing w:after="0"/>
        <w:tabs>
          <w:tab w:leader="none" w:pos="13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27" w:lineRule="exact"/>
        <w:rPr>
          <w:rFonts w:ascii="MS PGothic" w:cs="MS PGothic" w:eastAsia="MS PGothic" w:hAnsi="MS PGothic"/>
          <w:sz w:val="15"/>
          <w:szCs w:val="15"/>
          <w:color w:val="auto"/>
        </w:rPr>
      </w:pPr>
    </w:p>
    <w:p>
      <w:pPr>
        <w:ind w:left="1360" w:hanging="756"/>
        <w:spacing w:after="0"/>
        <w:tabs>
          <w:tab w:leader="none" w:pos="13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412750</wp:posOffset>
            </wp:positionV>
            <wp:extent cx="590867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08675" cy="15875"/>
                    </a:xfrm>
                    <a:prstGeom prst="rect">
                      <a:avLst/>
                    </a:prstGeom>
                    <a:noFill/>
                  </pic:spPr>
                </pic:pic>
              </a:graphicData>
            </a:graphic>
          </wp:anchor>
        </w:drawing>
      </w:r>
    </w:p>
    <w:p>
      <w:pPr>
        <w:sectPr>
          <w:pgSz w:w="11900" w:h="16838" w:orient="portrait"/>
          <w:cols w:equalWidth="0" w:num="1">
            <w:col w:w="9240"/>
          </w:cols>
          <w:pgMar w:left="1300" w:top="201" w:right="135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08" w:lineRule="exact"/>
        <w:rPr>
          <w:sz w:val="20"/>
          <w:szCs w:val="20"/>
          <w:color w:val="auto"/>
        </w:rPr>
      </w:pPr>
    </w:p>
    <w:p>
      <w:pPr>
        <w:ind w:right="100" w:firstLine="600"/>
        <w:spacing w:after="0" w:line="248" w:lineRule="auto"/>
        <w:rPr>
          <w:sz w:val="20"/>
          <w:szCs w:val="20"/>
          <w:color w:val="auto"/>
        </w:rPr>
      </w:pPr>
      <w:r>
        <w:rPr>
          <w:rFonts w:ascii="Arial" w:cs="Arial" w:eastAsia="Arial" w:hAnsi="Arial"/>
          <w:sz w:val="17"/>
          <w:szCs w:val="17"/>
          <w:color w:val="auto"/>
        </w:rPr>
        <w:t>On December 4, 2016, Blueprint Medicines Corporation (the “Company”) issued a press release announcing initial data from the dose escalation stage of its ongoing Phase 1 clinical trial evaluating BLU-285 for the treatment of advanced systemic mastocytosis (“SM”). BLU-285 is an orally available, potent and highly selective inhibitor that targets D816V mutant KIT. The Company presented the data on December 4, 2016 in an oral presentation at the 2016 American Society of Hematology (“ASH”) Annual Meeting and Exposition in San Diego, California. A copy of the press release is attached as Exhibit 99.1 to this Current Report on Form 8-K and incorporated herein by reference. A copy of the presentation is attached as Exhibit 99.2 to this Current Report on Form 8-K and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Cautionary Note Regarding Forward-Looking Statements</w:t>
      </w:r>
    </w:p>
    <w:p>
      <w:pPr>
        <w:spacing w:after="0" w:line="204" w:lineRule="exact"/>
        <w:rPr>
          <w:sz w:val="20"/>
          <w:szCs w:val="20"/>
          <w:color w:val="auto"/>
        </w:rPr>
      </w:pPr>
    </w:p>
    <w:p>
      <w:pPr>
        <w:ind w:right="40" w:firstLine="600"/>
        <w:spacing w:after="0" w:line="280" w:lineRule="auto"/>
        <w:rPr>
          <w:sz w:val="20"/>
          <w:szCs w:val="20"/>
          <w:color w:val="auto"/>
        </w:rPr>
      </w:pPr>
      <w:r>
        <w:rPr>
          <w:rFonts w:ascii="Arial" w:cs="Arial" w:eastAsia="Arial" w:hAnsi="Arial"/>
          <w:sz w:val="15"/>
          <w:szCs w:val="15"/>
          <w:color w:val="auto"/>
        </w:rPr>
        <w:t>This Current Report on Form 8-K contains forward-looking statements within the meaning of the Private Securities Litigation Reform Act of 1995, as amended, including, without limitation, statements regarding plans and timelines for the clinical development of BLU-285; the Company’s ability to implement its clinical development plans for BLU-285 for the treatment of advanced SM; and the Company’s ability to enroll patients in its ongoing Phase 1 clinical trial for BLU-285 in advanced SM.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Current Report on Form 8-K are based on management’s current expectations and beliefs and are subject to a number of risks, uncertainties and important factors that may cause actual events or results to differ materially from those expressed or implied by any forward-looking statements contained in this Current Report on Form 8-K, including, without limitation, risks and uncertainties related to the delay of any current or planned clinical trials or the development of BLU-285; the Company’s advancement of multiple early-stage efforts; the Company’s ability to successfully demonstrate the efficacy and safety of its drug product candidates; the preclinical and clinical results for the Company’s drug product candidates, which may not support further development of such drug product candidates; and actions of regulatory agencies, which may affect the initiation, timing and progress of clinical trials; the Company’s ability to develop and commercialize companion diagnostics for its current and future drug candidates; and the success of the Company’s rare genetic disease collaboration with Alexion Pharma Holding and its cancer immunotherapy collaboration with F. Hoffmann-La Roche Ltd and Hoffmann-La Roche Inc. These and other risks and uncertainties are described in greater detail in the section entitled “Risk Factors” in the Company’s Quarterly Report on Form 10-Q for the quarter ended September 30, 2016, as filed with the Securities and Exchange Commission (“SEC”) on November 10, 2016, and other filings that Blueprint Medicines may make with the SEC in the future. Any forward-looking statements contained in this Current Report on Form 8-K represent the Company’s views only as of the date hereof and should not be relied upon as representing its views as of any subsequent date. The Company explicitly disclaims any obligation to update any forward-looking statements.</w:t>
      </w:r>
    </w:p>
    <w:p>
      <w:pPr>
        <w:spacing w:after="0" w:line="16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20" w:type="dxa"/>
            <w:vAlign w:val="bottom"/>
            <w:gridSpan w:val="2"/>
          </w:tcPr>
          <w:p>
            <w:pPr>
              <w:spacing w:after="0"/>
              <w:rPr>
                <w:sz w:val="20"/>
                <w:szCs w:val="20"/>
                <w:color w:val="auto"/>
              </w:rPr>
            </w:pPr>
            <w:r>
              <w:rPr>
                <w:rFonts w:ascii="Arial" w:cs="Arial" w:eastAsia="Arial" w:hAnsi="Arial"/>
                <w:sz w:val="17"/>
                <w:szCs w:val="17"/>
                <w:color w:val="auto"/>
              </w:rPr>
              <w:t>(d) Exhibits.</w:t>
            </w:r>
          </w:p>
        </w:tc>
        <w:tc>
          <w:tcPr>
            <w:tcW w:w="7680" w:type="dxa"/>
            <w:vAlign w:val="bottom"/>
          </w:tcPr>
          <w:p>
            <w:pPr>
              <w:spacing w:after="0"/>
              <w:rPr>
                <w:sz w:val="18"/>
                <w:szCs w:val="18"/>
                <w:color w:val="auto"/>
              </w:rPr>
            </w:pPr>
          </w:p>
        </w:tc>
      </w:tr>
      <w:tr>
        <w:trPr>
          <w:trHeight w:val="412"/>
        </w:trPr>
        <w:tc>
          <w:tcPr>
            <w:tcW w:w="1620" w:type="dxa"/>
            <w:vAlign w:val="bottom"/>
            <w:gridSpan w:val="2"/>
          </w:tcPr>
          <w:p>
            <w:pPr>
              <w:ind w:left="120"/>
              <w:spacing w:after="0"/>
              <w:rPr>
                <w:sz w:val="20"/>
                <w:szCs w:val="20"/>
                <w:color w:val="auto"/>
              </w:rPr>
            </w:pPr>
            <w:r>
              <w:rPr>
                <w:rFonts w:ascii="Arial" w:cs="Arial" w:eastAsia="Arial" w:hAnsi="Arial"/>
                <w:sz w:val="17"/>
                <w:szCs w:val="17"/>
                <w:b w:val="1"/>
                <w:bCs w:val="1"/>
                <w:color w:val="auto"/>
              </w:rPr>
              <w:t>Exhibit No.</w:t>
            </w:r>
          </w:p>
        </w:tc>
        <w:tc>
          <w:tcPr>
            <w:tcW w:w="7680" w:type="dxa"/>
            <w:vAlign w:val="bottom"/>
          </w:tcPr>
          <w:p>
            <w:pPr>
              <w:ind w:left="100"/>
              <w:spacing w:after="0"/>
              <w:rPr>
                <w:sz w:val="20"/>
                <w:szCs w:val="20"/>
                <w:color w:val="auto"/>
              </w:rPr>
            </w:pPr>
            <w:r>
              <w:rPr>
                <w:rFonts w:ascii="Arial" w:cs="Arial" w:eastAsia="Arial" w:hAnsi="Arial"/>
                <w:sz w:val="17"/>
                <w:szCs w:val="17"/>
                <w:b w:val="1"/>
                <w:bCs w:val="1"/>
                <w:color w:val="auto"/>
              </w:rPr>
              <w:t>Description</w:t>
            </w:r>
          </w:p>
        </w:tc>
      </w:tr>
      <w:tr>
        <w:trPr>
          <w:trHeight w:val="180"/>
        </w:trPr>
        <w:tc>
          <w:tcPr>
            <w:tcW w:w="1360" w:type="dxa"/>
            <w:vAlign w:val="bottom"/>
            <w:tcBorders>
              <w:top w:val="single" w:sz="8" w:color="auto"/>
            </w:tcBorders>
          </w:tcPr>
          <w:p>
            <w:pPr>
              <w:ind w:left="120"/>
              <w:spacing w:after="0" w:line="180" w:lineRule="exact"/>
              <w:rPr>
                <w:sz w:val="20"/>
                <w:szCs w:val="20"/>
                <w:color w:val="auto"/>
              </w:rPr>
            </w:pPr>
            <w:r>
              <w:rPr>
                <w:rFonts w:ascii="Arial" w:cs="Arial" w:eastAsia="Arial" w:hAnsi="Arial"/>
                <w:sz w:val="17"/>
                <w:szCs w:val="17"/>
                <w:color w:val="auto"/>
              </w:rPr>
              <w:t>99.1</w:t>
            </w:r>
          </w:p>
        </w:tc>
        <w:tc>
          <w:tcPr>
            <w:tcW w:w="260" w:type="dxa"/>
            <w:vAlign w:val="bottom"/>
          </w:tcPr>
          <w:p>
            <w:pPr>
              <w:spacing w:after="0"/>
              <w:rPr>
                <w:sz w:val="15"/>
                <w:szCs w:val="15"/>
                <w:color w:val="auto"/>
              </w:rPr>
            </w:pPr>
          </w:p>
        </w:tc>
        <w:tc>
          <w:tcPr>
            <w:tcW w:w="7680" w:type="dxa"/>
            <w:vAlign w:val="bottom"/>
            <w:tcBorders>
              <w:top w:val="single" w:sz="8" w:color="auto"/>
            </w:tcBorders>
          </w:tcPr>
          <w:p>
            <w:pPr>
              <w:ind w:left="100"/>
              <w:spacing w:after="0" w:line="180" w:lineRule="exact"/>
              <w:rPr>
                <w:sz w:val="20"/>
                <w:szCs w:val="20"/>
                <w:color w:val="auto"/>
              </w:rPr>
            </w:pPr>
            <w:r>
              <w:rPr>
                <w:rFonts w:ascii="Arial" w:cs="Arial" w:eastAsia="Arial" w:hAnsi="Arial"/>
                <w:sz w:val="17"/>
                <w:szCs w:val="17"/>
                <w:color w:val="auto"/>
              </w:rPr>
              <w:t>Press release issued by Blueprint Medicines Corporation on December 4, 2016</w:t>
            </w:r>
          </w:p>
        </w:tc>
      </w:tr>
      <w:tr>
        <w:trPr>
          <w:trHeight w:val="200"/>
        </w:trPr>
        <w:tc>
          <w:tcPr>
            <w:tcW w:w="1360" w:type="dxa"/>
            <w:vAlign w:val="bottom"/>
          </w:tcPr>
          <w:p>
            <w:pPr>
              <w:ind w:left="120"/>
              <w:spacing w:after="0"/>
              <w:rPr>
                <w:sz w:val="20"/>
                <w:szCs w:val="20"/>
                <w:color w:val="auto"/>
              </w:rPr>
            </w:pPr>
            <w:r>
              <w:rPr>
                <w:rFonts w:ascii="Arial" w:cs="Arial" w:eastAsia="Arial" w:hAnsi="Arial"/>
                <w:sz w:val="17"/>
                <w:szCs w:val="17"/>
                <w:color w:val="auto"/>
              </w:rPr>
              <w:t>99.2</w:t>
            </w:r>
          </w:p>
        </w:tc>
        <w:tc>
          <w:tcPr>
            <w:tcW w:w="260" w:type="dxa"/>
            <w:vAlign w:val="bottom"/>
          </w:tcPr>
          <w:p>
            <w:pPr>
              <w:spacing w:after="0"/>
              <w:rPr>
                <w:sz w:val="17"/>
                <w:szCs w:val="17"/>
                <w:color w:val="auto"/>
              </w:rPr>
            </w:pPr>
          </w:p>
        </w:tc>
        <w:tc>
          <w:tcPr>
            <w:tcW w:w="7680" w:type="dxa"/>
            <w:vAlign w:val="bottom"/>
          </w:tcPr>
          <w:p>
            <w:pPr>
              <w:ind w:left="100"/>
              <w:spacing w:after="0"/>
              <w:rPr>
                <w:sz w:val="20"/>
                <w:szCs w:val="20"/>
                <w:color w:val="auto"/>
              </w:rPr>
            </w:pPr>
            <w:r>
              <w:rPr>
                <w:rFonts w:ascii="Arial" w:cs="Arial" w:eastAsia="Arial" w:hAnsi="Arial"/>
                <w:sz w:val="17"/>
                <w:szCs w:val="17"/>
                <w:color w:val="auto"/>
                <w:w w:val="97"/>
              </w:rPr>
              <w:t>Presentation by Blueprint Medicines Corporation on December 4, 2016 at the ASH Annual Meeting and</w:t>
            </w:r>
          </w:p>
        </w:tc>
      </w:tr>
      <w:tr>
        <w:trPr>
          <w:trHeight w:val="212"/>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ind w:left="100"/>
              <w:spacing w:after="0"/>
              <w:rPr>
                <w:sz w:val="20"/>
                <w:szCs w:val="20"/>
                <w:color w:val="auto"/>
              </w:rPr>
            </w:pPr>
            <w:r>
              <w:rPr>
                <w:rFonts w:ascii="Arial" w:cs="Arial" w:eastAsia="Arial" w:hAnsi="Arial"/>
                <w:sz w:val="17"/>
                <w:szCs w:val="17"/>
                <w:color w:val="auto"/>
              </w:rPr>
              <w:t>Exposition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74295</wp:posOffset>
            </wp:positionV>
            <wp:extent cx="5908675"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08675" cy="23495"/>
                    </a:xfrm>
                    <a:prstGeom prst="rect">
                      <a:avLst/>
                    </a:prstGeom>
                    <a:noFill/>
                  </pic:spPr>
                </pic:pic>
              </a:graphicData>
            </a:graphic>
          </wp:anchor>
        </w:drawing>
      </w:r>
    </w:p>
    <w:p>
      <w:pPr>
        <w:sectPr>
          <w:pgSz w:w="11900" w:h="16838" w:orient="portrait"/>
          <w:cols w:equalWidth="0" w:num="1">
            <w:col w:w="9300"/>
          </w:cols>
          <w:pgMar w:left="1300" w:top="123" w:right="129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7"/>
          <w:szCs w:val="17"/>
          <w:b w:val="1"/>
          <w:bCs w:val="1"/>
          <w:color w:val="auto"/>
        </w:rPr>
        <w:t>SIGNATURES</w:t>
      </w:r>
    </w:p>
    <w:p>
      <w:pPr>
        <w:spacing w:after="0" w:line="208" w:lineRule="exact"/>
        <w:rPr>
          <w:sz w:val="20"/>
          <w:szCs w:val="20"/>
          <w:color w:val="auto"/>
        </w:rPr>
      </w:pPr>
    </w:p>
    <w:p>
      <w:pPr>
        <w:ind w:firstLine="600"/>
        <w:spacing w:after="0" w:line="26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5720" w:type="dxa"/>
            <w:vAlign w:val="bottom"/>
            <w:gridSpan w:val="2"/>
          </w:tcPr>
          <w:p>
            <w:pPr>
              <w:ind w:left="1520"/>
              <w:spacing w:after="0"/>
              <w:rPr>
                <w:sz w:val="20"/>
                <w:szCs w:val="20"/>
                <w:color w:val="auto"/>
              </w:rPr>
            </w:pPr>
            <w:r>
              <w:rPr>
                <w:rFonts w:ascii="Arial" w:cs="Arial" w:eastAsia="Arial" w:hAnsi="Arial"/>
                <w:sz w:val="17"/>
                <w:szCs w:val="17"/>
                <w:b w:val="1"/>
                <w:bCs w:val="1"/>
                <w:color w:val="auto"/>
              </w:rPr>
              <w:t>BLUEPRINT MEDICINES CORPORATION</w:t>
            </w:r>
          </w:p>
        </w:tc>
      </w:tr>
      <w:tr>
        <w:trPr>
          <w:trHeight w:val="624"/>
        </w:trPr>
        <w:tc>
          <w:tcPr>
            <w:tcW w:w="3140" w:type="dxa"/>
            <w:vAlign w:val="bottom"/>
          </w:tcPr>
          <w:p>
            <w:pPr>
              <w:spacing w:after="0"/>
              <w:rPr>
                <w:sz w:val="20"/>
                <w:szCs w:val="20"/>
                <w:color w:val="auto"/>
              </w:rPr>
            </w:pPr>
            <w:r>
              <w:rPr>
                <w:rFonts w:ascii="Arial" w:cs="Arial" w:eastAsia="Arial" w:hAnsi="Arial"/>
                <w:sz w:val="17"/>
                <w:szCs w:val="17"/>
                <w:color w:val="auto"/>
              </w:rPr>
              <w:t>Date: December 5, 2016</w:t>
            </w:r>
          </w:p>
        </w:tc>
        <w:tc>
          <w:tcPr>
            <w:tcW w:w="5720" w:type="dxa"/>
            <w:vAlign w:val="bottom"/>
            <w:gridSpan w:val="2"/>
          </w:tcPr>
          <w:p>
            <w:pPr>
              <w:ind w:left="1520"/>
              <w:spacing w:after="0"/>
              <w:rPr>
                <w:sz w:val="20"/>
                <w:szCs w:val="20"/>
                <w:color w:val="auto"/>
              </w:rPr>
            </w:pPr>
            <w:r>
              <w:rPr>
                <w:rFonts w:ascii="Arial" w:cs="Arial" w:eastAsia="Arial" w:hAnsi="Arial"/>
                <w:sz w:val="17"/>
                <w:szCs w:val="17"/>
                <w:color w:val="auto"/>
              </w:rPr>
              <w:t>By:  /s/ Jeffrey W. Albers</w:t>
            </w:r>
          </w:p>
        </w:tc>
      </w:tr>
      <w:tr>
        <w:trPr>
          <w:trHeight w:val="180"/>
        </w:trPr>
        <w:tc>
          <w:tcPr>
            <w:tcW w:w="3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84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Jeffrey W. Albers</w:t>
            </w:r>
          </w:p>
        </w:tc>
      </w:tr>
      <w:tr>
        <w:trPr>
          <w:trHeight w:val="212"/>
        </w:trPr>
        <w:tc>
          <w:tcPr>
            <w:tcW w:w="3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74295</wp:posOffset>
            </wp:positionV>
            <wp:extent cx="5908675"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08675" cy="23495"/>
                    </a:xfrm>
                    <a:prstGeom prst="rect">
                      <a:avLst/>
                    </a:prstGeom>
                    <a:noFill/>
                  </pic:spPr>
                </pic:pic>
              </a:graphicData>
            </a:graphic>
          </wp:anchor>
        </w:drawing>
      </w:r>
    </w:p>
    <w:p>
      <w:pPr>
        <w:sectPr>
          <w:pgSz w:w="11900" w:h="16838" w:orient="portrait"/>
          <w:cols w:equalWidth="0" w:num="1">
            <w:col w:w="9200"/>
          </w:cols>
          <w:pgMar w:left="1300" w:top="123" w:right="1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ind w:left="2380"/>
              <w:spacing w:after="0"/>
              <w:rPr>
                <w:sz w:val="20"/>
                <w:szCs w:val="20"/>
                <w:color w:val="auto"/>
              </w:rPr>
            </w:pPr>
            <w:r>
              <w:rPr>
                <w:rFonts w:ascii="Arial" w:cs="Arial" w:eastAsia="Arial" w:hAnsi="Arial"/>
                <w:sz w:val="17"/>
                <w:szCs w:val="17"/>
                <w:b w:val="1"/>
                <w:bCs w:val="1"/>
                <w:color w:val="auto"/>
              </w:rPr>
              <w:t>EXHIBIT INDEX</w:t>
            </w:r>
          </w:p>
        </w:tc>
      </w:tr>
      <w:tr>
        <w:trPr>
          <w:trHeight w:val="412"/>
        </w:trPr>
        <w:tc>
          <w:tcPr>
            <w:tcW w:w="1620" w:type="dxa"/>
            <w:vAlign w:val="bottom"/>
            <w:gridSpan w:val="2"/>
          </w:tcPr>
          <w:p>
            <w:pPr>
              <w:ind w:left="120"/>
              <w:spacing w:after="0"/>
              <w:rPr>
                <w:sz w:val="20"/>
                <w:szCs w:val="20"/>
                <w:color w:val="auto"/>
              </w:rPr>
            </w:pPr>
            <w:r>
              <w:rPr>
                <w:rFonts w:ascii="Arial" w:cs="Arial" w:eastAsia="Arial" w:hAnsi="Arial"/>
                <w:sz w:val="17"/>
                <w:szCs w:val="17"/>
                <w:b w:val="1"/>
                <w:bCs w:val="1"/>
                <w:color w:val="auto"/>
              </w:rPr>
              <w:t>Exhibit No.</w:t>
            </w:r>
          </w:p>
        </w:tc>
        <w:tc>
          <w:tcPr>
            <w:tcW w:w="7680" w:type="dxa"/>
            <w:vAlign w:val="bottom"/>
          </w:tcPr>
          <w:p>
            <w:pPr>
              <w:ind w:left="100"/>
              <w:spacing w:after="0"/>
              <w:rPr>
                <w:sz w:val="20"/>
                <w:szCs w:val="20"/>
                <w:color w:val="auto"/>
              </w:rPr>
            </w:pPr>
            <w:r>
              <w:rPr>
                <w:rFonts w:ascii="Arial" w:cs="Arial" w:eastAsia="Arial" w:hAnsi="Arial"/>
                <w:sz w:val="17"/>
                <w:szCs w:val="17"/>
                <w:b w:val="1"/>
                <w:bCs w:val="1"/>
                <w:color w:val="auto"/>
              </w:rPr>
              <w:t>Description</w:t>
            </w:r>
          </w:p>
        </w:tc>
      </w:tr>
      <w:tr>
        <w:trPr>
          <w:trHeight w:val="180"/>
        </w:trPr>
        <w:tc>
          <w:tcPr>
            <w:tcW w:w="1360" w:type="dxa"/>
            <w:vAlign w:val="bottom"/>
            <w:tcBorders>
              <w:top w:val="single" w:sz="8" w:color="auto"/>
            </w:tcBorders>
          </w:tcPr>
          <w:p>
            <w:pPr>
              <w:ind w:left="120"/>
              <w:spacing w:after="0" w:line="180" w:lineRule="exact"/>
              <w:rPr>
                <w:sz w:val="20"/>
                <w:szCs w:val="20"/>
                <w:color w:val="auto"/>
              </w:rPr>
            </w:pPr>
            <w:r>
              <w:rPr>
                <w:rFonts w:ascii="Arial" w:cs="Arial" w:eastAsia="Arial" w:hAnsi="Arial"/>
                <w:sz w:val="17"/>
                <w:szCs w:val="17"/>
                <w:color w:val="auto"/>
              </w:rPr>
              <w:t>99.1</w:t>
            </w:r>
          </w:p>
        </w:tc>
        <w:tc>
          <w:tcPr>
            <w:tcW w:w="260" w:type="dxa"/>
            <w:vAlign w:val="bottom"/>
          </w:tcPr>
          <w:p>
            <w:pPr>
              <w:spacing w:after="0"/>
              <w:rPr>
                <w:sz w:val="15"/>
                <w:szCs w:val="15"/>
                <w:color w:val="auto"/>
              </w:rPr>
            </w:pPr>
          </w:p>
        </w:tc>
        <w:tc>
          <w:tcPr>
            <w:tcW w:w="7680" w:type="dxa"/>
            <w:vAlign w:val="bottom"/>
            <w:tcBorders>
              <w:top w:val="single" w:sz="8" w:color="auto"/>
            </w:tcBorders>
          </w:tcPr>
          <w:p>
            <w:pPr>
              <w:ind w:left="100"/>
              <w:spacing w:after="0" w:line="180" w:lineRule="exact"/>
              <w:rPr>
                <w:sz w:val="20"/>
                <w:szCs w:val="20"/>
                <w:color w:val="auto"/>
              </w:rPr>
            </w:pPr>
            <w:r>
              <w:rPr>
                <w:rFonts w:ascii="Arial" w:cs="Arial" w:eastAsia="Arial" w:hAnsi="Arial"/>
                <w:sz w:val="17"/>
                <w:szCs w:val="17"/>
                <w:color w:val="auto"/>
              </w:rPr>
              <w:t>Press release issued by Blueprint Medicines Corporation on December 4, 2016</w:t>
            </w:r>
          </w:p>
        </w:tc>
      </w:tr>
      <w:tr>
        <w:trPr>
          <w:trHeight w:val="200"/>
        </w:trPr>
        <w:tc>
          <w:tcPr>
            <w:tcW w:w="1360" w:type="dxa"/>
            <w:vAlign w:val="bottom"/>
          </w:tcPr>
          <w:p>
            <w:pPr>
              <w:ind w:left="120"/>
              <w:spacing w:after="0"/>
              <w:rPr>
                <w:sz w:val="20"/>
                <w:szCs w:val="20"/>
                <w:color w:val="auto"/>
              </w:rPr>
            </w:pPr>
            <w:r>
              <w:rPr>
                <w:rFonts w:ascii="Arial" w:cs="Arial" w:eastAsia="Arial" w:hAnsi="Arial"/>
                <w:sz w:val="17"/>
                <w:szCs w:val="17"/>
                <w:color w:val="auto"/>
              </w:rPr>
              <w:t>99.2</w:t>
            </w:r>
          </w:p>
        </w:tc>
        <w:tc>
          <w:tcPr>
            <w:tcW w:w="260" w:type="dxa"/>
            <w:vAlign w:val="bottom"/>
          </w:tcPr>
          <w:p>
            <w:pPr>
              <w:spacing w:after="0"/>
              <w:rPr>
                <w:sz w:val="17"/>
                <w:szCs w:val="17"/>
                <w:color w:val="auto"/>
              </w:rPr>
            </w:pPr>
          </w:p>
        </w:tc>
        <w:tc>
          <w:tcPr>
            <w:tcW w:w="7680" w:type="dxa"/>
            <w:vAlign w:val="bottom"/>
          </w:tcPr>
          <w:p>
            <w:pPr>
              <w:ind w:left="100"/>
              <w:spacing w:after="0"/>
              <w:rPr>
                <w:sz w:val="20"/>
                <w:szCs w:val="20"/>
                <w:color w:val="auto"/>
              </w:rPr>
            </w:pPr>
            <w:r>
              <w:rPr>
                <w:rFonts w:ascii="Arial" w:cs="Arial" w:eastAsia="Arial" w:hAnsi="Arial"/>
                <w:sz w:val="17"/>
                <w:szCs w:val="17"/>
                <w:color w:val="auto"/>
                <w:w w:val="97"/>
              </w:rPr>
              <w:t>Presentation by Blueprint Medicines Corporation on December 4, 2016 at the ASH Annual Meeting and</w:t>
            </w:r>
          </w:p>
        </w:tc>
      </w:tr>
      <w:tr>
        <w:trPr>
          <w:trHeight w:val="212"/>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ind w:left="100"/>
              <w:spacing w:after="0"/>
              <w:rPr>
                <w:sz w:val="20"/>
                <w:szCs w:val="20"/>
                <w:color w:val="auto"/>
              </w:rPr>
            </w:pPr>
            <w:r>
              <w:rPr>
                <w:rFonts w:ascii="Arial" w:cs="Arial" w:eastAsia="Arial" w:hAnsi="Arial"/>
                <w:sz w:val="17"/>
                <w:szCs w:val="17"/>
                <w:color w:val="auto"/>
              </w:rPr>
              <w:t>Exposition</w:t>
            </w:r>
          </w:p>
        </w:tc>
      </w:tr>
      <w:tr>
        <w:trPr>
          <w:trHeight w:val="862"/>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Pr>
          <w:p>
            <w:pPr>
              <w:ind w:left="3000"/>
              <w:spacing w:after="0"/>
              <w:rPr>
                <w:sz w:val="20"/>
                <w:szCs w:val="20"/>
                <w:color w:val="auto"/>
              </w:rPr>
            </w:pPr>
            <w:r>
              <w:rPr>
                <w:rFonts w:ascii="Arial" w:cs="Arial" w:eastAsia="Arial" w:hAnsi="Arial"/>
                <w:sz w:val="17"/>
                <w:szCs w:val="17"/>
                <w:color w:val="auto"/>
              </w:rPr>
              <w:t>4</w:t>
            </w:r>
          </w:p>
        </w:tc>
      </w:tr>
      <w:tr>
        <w:trPr>
          <w:trHeight w:val="117"/>
        </w:trPr>
        <w:tc>
          <w:tcPr>
            <w:tcW w:w="1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80" w:type="dxa"/>
            <w:vAlign w:val="bottom"/>
            <w:tcBorders>
              <w:bottom w:val="single" w:sz="8" w:color="auto"/>
            </w:tcBorders>
          </w:tcPr>
          <w:p>
            <w:pPr>
              <w:spacing w:after="0"/>
              <w:rPr>
                <w:sz w:val="10"/>
                <w:szCs w:val="10"/>
                <w:color w:val="auto"/>
              </w:rPr>
            </w:pPr>
          </w:p>
        </w:tc>
      </w:tr>
    </w:tbl>
    <w:p>
      <w:pPr>
        <w:sectPr>
          <w:pgSz w:w="11900" w:h="16838" w:orient="portrait"/>
          <w:cols w:equalWidth="0" w:num="1">
            <w:col w:w="9300"/>
          </w:cols>
          <w:pgMar w:left="1300" w:top="123" w:right="1299"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13335</wp:posOffset>
            </wp:positionV>
            <wp:extent cx="1713230" cy="579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3230" cy="57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140" w:right="139"/>
        <w:spacing w:after="0" w:line="281" w:lineRule="auto"/>
        <w:rPr>
          <w:sz w:val="20"/>
          <w:szCs w:val="20"/>
          <w:color w:val="auto"/>
        </w:rPr>
      </w:pPr>
      <w:r>
        <w:rPr>
          <w:rFonts w:ascii="Arial" w:cs="Arial" w:eastAsia="Arial" w:hAnsi="Arial"/>
          <w:sz w:val="18"/>
          <w:szCs w:val="18"/>
          <w:b w:val="1"/>
          <w:bCs w:val="1"/>
          <w:color w:val="auto"/>
        </w:rPr>
        <w:t>Blueprint Medicines Announces Proof-of-Concept Data from Phase 1 Clinical Trial of BLU-285 in Patients with Advanced Systemic Mastocytosis</w:t>
      </w:r>
    </w:p>
    <w:p>
      <w:pPr>
        <w:spacing w:after="0" w:line="156" w:lineRule="exact"/>
        <w:rPr>
          <w:sz w:val="20"/>
          <w:szCs w:val="20"/>
          <w:color w:val="auto"/>
        </w:rPr>
      </w:pPr>
    </w:p>
    <w:p>
      <w:pPr>
        <w:jc w:val="center"/>
        <w:ind w:left="140" w:right="139"/>
        <w:spacing w:after="0" w:line="252" w:lineRule="auto"/>
        <w:rPr>
          <w:sz w:val="20"/>
          <w:szCs w:val="20"/>
          <w:color w:val="auto"/>
        </w:rPr>
      </w:pPr>
      <w:r>
        <w:rPr>
          <w:rFonts w:ascii="Arial" w:cs="Arial" w:eastAsia="Arial" w:hAnsi="Arial"/>
          <w:sz w:val="18"/>
          <w:szCs w:val="18"/>
          <w:i w:val="1"/>
          <w:iCs w:val="1"/>
          <w:color w:val="auto"/>
        </w:rPr>
        <w:t xml:space="preserve">– Favorable Safety and Tolerability Profile – </w:t>
      </w:r>
      <w:r>
        <w:rPr>
          <w:rFonts w:ascii="Arial" w:cs="Arial" w:eastAsia="Arial" w:hAnsi="Arial"/>
          <w:sz w:val="18"/>
          <w:szCs w:val="18"/>
          <w:color w:val="auto"/>
        </w:rPr>
        <w:t xml:space="preserve">– </w:t>
      </w:r>
      <w:r>
        <w:rPr>
          <w:rFonts w:ascii="Arial" w:cs="Arial" w:eastAsia="Arial" w:hAnsi="Arial"/>
          <w:sz w:val="18"/>
          <w:szCs w:val="18"/>
          <w:i w:val="1"/>
          <w:iCs w:val="1"/>
          <w:color w:val="auto"/>
        </w:rPr>
        <w:t>Decreased Bone Marrow Mast Cell Burden in 6 of 8 Evaluable Patients –</w:t>
      </w:r>
      <w:r>
        <w:rPr>
          <w:rFonts w:ascii="Arial" w:cs="Arial" w:eastAsia="Arial" w:hAnsi="Arial"/>
          <w:sz w:val="18"/>
          <w:szCs w:val="18"/>
          <w:color w:val="auto"/>
        </w:rPr>
        <w:t xml:space="preserve"> – </w:t>
      </w:r>
      <w:r>
        <w:rPr>
          <w:rFonts w:ascii="Arial" w:cs="Arial" w:eastAsia="Arial" w:hAnsi="Arial"/>
          <w:sz w:val="18"/>
          <w:szCs w:val="18"/>
          <w:i w:val="1"/>
          <w:iCs w:val="1"/>
          <w:color w:val="auto"/>
        </w:rPr>
        <w:t>Decreased Serum Tryptase in 10 of 12 Patients –</w:t>
      </w:r>
    </w:p>
    <w:p>
      <w:pPr>
        <w:spacing w:after="0" w:line="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Blueprint Medicines to Host Investor Conference Call and Webcast on</w:t>
      </w:r>
    </w:p>
    <w:p>
      <w:pPr>
        <w:spacing w:after="0" w:line="5"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Monday, December 5, at 8:00 a.m. ET –</w:t>
      </w:r>
    </w:p>
    <w:p>
      <w:pPr>
        <w:spacing w:after="0" w:line="202" w:lineRule="exact"/>
        <w:rPr>
          <w:sz w:val="20"/>
          <w:szCs w:val="20"/>
          <w:color w:val="auto"/>
        </w:rPr>
      </w:pPr>
    </w:p>
    <w:p>
      <w:pPr>
        <w:jc w:val="both"/>
        <w:ind w:left="140" w:right="139"/>
        <w:spacing w:after="0" w:line="250" w:lineRule="auto"/>
        <w:rPr>
          <w:sz w:val="20"/>
          <w:szCs w:val="20"/>
          <w:color w:val="auto"/>
        </w:rPr>
      </w:pPr>
      <w:r>
        <w:rPr>
          <w:rFonts w:ascii="Arial" w:cs="Arial" w:eastAsia="Arial" w:hAnsi="Arial"/>
          <w:sz w:val="18"/>
          <w:szCs w:val="18"/>
          <w:color w:val="auto"/>
        </w:rPr>
        <w:t>CAMBRIDGE, Mass., December 4, 2016 – Blueprint Medicines Corporation (NASDAQ: BPMC), a leader in discovering and developing targeted kinase medicines for patients with genomically defined diseases, today announced data from its ongoing Phase 1 trial evaluating BLU-285, an investigational medicine for the treatment of patients with advanced systemic mastocytosis (SM). Blueprint Medicines is developing BLU-285 as a potent, highly selective inhibitor of D816V mutant KIT. Approximately 90 to 95 percent of patients with SM are estimated to have the KIT D816V mutation, the key driver of SM that triggers the abnormal proliferation and survival of mast cells. The data are being presented today at the 2016 American Society of Hematology (ASH) Annual Meeting and Exposition in San Diego, California.</w:t>
      </w:r>
    </w:p>
    <w:p>
      <w:pPr>
        <w:spacing w:after="0" w:line="186" w:lineRule="exact"/>
        <w:rPr>
          <w:sz w:val="20"/>
          <w:szCs w:val="20"/>
          <w:color w:val="auto"/>
        </w:rPr>
      </w:pPr>
    </w:p>
    <w:p>
      <w:pPr>
        <w:jc w:val="both"/>
        <w:ind w:left="140" w:right="139"/>
        <w:spacing w:after="0" w:line="289" w:lineRule="auto"/>
        <w:rPr>
          <w:sz w:val="20"/>
          <w:szCs w:val="20"/>
          <w:color w:val="auto"/>
        </w:rPr>
      </w:pPr>
      <w:r>
        <w:rPr>
          <w:rFonts w:ascii="Arial" w:cs="Arial" w:eastAsia="Arial" w:hAnsi="Arial"/>
          <w:sz w:val="16"/>
          <w:szCs w:val="16"/>
          <w:color w:val="auto"/>
        </w:rPr>
        <w:t>“Advanced systemic mastocytosis is a rare and severe disease that shortens life expectancy with a wide range of debilitating symptoms and organ damage,” said Daniel DeAngelo, M.D., Dana-Farber Cancer Institute, an investigator on the clinical trial. “We need new treatment options that address the underlying cause of the disease and can improve the significant symptoms that impact patients’ daily lives. The objective decreases in mast cell burden and improvements in symptoms seen in the early data for this Phase 1 study are encouraging. We believe that BLU-285 has the potential to change the treatment paradigm for patients affected by advanced systemic mastocytosis.”</w:t>
      </w:r>
    </w:p>
    <w:p>
      <w:pPr>
        <w:spacing w:after="0" w:line="157" w:lineRule="exact"/>
        <w:rPr>
          <w:sz w:val="20"/>
          <w:szCs w:val="20"/>
          <w:color w:val="auto"/>
        </w:rPr>
      </w:pPr>
    </w:p>
    <w:p>
      <w:pPr>
        <w:jc w:val="both"/>
        <w:ind w:left="140" w:right="139"/>
        <w:spacing w:after="0" w:line="269" w:lineRule="auto"/>
        <w:rPr>
          <w:sz w:val="20"/>
          <w:szCs w:val="20"/>
          <w:color w:val="auto"/>
        </w:rPr>
      </w:pPr>
      <w:r>
        <w:rPr>
          <w:rFonts w:ascii="Arial" w:cs="Arial" w:eastAsia="Arial" w:hAnsi="Arial"/>
          <w:sz w:val="17"/>
          <w:szCs w:val="17"/>
          <w:color w:val="auto"/>
        </w:rPr>
        <w:t>“We are excited by these early data demonstrating a favorable safety profile as well as signs of clinical activity starting at the first dose level,” said Andy Boral, M.D., Chief Medical Officer at Blueprint Medicines. “The decreases in bone marrow mast cell burden and serum tryptase, which are indications of clinical activity, along with the fact that ten of 12 patients remain on the study, are encouraging and support the hypothesis that D816V mutant KIT is a driver of this disease. We look forward to the continued evaluation of our investigational medicine BLU-285, which we believe has the potential to be transformative for patients with advanced SM.”</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Data from the Ongoing Phase 1 Clinical Trial</w:t>
      </w:r>
    </w:p>
    <w:p>
      <w:pPr>
        <w:spacing w:after="0" w:line="222" w:lineRule="exact"/>
        <w:rPr>
          <w:sz w:val="20"/>
          <w:szCs w:val="20"/>
          <w:color w:val="auto"/>
        </w:rPr>
      </w:pPr>
    </w:p>
    <w:p>
      <w:pPr>
        <w:jc w:val="both"/>
        <w:ind w:left="140" w:right="139"/>
        <w:spacing w:after="0" w:line="253" w:lineRule="auto"/>
        <w:rPr>
          <w:sz w:val="20"/>
          <w:szCs w:val="20"/>
          <w:color w:val="auto"/>
        </w:rPr>
      </w:pPr>
      <w:r>
        <w:rPr>
          <w:rFonts w:ascii="Arial" w:cs="Arial" w:eastAsia="Arial" w:hAnsi="Arial"/>
          <w:sz w:val="18"/>
          <w:szCs w:val="18"/>
          <w:color w:val="auto"/>
        </w:rPr>
        <w:t>BLU-285 is currently being evaluated in the dose escalation portion of a Phase 1 clinical trial in patients with advanced SM. As of the data cutoff date of November 11, 2016, 12 patients had been treated at three dose levels (30 mg, 60 mg and 100 mg once daily (QD)). The median age was 61.5 years (ranging from 39 to 82), and the KIT D816V mutation has been confirmed in bone marrow or blood from 11 of the 12 patients. Ten of the 12 patients remained on the clinical trial as of the data cutoff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254000</wp:posOffset>
            </wp:positionV>
            <wp:extent cx="554355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 w:name="page6"/>
    <w:bookmarkEnd w:id="5"/>
    <w:p>
      <w:pPr>
        <w:jc w:val="both"/>
        <w:ind w:left="140" w:right="139"/>
        <w:spacing w:after="0" w:line="260" w:lineRule="auto"/>
        <w:rPr>
          <w:sz w:val="20"/>
          <w:szCs w:val="20"/>
          <w:color w:val="auto"/>
        </w:rPr>
      </w:pPr>
      <w:r>
        <w:rPr>
          <w:rFonts w:ascii="Arial" w:cs="Arial" w:eastAsia="Arial" w:hAnsi="Arial"/>
          <w:sz w:val="18"/>
          <w:szCs w:val="18"/>
          <w:color w:val="auto"/>
        </w:rPr>
        <w:t>Consistent with preliminary data reported by Blueprint Medicines from its Phase 1 clinical trial for patients with advanced gastrointestinal stromal tumors (GIST), BLU-285 demonstrated a favorable pharmacokinetic profile with a half-life that supports QD dosing.</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i w:val="1"/>
          <w:iCs w:val="1"/>
          <w:u w:val="single" w:color="auto"/>
          <w:color w:val="auto"/>
        </w:rPr>
        <w:t>Preliminary Safety Data</w:t>
      </w:r>
    </w:p>
    <w:p>
      <w:pPr>
        <w:spacing w:after="0" w:line="218" w:lineRule="exact"/>
        <w:rPr>
          <w:sz w:val="20"/>
          <w:szCs w:val="20"/>
          <w:color w:val="auto"/>
        </w:rPr>
      </w:pPr>
    </w:p>
    <w:p>
      <w:pPr>
        <w:jc w:val="both"/>
        <w:ind w:left="140" w:right="139"/>
        <w:spacing w:after="0" w:line="265" w:lineRule="auto"/>
        <w:rPr>
          <w:sz w:val="20"/>
          <w:szCs w:val="20"/>
          <w:color w:val="auto"/>
        </w:rPr>
      </w:pPr>
      <w:r>
        <w:rPr>
          <w:rFonts w:ascii="Arial" w:cs="Arial" w:eastAsia="Arial" w:hAnsi="Arial"/>
          <w:sz w:val="17"/>
          <w:szCs w:val="17"/>
          <w:color w:val="auto"/>
        </w:rPr>
        <w:t>As of the data cutoff date of November 11, 2016, BLU-285 was observed to be well-tolerated at all doses. No patients discontinued treatment as a result of an adverse event (AE), and no Grade 4 or worse treatment-related AEs were reported. The majority of AEs reported by investigators were Grade 1 or 2, and AEs that occurred in two or more patients were fatigue (4 patients), anemia (3 patients) and alkaline phosphatase elevation (3 patients). All three cases of alkaline phosphatase elevation were Grade 3 but were asymptomatic and transient and occurred in the absence of transaminase or bilirubin elevations. The Grade 3 alkaline phosphatase elevations occurred in the three patients with the highest bone marrow mast cell burden at baseline, suggesting this may be consistent with a pharmacodynamic effect of BLU-285 on mast cells in the bone. One of the three cases of alkaline phosphatase elevation was considered possibly treatment-related and defined as a dose-limiting toxicity at the 60 mg dose level. All three patients continued treatment with BLU-285 without a dose reduction. A maximum tolerated dose (MTD) has not been established, and enrollment in the dose escalation portion of the Phase 1 clinical trial is ongoing.</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8"/>
          <w:szCs w:val="18"/>
          <w:i w:val="1"/>
          <w:iCs w:val="1"/>
          <w:u w:val="single" w:color="auto"/>
          <w:color w:val="auto"/>
        </w:rPr>
        <w:t>Preliminary Clinical Activity Data</w:t>
      </w:r>
    </w:p>
    <w:p>
      <w:pPr>
        <w:spacing w:after="0" w:line="218" w:lineRule="exact"/>
        <w:rPr>
          <w:sz w:val="20"/>
          <w:szCs w:val="20"/>
          <w:color w:val="auto"/>
        </w:rPr>
      </w:pPr>
    </w:p>
    <w:p>
      <w:pPr>
        <w:jc w:val="both"/>
        <w:ind w:left="140" w:right="139"/>
        <w:spacing w:after="0" w:line="276" w:lineRule="auto"/>
        <w:rPr>
          <w:sz w:val="20"/>
          <w:szCs w:val="20"/>
          <w:color w:val="auto"/>
        </w:rPr>
      </w:pPr>
      <w:r>
        <w:rPr>
          <w:rFonts w:ascii="Arial" w:cs="Arial" w:eastAsia="Arial" w:hAnsi="Arial"/>
          <w:sz w:val="18"/>
          <w:szCs w:val="18"/>
          <w:color w:val="auto"/>
        </w:rPr>
        <w:t>As of the data cutoff date of November 11, 2016, all 12 patients treated in the first three dose levels of the dose escalation portion of the clinical trial were evaluated for signs of clinical activity.</w:t>
      </w:r>
    </w:p>
    <w:p>
      <w:pPr>
        <w:spacing w:after="0" w:line="161" w:lineRule="exact"/>
        <w:rPr>
          <w:sz w:val="20"/>
          <w:szCs w:val="20"/>
          <w:color w:val="auto"/>
        </w:rPr>
      </w:pPr>
    </w:p>
    <w:p>
      <w:pPr>
        <w:jc w:val="both"/>
        <w:ind w:left="500" w:right="139" w:hanging="49"/>
        <w:spacing w:after="0" w:line="256" w:lineRule="auto"/>
        <w:rPr>
          <w:sz w:val="20"/>
          <w:szCs w:val="20"/>
          <w:color w:val="auto"/>
        </w:rPr>
      </w:pPr>
      <w:r>
        <w:rPr>
          <w:rFonts w:ascii="Arial" w:cs="Arial" w:eastAsia="Arial" w:hAnsi="Arial"/>
          <w:sz w:val="18"/>
          <w:szCs w:val="18"/>
          <w:color w:val="auto"/>
        </w:rPr>
        <w:t>·Investigators observed decreases in bone marrow mast cell infiltrate (measured by bone marrow biopsy) in six of the eight patients who had a bone marrow biopsy after starting treatment with BLU-285. Three of the six patients had a decrease of bone marrow mast cell infiltrate of more than 50% from baseline, including one patient with no residual mast cells in the bone marrow.</w:t>
      </w:r>
    </w:p>
    <w:p>
      <w:pPr>
        <w:spacing w:after="0" w:line="178" w:lineRule="exact"/>
        <w:rPr>
          <w:sz w:val="20"/>
          <w:szCs w:val="20"/>
          <w:color w:val="auto"/>
        </w:rPr>
      </w:pPr>
    </w:p>
    <w:p>
      <w:pPr>
        <w:jc w:val="both"/>
        <w:ind w:left="500" w:right="139" w:hanging="49"/>
        <w:spacing w:after="0" w:line="276" w:lineRule="auto"/>
        <w:rPr>
          <w:sz w:val="20"/>
          <w:szCs w:val="20"/>
          <w:color w:val="auto"/>
        </w:rPr>
      </w:pPr>
      <w:r>
        <w:rPr>
          <w:rFonts w:ascii="Arial" w:cs="Arial" w:eastAsia="Arial" w:hAnsi="Arial"/>
          <w:sz w:val="18"/>
          <w:szCs w:val="18"/>
          <w:color w:val="auto"/>
        </w:rPr>
        <w:t>·Based on measurements at a central laboratory, serum tryptase decreased in ten of 12 patients. The serum tryptase decrease was greater than 50% in eight patients.</w:t>
      </w:r>
    </w:p>
    <w:p>
      <w:pPr>
        <w:spacing w:after="0" w:line="161" w:lineRule="exact"/>
        <w:rPr>
          <w:sz w:val="20"/>
          <w:szCs w:val="20"/>
          <w:color w:val="auto"/>
        </w:rPr>
      </w:pPr>
    </w:p>
    <w:p>
      <w:pPr>
        <w:jc w:val="both"/>
        <w:ind w:left="500" w:right="159" w:hanging="49"/>
        <w:spacing w:after="0" w:line="276" w:lineRule="auto"/>
        <w:rPr>
          <w:sz w:val="20"/>
          <w:szCs w:val="20"/>
          <w:color w:val="auto"/>
        </w:rPr>
      </w:pPr>
      <w:r>
        <w:rPr>
          <w:rFonts w:ascii="Arial" w:cs="Arial" w:eastAsia="Arial" w:hAnsi="Arial"/>
          <w:sz w:val="18"/>
          <w:szCs w:val="18"/>
          <w:color w:val="auto"/>
        </w:rPr>
        <w:t>·The allele burden of D816V mutant KIT decreased within the first two treatment cycles in five of six patients in circulating tumor DNA and bone marrow.</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·Rash improved in five patients with urticaria pigmentosa from baseline based on investigator assessments.</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Urticaria pigmentosa is an allergy-mediated rash common in SM patients.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·Weight increased in ten patients and albumin increased in 11 patients, suggesting improvements in malabsorption.</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·Ten of 12 patients remained on treatment with treatment duration ranging from 1 month to 8.1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275590</wp:posOffset>
            </wp:positionV>
            <wp:extent cx="554355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6" w:name="page7"/>
    <w:bookmarkEnd w:id="6"/>
    <w:p>
      <w:pPr>
        <w:ind w:left="140"/>
        <w:spacing w:after="0"/>
        <w:rPr>
          <w:sz w:val="20"/>
          <w:szCs w:val="20"/>
          <w:color w:val="auto"/>
        </w:rPr>
      </w:pPr>
      <w:r>
        <w:rPr>
          <w:rFonts w:ascii="Arial" w:cs="Arial" w:eastAsia="Arial" w:hAnsi="Arial"/>
          <w:sz w:val="18"/>
          <w:szCs w:val="18"/>
          <w:b w:val="1"/>
          <w:bCs w:val="1"/>
          <w:color w:val="auto"/>
        </w:rPr>
        <w:t>Clinical Development Plans for BLU-285 in SM</w:t>
      </w:r>
    </w:p>
    <w:p>
      <w:pPr>
        <w:spacing w:after="0" w:line="223" w:lineRule="exact"/>
        <w:rPr>
          <w:sz w:val="20"/>
          <w:szCs w:val="20"/>
          <w:color w:val="auto"/>
        </w:rPr>
      </w:pPr>
    </w:p>
    <w:p>
      <w:pPr>
        <w:jc w:val="both"/>
        <w:ind w:left="140" w:right="139"/>
        <w:spacing w:after="0" w:line="265" w:lineRule="auto"/>
        <w:rPr>
          <w:sz w:val="20"/>
          <w:szCs w:val="20"/>
          <w:color w:val="auto"/>
        </w:rPr>
      </w:pPr>
      <w:r>
        <w:rPr>
          <w:rFonts w:ascii="Arial" w:cs="Arial" w:eastAsia="Arial" w:hAnsi="Arial"/>
          <w:sz w:val="17"/>
          <w:szCs w:val="17"/>
          <w:color w:val="auto"/>
        </w:rPr>
        <w:t>Based on the favorable safety profile and encouraging clinical activity observed to date in the Phase 1 clinical trial for BLU-285 for the treatment of advanced SM, Blueprint Medicines plans to continue to enroll patients in the dose escalation portion of this clinical trial until an MTD is reached or a recommended dose is established. Once a recommended dose for further clinical evaluation has been determined or an MTD is reached, Blueprint Medicines plans to open enrollment in expansion cohorts for this Phase 1 clinical trial for specific subtypes of advanced SM. In addition, Blueprint Medicines plans to evaluate options to expand the clinical development of BLU-285 in other KIT-driven diseases, including possible opportunities for the treatment of indolent SM and KIT-mutant acute myeloid leukemia, groups of patients in need of more effective treatments. Blueprint Medicines is also collaborating with a health research outcomes group to develop a disease-specific patient reported outcome tool to measure changes in total symptom burden in advanced SM and indolent SM.</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Conference Call Information</w:t>
      </w:r>
    </w:p>
    <w:p>
      <w:pPr>
        <w:spacing w:after="0" w:line="222" w:lineRule="exact"/>
        <w:rPr>
          <w:sz w:val="20"/>
          <w:szCs w:val="20"/>
          <w:color w:val="auto"/>
        </w:rPr>
      </w:pPr>
    </w:p>
    <w:p>
      <w:pPr>
        <w:jc w:val="both"/>
        <w:ind w:left="140" w:right="139"/>
        <w:spacing w:after="0" w:line="269" w:lineRule="auto"/>
        <w:rPr>
          <w:sz w:val="20"/>
          <w:szCs w:val="20"/>
          <w:color w:val="auto"/>
        </w:rPr>
      </w:pPr>
      <w:r>
        <w:rPr>
          <w:rFonts w:ascii="Arial" w:cs="Arial" w:eastAsia="Arial" w:hAnsi="Arial"/>
          <w:sz w:val="17"/>
          <w:szCs w:val="17"/>
          <w:color w:val="auto"/>
        </w:rPr>
        <w:t>Blueprint Medicines will host a conference call and webcast to review the data presented at the ASH Annual Meeting and Exposition on Monday, December 5, 2016 beginning at 8:00 a.m. ET. To participate in the conference call, please dial 855-728-4793 (domestic) or 503-343-6666 (international) and refer to conference ID 10777452. An audio webcast of the call will also be available in the Investors section of Blueprint Medicines’ website at http://ir.blueprintmedicines.com. The archived website will be available on Blueprint Medicines’ website approximately two hours after the conference call and will be available for 30 days following the call.</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the Phase 1 Clinical Trial for BLU-285 in Advanced SM</w:t>
      </w:r>
    </w:p>
    <w:p>
      <w:pPr>
        <w:spacing w:after="0" w:line="222" w:lineRule="exact"/>
        <w:rPr>
          <w:sz w:val="20"/>
          <w:szCs w:val="20"/>
          <w:color w:val="auto"/>
        </w:rPr>
      </w:pPr>
    </w:p>
    <w:p>
      <w:pPr>
        <w:jc w:val="both"/>
        <w:ind w:left="140" w:right="139"/>
        <w:spacing w:after="0" w:line="214" w:lineRule="exact"/>
        <w:rPr>
          <w:sz w:val="20"/>
          <w:szCs w:val="20"/>
          <w:color w:val="auto"/>
        </w:rPr>
      </w:pPr>
      <w:r>
        <w:rPr>
          <w:rFonts w:ascii="Arial" w:cs="Arial" w:eastAsia="Arial" w:hAnsi="Arial"/>
          <w:sz w:val="17"/>
          <w:szCs w:val="17"/>
          <w:color w:val="auto"/>
        </w:rPr>
        <w:t>Blueprint Medicines’ Phase 1 clinical trial of BLU-285 for the treatment of advanced SM is designed to evaluate the safety and tolerability of BLU-285 in multiple ascending doses in patients with advanced SM, including aggressive SM (ASM), advanced SM with an associated hematologic neoplasm (SM</w:t>
      </w:r>
      <w:r>
        <w:rPr>
          <w:rFonts w:ascii="MS PGothic" w:cs="MS PGothic" w:eastAsia="MS PGothic" w:hAnsi="MS PGothic"/>
          <w:sz w:val="17"/>
          <w:szCs w:val="17"/>
          <w:color w:val="auto"/>
        </w:rPr>
        <w:t>‑</w:t>
      </w:r>
      <w:r>
        <w:rPr>
          <w:rFonts w:ascii="Arial" w:cs="Arial" w:eastAsia="Arial" w:hAnsi="Arial"/>
          <w:sz w:val="17"/>
          <w:szCs w:val="17"/>
          <w:color w:val="auto"/>
        </w:rPr>
        <w:t>AHN) and mast cell leukemia (MCL) with the goal of establishing an MTD or a lower recommended dose if appropriate. Bone marrow and or blood samples from all patients are tested for the D816V mutation in KIT. Once the MTD is reached, or a recommended dose is established, Blueprint Medicines plans to open expansion cohorts for specific subtypes of advanced SM. Secondary objectives for this Phase 1 clinical trial include assessment of the pharmacokinetic profile of BLU-285, assessment of response rate by the International Working Group Myeloproliferative Neoplasms Research and Treatment (IWG-MRT) criteria, changes in KIT D816V mutant allele fractions in bone marrow and circulating tumor DNA and changes in patient reported outcomes. The Phase 1 clinical trial is designed to enroll approximately 60 patients, including approximately 25 patients during dose escalation and approximately 35 additional patients in expansion cohorts, at multiple sites in the United States and the European Union. Please refer to www.clinicaltrials.gov for additional details related to this Phase 1 clinical trial. For more information, contact the study director for this Phase 1 clinical trial at studydirector@blueprintmedicines.com.</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SM</w:t>
      </w:r>
    </w:p>
    <w:p>
      <w:pPr>
        <w:spacing w:after="0" w:line="222" w:lineRule="exact"/>
        <w:rPr>
          <w:sz w:val="20"/>
          <w:szCs w:val="20"/>
          <w:color w:val="auto"/>
        </w:rPr>
      </w:pPr>
    </w:p>
    <w:p>
      <w:pPr>
        <w:jc w:val="both"/>
        <w:ind w:left="140" w:right="139"/>
        <w:spacing w:after="0" w:line="256" w:lineRule="auto"/>
        <w:rPr>
          <w:sz w:val="20"/>
          <w:szCs w:val="20"/>
          <w:color w:val="auto"/>
        </w:rPr>
      </w:pPr>
      <w:r>
        <w:rPr>
          <w:rFonts w:ascii="Arial" w:cs="Arial" w:eastAsia="Arial" w:hAnsi="Arial"/>
          <w:sz w:val="18"/>
          <w:szCs w:val="18"/>
          <w:color w:val="auto"/>
        </w:rPr>
        <w:t>There are several forms of SM, including indolent SM and more advanced forms of SM, which include aggressive SM, SM-AHN and MCL. SM is characterized by the buildup of mast cells, which are immune cells that produce histamine and other mediators of the body’s inflammatory and allergic responses. In patients with SM, mast cells release high levels of these mediators, causing symptoms that range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116205</wp:posOffset>
            </wp:positionV>
            <wp:extent cx="554355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jc w:val="both"/>
        <w:ind w:left="140" w:right="139"/>
        <w:spacing w:after="0" w:line="267" w:lineRule="auto"/>
        <w:rPr>
          <w:sz w:val="20"/>
          <w:szCs w:val="20"/>
          <w:color w:val="auto"/>
        </w:rPr>
      </w:pPr>
      <w:r>
        <w:rPr>
          <w:rFonts w:ascii="Arial" w:cs="Arial" w:eastAsia="Arial" w:hAnsi="Arial"/>
          <w:sz w:val="17"/>
          <w:szCs w:val="17"/>
          <w:color w:val="auto"/>
        </w:rPr>
        <w:t>mild to life-threatening symptoms, including pain, nausea, rash, fever, fatigue and anaphylaxis. In patients with advanced SM, including aggressive SM, SM-AHN and MCL, mast cell infiltration in bone marrow, liver and other vital organs can eventually lead to organ dysfunction and lower life expectancy, with a median overall survival of approximately four years or less. Patients with indolent SM do not have a lower life expectancy, but they do suffer from a broad range of acute and chronic symptoms that can have a significant impact on their quality of life. There are no approved treatments that target the KIT D816V mutation, which is the primary driver of disease in approximately 90 to 95 percent of SM patients, and there is a clear need for more effective therapies for patients with advanced SM and for patients with indolent SM who have a heavy symptom burden.</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BLU-285</w:t>
      </w:r>
    </w:p>
    <w:p>
      <w:pPr>
        <w:spacing w:after="0" w:line="222" w:lineRule="exact"/>
        <w:rPr>
          <w:sz w:val="20"/>
          <w:szCs w:val="20"/>
          <w:color w:val="auto"/>
        </w:rPr>
      </w:pPr>
    </w:p>
    <w:p>
      <w:pPr>
        <w:jc w:val="both"/>
        <w:ind w:left="140" w:right="139"/>
        <w:spacing w:after="0" w:line="298" w:lineRule="auto"/>
        <w:rPr>
          <w:sz w:val="20"/>
          <w:szCs w:val="20"/>
          <w:color w:val="auto"/>
        </w:rPr>
      </w:pPr>
      <w:r>
        <w:rPr>
          <w:rFonts w:ascii="Arial" w:cs="Arial" w:eastAsia="Arial" w:hAnsi="Arial"/>
          <w:sz w:val="16"/>
          <w:szCs w:val="16"/>
          <w:color w:val="auto"/>
        </w:rPr>
        <w:t>BLU-285 is an orally available, potent and highly selective inhibitor of D816V mutant KIT. Blueprint Medicines is initially developing BLU-285, an investigational medicine, for the treatment of patients with advanced SM and advanced GIST. BLU-285 was discovered by Blueprint Medicines’ research team leveraging its proprietary compound library, and Blueprint Medicines retains worldwide development and commercialization rights for BLU-285.</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Blueprint Medicines</w:t>
      </w:r>
    </w:p>
    <w:p>
      <w:pPr>
        <w:spacing w:after="0" w:line="222" w:lineRule="exact"/>
        <w:rPr>
          <w:sz w:val="20"/>
          <w:szCs w:val="20"/>
          <w:color w:val="auto"/>
        </w:rPr>
      </w:pPr>
    </w:p>
    <w:p>
      <w:pPr>
        <w:jc w:val="both"/>
        <w:ind w:left="140" w:right="139"/>
        <w:spacing w:after="0" w:line="272" w:lineRule="auto"/>
        <w:rPr>
          <w:sz w:val="20"/>
          <w:szCs w:val="20"/>
          <w:color w:val="auto"/>
        </w:rPr>
      </w:pPr>
      <w:r>
        <w:rPr>
          <w:rFonts w:ascii="Arial" w:cs="Arial" w:eastAsia="Arial" w:hAnsi="Arial"/>
          <w:sz w:val="17"/>
          <w:szCs w:val="17"/>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2" w:lineRule="exact"/>
        <w:rPr>
          <w:sz w:val="20"/>
          <w:szCs w:val="20"/>
          <w:color w:val="auto"/>
        </w:rPr>
      </w:pPr>
    </w:p>
    <w:p>
      <w:pPr>
        <w:jc w:val="both"/>
        <w:ind w:left="140" w:right="139"/>
        <w:spacing w:after="0" w:line="281"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and timelines for the clinical development of BLU-285; Blueprint Medicines’ ability to implement its clinical development plans for BLU-285 for the treatment of advanced SM; Blueprint Medicines’ ability to enroll patients in its ongoing Phase 1 clinical trial for BLU-285 in advanced SM;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and BLU-554;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Blueprint Medicines’ ability to develop and commercialize companion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241300</wp:posOffset>
            </wp:positionV>
            <wp:extent cx="554355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8" w:name="page9"/>
    <w:bookmarkEnd w:id="8"/>
    <w:p>
      <w:pPr>
        <w:jc w:val="both"/>
        <w:ind w:left="140" w:right="139"/>
        <w:spacing w:after="0" w:line="265" w:lineRule="auto"/>
        <w:rPr>
          <w:sz w:val="20"/>
          <w:szCs w:val="20"/>
          <w:color w:val="auto"/>
        </w:rPr>
      </w:pPr>
      <w:r>
        <w:rPr>
          <w:rFonts w:ascii="Arial" w:cs="Arial" w:eastAsia="Arial" w:hAnsi="Arial"/>
          <w:sz w:val="17"/>
          <w:szCs w:val="17"/>
          <w:color w:val="auto"/>
        </w:rPr>
        <w:t>diagnostics for its current and future drug candidates, including companion diagnostics for BLU-554 with Ventana Medical Systems, Inc. and for BLU-285 with QIAGEN Manchester Limited; and the success of Blueprint Medicines’ rare genetic disease collaboration with Alexion Pharma Holding and its cancer immunotherapy collaboration with F. Hoffmann-La Roche Ltd and Hoffmann-La Roche Inc. These and other risks and uncertainties are described in greater detail in the section entitled “Risk Factors” in Blueprint Medicines’ Quarterly Report on Form 10-Q for the quarter ended September 30, 2016, as filed with the Securities and Exchange Commission (SEC) on November 10, 2016,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Contact</w:t>
      </w:r>
    </w:p>
    <w:p>
      <w:pPr>
        <w:spacing w:after="0" w:line="21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Investor Relations:</w:t>
      </w:r>
    </w:p>
    <w:p>
      <w:pPr>
        <w:spacing w:after="0" w:line="2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Kristin Williams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Blueprint Medicines Corporation</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617-714-6674</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kwilliams@blueprintmedicines.com</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Media Relations:</w:t>
      </w:r>
    </w:p>
    <w:p>
      <w:pPr>
        <w:spacing w:after="0" w:line="2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Rachel Hutman</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W2O Group</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301-801-5540</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rhutman@w2ogroup.com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130810</wp:posOffset>
            </wp:positionV>
            <wp:extent cx="554355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7"/>
          <w:szCs w:val="17"/>
          <w:b w:val="1"/>
          <w:bCs w:val="1"/>
          <w:color w:val="auto"/>
        </w:rPr>
        <w:t>Exhibit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4087495</wp:posOffset>
            </wp:positionV>
            <wp:extent cx="676529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2540</wp:posOffset>
            </wp:positionV>
            <wp:extent cx="6583045" cy="3703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0" w:num="1">
            <w:col w:w="11140"/>
          </w:cols>
          <w:pgMar w:left="620" w:top="123" w:right="1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4197350</wp:posOffset>
            </wp:positionV>
            <wp:extent cx="676529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112395</wp:posOffset>
            </wp:positionV>
            <wp:extent cx="6583045" cy="3703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4197350</wp:posOffset>
            </wp:positionV>
            <wp:extent cx="676529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112395</wp:posOffset>
            </wp:positionV>
            <wp:extent cx="6583045" cy="3703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4173220</wp:posOffset>
            </wp:positionV>
            <wp:extent cx="676529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88900</wp:posOffset>
            </wp:positionV>
            <wp:extent cx="6583045" cy="3703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4173220</wp:posOffset>
            </wp:positionV>
            <wp:extent cx="676529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88900</wp:posOffset>
            </wp:positionV>
            <wp:extent cx="6583045" cy="3703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4173220</wp:posOffset>
            </wp:positionV>
            <wp:extent cx="676529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88900</wp:posOffset>
            </wp:positionV>
            <wp:extent cx="6583045" cy="3703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4173220</wp:posOffset>
            </wp:positionV>
            <wp:extent cx="676529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88900</wp:posOffset>
            </wp:positionV>
            <wp:extent cx="6583045" cy="3703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4173220</wp:posOffset>
            </wp:positionV>
            <wp:extent cx="676529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88900</wp:posOffset>
            </wp:positionV>
            <wp:extent cx="6583045" cy="3703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4197350</wp:posOffset>
            </wp:positionV>
            <wp:extent cx="676529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112395</wp:posOffset>
            </wp:positionV>
            <wp:extent cx="6583045" cy="3703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4197350</wp:posOffset>
            </wp:positionV>
            <wp:extent cx="676529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112395</wp:posOffset>
            </wp:positionV>
            <wp:extent cx="6583045" cy="3703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4173220</wp:posOffset>
            </wp:positionV>
            <wp:extent cx="676529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88900</wp:posOffset>
            </wp:positionV>
            <wp:extent cx="6583045" cy="3703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4173220</wp:posOffset>
            </wp:positionV>
            <wp:extent cx="676529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88900</wp:posOffset>
            </wp:positionV>
            <wp:extent cx="6583045" cy="3703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4173220</wp:posOffset>
            </wp:positionV>
            <wp:extent cx="676529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88900</wp:posOffset>
            </wp:positionV>
            <wp:extent cx="6583045" cy="3703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4173220</wp:posOffset>
            </wp:positionV>
            <wp:extent cx="6765290"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88900</wp:posOffset>
            </wp:positionV>
            <wp:extent cx="6583045" cy="3703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4173220</wp:posOffset>
            </wp:positionV>
            <wp:extent cx="676529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88900</wp:posOffset>
            </wp:positionV>
            <wp:extent cx="6583045" cy="3703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4173220</wp:posOffset>
            </wp:positionV>
            <wp:extent cx="676529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88900</wp:posOffset>
            </wp:positionV>
            <wp:extent cx="6583045" cy="3703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4173220</wp:posOffset>
            </wp:positionV>
            <wp:extent cx="6765290"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88900</wp:posOffset>
            </wp:positionV>
            <wp:extent cx="6583045" cy="3703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4173220</wp:posOffset>
            </wp:positionV>
            <wp:extent cx="6765290"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65290" cy="23495"/>
                    </a:xfrm>
                    <a:prstGeom prst="rect">
                      <a:avLst/>
                    </a:prstGeom>
                    <a:noFill/>
                  </pic:spPr>
                </pic:pic>
              </a:graphicData>
            </a:graphic>
          </wp:anchor>
        </w:drawing>
        <w:drawing>
          <wp:anchor simplePos="0" relativeHeight="251657728" behindDoc="1" locked="0" layoutInCell="0" allowOverlap="1">
            <wp:simplePos x="0" y="0"/>
            <wp:positionH relativeFrom="page">
              <wp:posOffset>469900</wp:posOffset>
            </wp:positionH>
            <wp:positionV relativeFrom="page">
              <wp:posOffset>88900</wp:posOffset>
            </wp:positionV>
            <wp:extent cx="6583045" cy="3703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583045" cy="370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88900</wp:posOffset>
            </wp:positionV>
            <wp:extent cx="6765290" cy="398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65290" cy="39814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2019-12-09T00:34:24Z</dcterms:created>
  <dcterms:modified xsi:type="dcterms:W3CDTF">2019-12-09T00:34:24Z</dcterms:modified>
</cp:coreProperties>
</file>