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17, 2023</w:t>
      </w: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          ​</w:t>
      </w:r>
    </w:p>
    <w:p>
      <w:pPr>
        <w:spacing w:after="0" w:line="8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4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2"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tcPr>
          <w:p>
            <w:pPr>
              <w:jc w:val="right"/>
              <w:ind w:right="1085"/>
              <w:spacing w:after="0"/>
              <w:rPr>
                <w:sz w:val="20"/>
                <w:szCs w:val="20"/>
                <w:color w:val="auto"/>
              </w:rPr>
            </w:pPr>
            <w:r>
              <w:rPr>
                <w:rFonts w:ascii="Times New Roman" w:cs="Times New Roman" w:eastAsia="Times New Roman" w:hAnsi="Times New Roman"/>
                <w:sz w:val="16"/>
                <w:szCs w:val="16"/>
                <w:b w:val="1"/>
                <w:bCs w:val="1"/>
                <w:color w:val="auto"/>
              </w:rPr>
              <w:t>26-3632015</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700" w:type="dxa"/>
            <w:vAlign w:val="bottom"/>
          </w:tcPr>
          <w:p>
            <w:pPr>
              <w:spacing w:after="0"/>
              <w:rPr>
                <w:sz w:val="12"/>
                <w:szCs w:val="12"/>
                <w:color w:val="auto"/>
              </w:rPr>
            </w:pPr>
          </w:p>
        </w:tc>
        <w:tc>
          <w:tcPr>
            <w:tcW w:w="3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720" w:type="dxa"/>
            <w:vAlign w:val="bottom"/>
          </w:tcPr>
          <w:p>
            <w:pPr>
              <w:spacing w:after="0"/>
              <w:rPr>
                <w:sz w:val="12"/>
                <w:szCs w:val="12"/>
                <w:color w:val="auto"/>
              </w:rPr>
            </w:pPr>
          </w:p>
        </w:tc>
        <w:tc>
          <w:tcPr>
            <w:tcW w:w="3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spacing w:after="0"/>
              <w:rPr>
                <w:sz w:val="12"/>
                <w:szCs w:val="12"/>
                <w:color w:val="auto"/>
              </w:rPr>
            </w:pPr>
          </w:p>
        </w:tc>
      </w:tr>
      <w:tr>
        <w:trPr>
          <w:trHeight w:val="206"/>
        </w:trPr>
        <w:tc>
          <w:tcPr>
            <w:tcW w:w="70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172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17"/>
                <w:szCs w:val="17"/>
                <w:color w:val="auto"/>
              </w:rPr>
            </w:pPr>
          </w:p>
        </w:tc>
      </w:tr>
    </w:tbl>
    <w:p>
      <w:pPr>
        <w:spacing w:after="0" w:line="16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45 Sidney Street</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Cambridge, Massachusetts 02139</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(617) 374-7580</w:t>
      </w:r>
    </w:p>
    <w:p>
      <w:pPr>
        <w:spacing w:after="0" w:line="1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color w:val="auto"/>
        </w:rPr>
        <w:t>(Address, Including Zip Code, and Telephone Number,</w:t>
      </w:r>
    </w:p>
    <w:p>
      <w:pPr>
        <w:ind w:left="3380"/>
        <w:spacing w:after="0"/>
        <w:rPr>
          <w:sz w:val="20"/>
          <w:szCs w:val="20"/>
          <w:color w:val="auto"/>
        </w:rPr>
      </w:pPr>
      <w:r>
        <w:rPr>
          <w:rFonts w:ascii="Times New Roman" w:cs="Times New Roman" w:eastAsia="Times New Roman" w:hAnsi="Times New Roman"/>
          <w:sz w:val="14"/>
          <w:szCs w:val="14"/>
          <w:color w:val="auto"/>
        </w:rPr>
        <w:t>Including Area Code, of Registrant’s Principal Executive Offices)</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80010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Kathryn Haviland</w:t>
      </w:r>
    </w:p>
    <w:p>
      <w:pPr>
        <w:spacing w:after="0" w:line="3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President and Chief Executive Officer</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Blueprint Medicines Corporation</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45 Sidney Street</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Cambridge, Massachusetts 02139</w:t>
      </w:r>
    </w:p>
    <w:p>
      <w:pPr>
        <w:spacing w:after="0" w:line="1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(617) 374-7580</w:t>
      </w:r>
    </w:p>
    <w:p>
      <w:pPr>
        <w:spacing w:after="0" w:line="1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color w:val="auto"/>
        </w:rPr>
        <w:t>(Name, Address, Including Zip Code, and Telephone Number,</w:t>
      </w:r>
    </w:p>
    <w:p>
      <w:pPr>
        <w:spacing w:after="0" w:line="2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Including Area Code, of Agent for Service)</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76835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Kingsley L. Taft</w:t>
      </w:r>
    </w:p>
    <w:p>
      <w:pPr>
        <w:spacing w:after="0" w:line="3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Danielle M. Lauzon</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Yasin Akbari</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Goodwin Procter LLP</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100 Northern Avenue</w:t>
      </w:r>
    </w:p>
    <w:p>
      <w:pPr>
        <w:spacing w:after="0" w:line="1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Boston, Massachusetts 02210</w:t>
      </w:r>
    </w:p>
    <w:p>
      <w:pPr>
        <w:spacing w:after="0" w:line="1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(617) 570-1000</w:t>
      </w:r>
    </w:p>
    <w:p>
      <w:pPr>
        <w:spacing w:after="0" w:line="4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this registration statement becomes effective.</w:t>
      </w:r>
    </w:p>
    <w:p>
      <w:pPr>
        <w:spacing w:after="0" w:line="61" w:lineRule="exact"/>
        <w:rPr>
          <w:sz w:val="24"/>
          <w:szCs w:val="24"/>
          <w:color w:val="auto"/>
        </w:rPr>
      </w:pPr>
    </w:p>
    <w:p>
      <w:pPr>
        <w:ind w:left="500" w:right="620" w:firstLine="360"/>
        <w:spacing w:after="0" w:line="202"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3" w:lineRule="exact"/>
        <w:rPr>
          <w:sz w:val="24"/>
          <w:szCs w:val="24"/>
          <w:color w:val="auto"/>
        </w:rPr>
      </w:pPr>
    </w:p>
    <w:p>
      <w:pPr>
        <w:jc w:val="both"/>
        <w:ind w:left="500" w:right="140" w:firstLine="360"/>
        <w:spacing w:after="0" w:line="19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7" w:lineRule="exact"/>
        <w:rPr>
          <w:sz w:val="24"/>
          <w:szCs w:val="24"/>
          <w:color w:val="auto"/>
        </w:rPr>
      </w:pPr>
    </w:p>
    <w:p>
      <w:pPr>
        <w:ind w:left="500" w:right="220" w:firstLine="36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6" w:lineRule="exact"/>
        <w:rPr>
          <w:sz w:val="24"/>
          <w:szCs w:val="24"/>
          <w:color w:val="auto"/>
        </w:rPr>
      </w:pPr>
    </w:p>
    <w:p>
      <w:pPr>
        <w:ind w:left="500" w:right="160" w:firstLine="36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 w:lineRule="exact"/>
        <w:rPr>
          <w:sz w:val="24"/>
          <w:szCs w:val="24"/>
          <w:color w:val="auto"/>
        </w:rPr>
      </w:pPr>
    </w:p>
    <w:p>
      <w:pPr>
        <w:ind w:left="500" w:right="400" w:firstLine="36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6" w:lineRule="exact"/>
        <w:rPr>
          <w:sz w:val="24"/>
          <w:szCs w:val="24"/>
          <w:color w:val="auto"/>
        </w:rPr>
      </w:pPr>
    </w:p>
    <w:p>
      <w:pPr>
        <w:ind w:left="500" w:right="600" w:firstLine="36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6" w:lineRule="exact"/>
        <w:rPr>
          <w:sz w:val="24"/>
          <w:szCs w:val="24"/>
          <w:color w:val="auto"/>
        </w:rPr>
      </w:pPr>
    </w:p>
    <w:p>
      <w:pPr>
        <w:ind w:left="500" w:right="580" w:firstLine="360"/>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580" w:top="205" w:right="1039" w:bottom="1440" w:gutter="0" w:footer="0" w:header="0"/>
        </w:sectPr>
      </w:pPr>
    </w:p>
    <w:p>
      <w:pPr>
        <w:spacing w:after="0" w:line="3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​Large accelerated filer</w:t>
      </w:r>
    </w:p>
    <w:p>
      <w:pPr>
        <w:ind w:left="860"/>
        <w:spacing w:after="0" w:line="184" w:lineRule="auto"/>
        <w:rPr>
          <w:sz w:val="20"/>
          <w:szCs w:val="20"/>
          <w:color w:val="auto"/>
        </w:rPr>
      </w:pPr>
      <w:r>
        <w:rPr>
          <w:rFonts w:ascii="Times New Roman" w:cs="Times New Roman" w:eastAsia="Times New Roman" w:hAnsi="Times New Roman"/>
          <w:sz w:val="14"/>
          <w:szCs w:val="14"/>
          <w:color w:val="auto"/>
        </w:rPr>
        <w:t>Accelerated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filer</w:t>
      </w:r>
    </w:p>
    <w:p>
      <w:pPr>
        <w:ind w:left="860"/>
        <w:spacing w:after="0" w:line="201" w:lineRule="auto"/>
        <w:rPr>
          <w:sz w:val="20"/>
          <w:szCs w:val="20"/>
          <w:color w:val="auto"/>
        </w:rPr>
      </w:pPr>
      <w:r>
        <w:rPr>
          <w:rFonts w:ascii="Times New Roman" w:cs="Times New Roman" w:eastAsia="Times New Roman" w:hAnsi="Times New Roman"/>
          <w:sz w:val="16"/>
          <w:szCs w:val="16"/>
          <w:color w:val="auto"/>
        </w:rPr>
        <w:t>Non</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26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tc>
        <w:tc>
          <w:tcPr>
            <w:tcW w:w="22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tc>
      </w:tr>
      <w:tr>
        <w:trPr>
          <w:trHeight w:val="189"/>
        </w:trPr>
        <w:tc>
          <w:tcPr>
            <w:tcW w:w="1260" w:type="dxa"/>
            <w:vAlign w:val="bottom"/>
          </w:tcPr>
          <w:p>
            <w:pPr>
              <w:spacing w:after="0" w:line="189"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21"/>
                <w:szCs w:val="21"/>
                <w:color w:val="auto"/>
                <w:vertAlign w:val="superscript"/>
              </w:rPr>
              <w:t>​</w:t>
            </w:r>
          </w:p>
        </w:tc>
        <w:tc>
          <w:tcPr>
            <w:tcW w:w="22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jc w:val="right"/>
              <w:spacing w:after="0" w:line="189"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21"/>
                <w:szCs w:val="21"/>
                <w:color w:val="auto"/>
                <w:vertAlign w:val="superscript"/>
              </w:rPr>
              <w:t>​</w:t>
            </w:r>
          </w:p>
        </w:tc>
      </w:tr>
      <w:tr>
        <w:trPr>
          <w:trHeight w:val="427"/>
        </w:trPr>
        <w:tc>
          <w:tcPr>
            <w:tcW w:w="1260" w:type="dxa"/>
            <w:vAlign w:val="bottom"/>
          </w:tcPr>
          <w:p>
            <w:pPr>
              <w:spacing w:after="0" w:line="368"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32"/>
                <w:szCs w:val="32"/>
                <w:color w:val="auto"/>
                <w:vertAlign w:val="superscript"/>
              </w:rPr>
              <w:t>​</w:t>
            </w:r>
          </w:p>
        </w:tc>
        <w:tc>
          <w:tcPr>
            <w:tcW w:w="22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 w:lineRule="exact"/>
        <w:rPr>
          <w:sz w:val="24"/>
          <w:szCs w:val="24"/>
          <w:color w:val="auto"/>
        </w:rPr>
      </w:pPr>
    </w:p>
    <w:p>
      <w:pPr>
        <w:sectPr>
          <w:pgSz w:w="11900" w:h="16838" w:orient="portrait"/>
          <w:cols w:equalWidth="0" w:num="2">
            <w:col w:w="2380" w:space="640"/>
            <w:col w:w="7260"/>
          </w:cols>
          <w:pgMar w:left="580" w:top="205" w:right="1039" w:bottom="1440" w:gutter="0" w:footer="0" w:header="0"/>
          <w:type w:val="continuous"/>
        </w:sectPr>
      </w:pPr>
    </w:p>
    <w:p>
      <w:pPr>
        <w:ind w:left="500" w:right="140" w:firstLine="36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46355</wp:posOffset>
            </wp:positionV>
            <wp:extent cx="6189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ind w:left="4320"/>
        <w:spacing w:after="0" w:line="226" w:lineRule="auto"/>
        <w:rPr>
          <w:sz w:val="20"/>
          <w:szCs w:val="20"/>
          <w:color w:val="auto"/>
        </w:rPr>
      </w:pPr>
      <w:r>
        <w:rPr>
          <w:rFonts w:ascii="Times New Roman" w:cs="Times New Roman" w:eastAsia="Times New Roman" w:hAnsi="Times New Roman"/>
          <w:sz w:val="25"/>
          <w:szCs w:val="25"/>
          <w:b w:val="1"/>
          <w:bCs w:val="1"/>
          <w:color w:val="auto"/>
        </w:rPr>
        <w:t>Purchase Contracts</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Purchase Units</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32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137160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113665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105410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The date of this prospectus is 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540" w:type="dxa"/>
            <w:vAlign w:val="bottom"/>
            <w:gridSpan w:val="1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0000EE"/>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Borders>
              <w:top w:val="single" w:sz="8" w:color="CCEEFF"/>
            </w:tcBorders>
            <w:gridSpan w:val="8"/>
          </w:tcPr>
          <w:p>
            <w:pPr>
              <w:spacing w:after="0"/>
              <w:rPr>
                <w:sz w:val="17"/>
                <w:szCs w:val="17"/>
                <w:color w:val="auto"/>
              </w:rPr>
            </w:pPr>
          </w:p>
        </w:tc>
        <w:tc>
          <w:tcPr>
            <w:tcW w:w="1580" w:type="dxa"/>
            <w:vAlign w:val="bottom"/>
            <w:tcBorders>
              <w:top w:val="single" w:sz="8" w:color="CCEEFF"/>
            </w:tcBorders>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0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78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54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BLUEPRINT MEDICINES CORPORATION</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2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gridSpan w:val="3"/>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DILUTION</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96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gridSpan w:val="3"/>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5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PURCHASE CONTRACTS AND PURCHASE UNITS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720" w:type="dxa"/>
            <w:vAlign w:val="bottom"/>
            <w:tcBorders>
              <w:bottom w:val="single" w:sz="8" w:color="CCEEFF"/>
            </w:tcBorders>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2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980" w:type="dxa"/>
            <w:vAlign w:val="bottom"/>
            <w:gridSpan w:val="7"/>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tcBorders>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420" w:type="dxa"/>
            <w:vAlign w:val="bottom"/>
            <w:tcBorders>
              <w:bottom w:val="single" w:sz="8" w:color="CCEEFF"/>
            </w:tcBorders>
            <w:gridSpan w:val="9"/>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040" w:type="dxa"/>
            <w:vAlign w:val="bottom"/>
            <w:gridSpan w:val="11"/>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740" w:type="dxa"/>
            <w:vAlign w:val="bottom"/>
            <w:tcBorders>
              <w:bottom w:val="single" w:sz="8" w:color="CCEEFF"/>
            </w:tcBorders>
            <w:gridSpan w:val="1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5370830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16"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this prospectus.</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3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use “AYVAKIT,” “AYVAKYT,” “GAVRETO” and “Blueprint Medicines” as trademarks in the United States and other countries. We use and have registered “AYVAKIT,” “AYVAKYT,” “GAVRETO” and “Blueprint Medicines” in the United States.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351"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stated, all references in this prospectus, any applicable prospectus supplement, and any related free writing prospectus, to “us”, “our”, “Blueprint”, “Blueprint Medicines”, “we”, the “Company” and similar designations refer, collectively, to Blueprint Medicines Corporation,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53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20">
        <w:r>
          <w:rPr>
            <w:rFonts w:ascii="Times New Roman" w:cs="Times New Roman" w:eastAsia="Times New Roman" w:hAnsi="Times New Roman"/>
            <w:sz w:val="18"/>
            <w:szCs w:val="18"/>
            <w:u w:val="single" w:color="auto"/>
            <w:color w:val="0000EE"/>
          </w:rPr>
          <w:t>Annual Report on Form 10-K for the fiscal year ended December 31, 2022</w:t>
        </w:r>
      </w:hyperlink>
      <w:r>
        <w:rPr>
          <w:rFonts w:ascii="Times New Roman" w:cs="Times New Roman" w:eastAsia="Times New Roman" w:hAnsi="Times New Roman"/>
          <w:sz w:val="18"/>
          <w:szCs w:val="18"/>
          <w:color w:val="auto"/>
        </w:rPr>
        <w:t>, which is on file with the SEC and is incorporated herein by reference, and any of our subsequent filings with the SEC, before making an investment decision pursuant to this prospectus and any accompanying prospectus supplement relating to a specific offering.</w:t>
      </w:r>
    </w:p>
    <w:p>
      <w:pPr>
        <w:spacing w:after="0" w:line="12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33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The information that we incorporate by reference in this prospectus is considered to be part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Because we are incorporating by reference future filings with the SEC, this prospectus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continually updated and those future filings may modify or supersede some of the information included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in this prospectus. This means that you must look at all of the SEC filings that we incorporate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by reference have been modified or superseded. This prospectus incorporates by reference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listed below (File No. 001-37359)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Sections 13(a), 13(c), 14 or 15(d) of the Securities Exchange Act of 1934, as amended, or the Exchange Act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each case, other than those documents or the portions of those documents not deemed to be filed) until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offering of the securities under the registration statement is terminated or completed:</w:t>
      </w:r>
    </w:p>
    <w:p>
      <w:pPr>
        <w:spacing w:after="0" w:line="99" w:lineRule="exact"/>
        <w:rPr>
          <w:sz w:val="20"/>
          <w:szCs w:val="20"/>
          <w:color w:val="auto"/>
        </w:rPr>
      </w:pPr>
    </w:p>
    <w:p>
      <w:pPr>
        <w:ind w:left="1800" w:right="49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Annual Report on Form 10-K for the fiscal year ended December 31, 2022, which was filed with the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SEC on February 16, 2023;</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61"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(other than information</w:t>
        </w:r>
      </w:hyperlink>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furnished rather than filed) for the 2022 Annual Meeting of Stockholders, which was filed with the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SEC on April 29, 2022;</w:t>
        </w:r>
      </w:hyperlink>
    </w:p>
    <w:p>
      <w:pPr>
        <w:spacing w:after="0" w:line="71" w:lineRule="exact"/>
        <w:rPr>
          <w:rFonts w:ascii="Times New Roman" w:cs="Times New Roman" w:eastAsia="Times New Roman" w:hAnsi="Times New Roman"/>
          <w:sz w:val="18"/>
          <w:szCs w:val="18"/>
          <w:u w:val="single" w:color="auto"/>
          <w:color w:val="0000EE"/>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auto"/>
          </w:rPr>
          <w:t xml:space="preserve">Current Reports on Form 8-K which were filed with the SEC on </w:t>
        </w:r>
        <w:r>
          <w:rPr>
            <w:rFonts w:ascii="Times New Roman" w:cs="Times New Roman" w:eastAsia="Times New Roman" w:hAnsi="Times New Roman"/>
            <w:sz w:val="18"/>
            <w:szCs w:val="18"/>
            <w:u w:val="single" w:color="auto"/>
            <w:color w:val="0000EE"/>
          </w:rPr>
          <w:t>January 6,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February 10,</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hyperlink>
    </w:p>
    <w:p>
      <w:pPr>
        <w:spacing w:after="0" w:line="53" w:lineRule="exact"/>
        <w:rPr>
          <w:rFonts w:ascii="Times New Roman" w:cs="Times New Roman" w:eastAsia="Times New Roman" w:hAnsi="Times New Roman"/>
          <w:sz w:val="18"/>
          <w:szCs w:val="18"/>
          <w:color w:val="0000EE"/>
        </w:rPr>
      </w:pPr>
    </w:p>
    <w:p>
      <w:pPr>
        <w:ind w:left="1800" w:right="459" w:hanging="180"/>
        <w:spacing w:after="0" w:line="266"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The description of our common stock contained in our Registration Statement on Form 8-A which</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was filed with the SEC on April 27, 2015, including any amendments or reports filed for the purpose</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of updating such description.</w:t>
        </w:r>
      </w:hyperlink>
    </w:p>
    <w:p>
      <w:pPr>
        <w:spacing w:after="0" w:line="108" w:lineRule="exact"/>
        <w:rPr>
          <w:rFonts w:ascii="Times New Roman" w:cs="Times New Roman" w:eastAsia="Times New Roman" w:hAnsi="Times New Roman"/>
          <w:sz w:val="18"/>
          <w:szCs w:val="18"/>
          <w:u w:val="single" w:color="auto"/>
          <w:color w:val="0000EE"/>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contacting us, either orally or in writing, at the following:</w:t>
      </w:r>
    </w:p>
    <w:p>
      <w:pPr>
        <w:spacing w:after="0" w:line="8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Phone: (617) 714-6674</w:t>
      </w:r>
    </w:p>
    <w:p>
      <w:pPr>
        <w:spacing w:after="0" w:line="9" w:lineRule="exact"/>
        <w:rPr>
          <w:rFonts w:ascii="Times New Roman" w:cs="Times New Roman" w:eastAsia="Times New Roman" w:hAnsi="Times New Roman"/>
          <w:sz w:val="18"/>
          <w:szCs w:val="18"/>
          <w:u w:val="single" w:color="auto"/>
          <w:color w:val="0000EE"/>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ir@blueprintmedicines.com</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5"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timing or likelihood of regulatory actions, filings and approvals for our current and future drug candidates, including our ability to obtain marketing approval for avapritinib and pralsetinib for additional indications or in additional geographies; 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 our expectations regarding the potential benefits of AYVAKIT/AYVAKYT and any current and future drug candidates in treating patients with indolent SM and advanced SM; the rate and degree of market acceptance of AYVAKIT/AYVAKYT and any current and future drug candidates for which we receive marketing approval; the pricing and reimbursement of AYVAKIT/AYVAKYT and any current and future drug candidates for which we receive marketing approval; the initiation, timing, progress and results of our preclinical studies and clinical trials, including our ongoing clinical trials and any planned clinical trials for our current and future drug candidates and research and development programs; our ability to advance drug candidates into, and successfully complete, clinical trials; our ability to successfully develop manufacturing processes for any of our current and future drugs or drug candidates and to secure manufacturing, packaging and labeling arrangements for development activities and commercial production; the implementation of our business model and strategic plans for our business, drugs, drug candidates, platform and technology; the scope and length of protection we are able to establish and maintain for intellectual property rights covering our current and future drugs, drug candidates and technology; 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our collaboration with Oncopia Therapeutics, Inc., d/b/a Proteovant Therapeutics, Inc. (Proteovant), to research and advance novel targeted protein degrader therapies to address medical needs in oncology and hematology, as well as our ability to maintain these collaborations and establish additional strategic collaborations; the potential benefits of our exclusive license agreement with Clementia Pharmaceuticals, Inc., a wholly-owned subsidiary of Ipsen S.A., to develop and commercialize BLU-782 for fibrodysplasia ossificans progressiva; the potential benefits of our strategic financing transactions with Garnich Adjacent Investments S.a.r.l. and Royalty Pharma Investments 2019 ICAV and the potential acceleration of our commercial products and pipeline resulting from the non-dilutive growth capital; the potential benefits of our license agreement with IDRx, Inc. to develop our development candidate-stage KIT exon 13 inhibitor, IDRX-73, for the treatment of drug-resistant mutations of non-PDGFR-driven gastrointestinal stromal tumor; the development of companion diagnostic tests for our current or future drugs or drug candidates; our financial performance, estimates of our revenues, expenses and capital requirements and our needs for future financing, including our ability to achieve a self-sustainable financial profile; developments relating to our competitors and our industry; the actual or potential benefits of designations granted by the U.S. Food and Drug Administration, or FDA, such as orphan drug, fast track and breakthrough therapy designation or priority review; 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third-party products intended for use as combination therapies or as comparator agents, and the launch, marketing, sale and commercial supply of AYVAKIT/AYVAKYT, GAVRETO and any current or future drug candidates for which we receive marketing approval.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breast cancer and other genomically defined cancers, and cancer immunotherapy.</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We aim to enable potent target inhibition that provides significant and durable clinical responses, limit side effects driven by off-target activity and combine therapies to shut down disease drivers and resistance,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3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October 2008. Our mailing address and principal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and you should not rely on any such information in making the decision whether to purchase our common stock. Our common stock trades on the Nasdaq Global Select Market under the symbol “BPMC”.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of our drug candidates and to discover additional drug candidates, commercialization cost for any approved drugs, the acquisition or licensing of other drugs or drug candidates, business or technologies,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72"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the purchasers in the offering;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Annual Meeting. </w:t>
      </w:r>
      <w:r>
        <w:rPr>
          <w:rFonts w:ascii="Times New Roman" w:cs="Times New Roman" w:eastAsia="Times New Roman" w:hAnsi="Times New Roman"/>
          <w:sz w:val="18"/>
          <w:szCs w:val="18"/>
          <w:color w:val="auto"/>
        </w:rPr>
        <w:t>Annual meetings of our stockholders are held on the date designated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11"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common stock is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stockholders.</w:t>
      </w:r>
    </w:p>
    <w:p>
      <w:pPr>
        <w:spacing w:after="0" w:line="91"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common stock, after any preferences of holders of any preferred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dividends when and if declared by the board of directors out of legally available funds.</w:t>
      </w:r>
    </w:p>
    <w:p>
      <w:pPr>
        <w:spacing w:after="0" w:line="9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If we are liquidated or dissolved, the holders of the common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02"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the common stock have no right to convert the stock into any other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stock 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12"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Nasdaq Global Select Market. </w:t>
      </w:r>
      <w:r>
        <w:rPr>
          <w:rFonts w:ascii="Times New Roman" w:cs="Times New Roman" w:eastAsia="Times New Roman" w:hAnsi="Times New Roman"/>
          <w:sz w:val="18"/>
          <w:szCs w:val="18"/>
          <w:color w:val="auto"/>
        </w:rPr>
        <w:t>Our common stock is listed on The Nasdaq Global Select Market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trading symbol “BPMC.”</w:t>
      </w:r>
    </w:p>
    <w:p>
      <w:pPr>
        <w:spacing w:after="0" w:line="91"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Computershare Trust Company, N.A. is the transfer agent and registrar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common stock.</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32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9"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15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provided in the applicable prospectus supplement, the preferred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dividend rights and rights upon our liquidation, dissolution or winding up of our affairs, rank:</w:t>
      </w:r>
    </w:p>
    <w:p>
      <w:pPr>
        <w:spacing w:after="0" w:line="272" w:lineRule="exact"/>
        <w:rPr>
          <w:sz w:val="20"/>
          <w:szCs w:val="20"/>
          <w:color w:val="auto"/>
        </w:rPr>
      </w:pPr>
    </w:p>
    <w:p>
      <w:pPr>
        <w:ind w:left="1800" w:right="6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56"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1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2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9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34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334"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mandatory redemption or redemption at our option, as a whole or in part, in each case upon the terms, at the times and at the redemption prices set forth in such prospectus supplement.</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stock pursuant to conversion provisions specified in the applicable prospectus supplement. Notwithstanding the foregoing, we will not redeem any preferred stock of a series unless:</w:t>
      </w:r>
    </w:p>
    <w:p>
      <w:pPr>
        <w:spacing w:after="0" w:line="40" w:lineRule="exact"/>
        <w:rPr>
          <w:sz w:val="20"/>
          <w:szCs w:val="20"/>
          <w:color w:val="auto"/>
        </w:rPr>
      </w:pPr>
    </w:p>
    <w:p>
      <w:pPr>
        <w:ind w:left="1800" w:right="99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17" w:lineRule="exact"/>
        <w:rPr>
          <w:sz w:val="20"/>
          <w:szCs w:val="20"/>
          <w:color w:val="auto"/>
        </w:rPr>
      </w:pPr>
    </w:p>
    <w:p>
      <w:pPr>
        <w:ind w:left="1800" w:right="4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10"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61"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9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8"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indicated in the applicable prospectus supplement.</w:t>
      </w:r>
    </w:p>
    <w:p>
      <w:pPr>
        <w:spacing w:after="0" w:line="93"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325"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applicable prospectus supplement.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Authorized but Unissued Stock</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389"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Delaware Law That May Have Anti-takeover Effects</w:t>
      </w:r>
    </w:p>
    <w:p>
      <w:pPr>
        <w:spacing w:after="0" w:line="9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Board Composition and Filling Vacancies. </w:t>
      </w:r>
      <w:r>
        <w:rPr>
          <w:rFonts w:ascii="Times New Roman" w:cs="Times New Roman" w:eastAsia="Times New Roman" w:hAnsi="Times New Roman"/>
          <w:sz w:val="18"/>
          <w:szCs w:val="18"/>
          <w:color w:val="auto"/>
        </w:rPr>
        <w:t>In accordance with our certificate of incorporation,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is divided 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14"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Written Consent of Stockholders. </w:t>
      </w:r>
      <w:r>
        <w:rPr>
          <w:rFonts w:ascii="Times New Roman" w:cs="Times New Roman" w:eastAsia="Times New Roman" w:hAnsi="Times New Roman"/>
          <w:sz w:val="18"/>
          <w:szCs w:val="18"/>
          <w:color w:val="auto"/>
        </w:rPr>
        <w:t>Our certificate of incorporation provides that all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required to be taken by a vote of the stockholders at an annual or special meeting, and that stockholders may not take any action by written consent in lieu of a meeting.</w:t>
      </w:r>
    </w:p>
    <w:p>
      <w:pPr>
        <w:spacing w:after="0" w:line="99"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Meetings of Stockholders. </w:t>
      </w:r>
      <w:r>
        <w:rPr>
          <w:rFonts w:ascii="Times New Roman" w:cs="Times New Roman" w:eastAsia="Times New Roman" w:hAnsi="Times New Roman"/>
          <w:sz w:val="18"/>
          <w:szCs w:val="18"/>
          <w:color w:val="auto"/>
        </w:rPr>
        <w:t>Our bylaws provide that only a majority of the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0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bylaws establish advance notice procedures with regard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32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Amendment to Certificate of Incorporation and Bylaws. </w:t>
      </w:r>
      <w:r>
        <w:rPr>
          <w:rFonts w:ascii="Times New Roman" w:cs="Times New Roman" w:eastAsia="Times New Roman" w:hAnsi="Times New Roman"/>
          <w:sz w:val="18"/>
          <w:szCs w:val="18"/>
          <w:color w:val="auto"/>
        </w:rPr>
        <w:t>As required by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33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certificate of incorporation provides for 5,000,000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0" w:lineRule="exact"/>
        <w:rPr>
          <w:sz w:val="20"/>
          <w:szCs w:val="20"/>
          <w:color w:val="auto"/>
        </w:rPr>
      </w:pPr>
    </w:p>
    <w:p>
      <w:pPr>
        <w:ind w:left="1620"/>
        <w:spacing w:after="0"/>
        <w:tabs>
          <w:tab w:leader="none" w:pos="5940" w:val="left"/>
        </w:tabs>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sz w:val="20"/>
          <w:szCs w:val="20"/>
          <w:color w:val="auto"/>
        </w:rPr>
        <w:tab/>
      </w:r>
      <w:r>
        <w:rPr>
          <w:rFonts w:ascii="Times New Roman" w:cs="Times New Roman" w:eastAsia="Times New Roman" w:hAnsi="Times New Roman"/>
          <w:sz w:val="18"/>
          <w:szCs w:val="18"/>
          <w:color w:val="auto"/>
        </w:rPr>
        <w:t>We are subject to the provisions of</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203 of the DGCL regulating corporate takeovers. In general, Section 203 prohibits a publicly held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corporation from engaging, under certain circumstances, in a business combination with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interested stockholder for a period of three years following the date the person became an interested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unless:</w:t>
      </w:r>
    </w:p>
    <w:p>
      <w:pPr>
        <w:spacing w:after="0" w:line="99" w:lineRule="exact"/>
        <w:rPr>
          <w:sz w:val="20"/>
          <w:szCs w:val="20"/>
          <w:color w:val="auto"/>
        </w:rPr>
      </w:pPr>
    </w:p>
    <w:p>
      <w:pPr>
        <w:ind w:left="1800" w:right="73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96"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discourage business combinations or other attempts that might result in a premium over the market price for the shares of common stock held by our stockholders.</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Delaware law and our certificate of incorporation and bylaws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Exclusive Jurisdiction of Certain Actions. </w:t>
      </w:r>
      <w:r>
        <w:rPr>
          <w:rFonts w:ascii="Times New Roman" w:cs="Times New Roman" w:eastAsia="Times New Roman" w:hAnsi="Times New Roman"/>
          <w:sz w:val="18"/>
          <w:szCs w:val="18"/>
          <w:color w:val="auto"/>
        </w:rPr>
        <w:t>Our certificate of incorporation requires,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w:t>
      </w: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1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6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5"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95"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4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8" w:lineRule="exact"/>
        <w:rPr>
          <w:sz w:val="20"/>
          <w:szCs w:val="20"/>
          <w:color w:val="auto"/>
        </w:rPr>
      </w:pPr>
    </w:p>
    <w:p>
      <w:pPr>
        <w:ind w:left="1800" w:right="599" w:hanging="180"/>
        <w:spacing w:after="0" w:line="259"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9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events of default regarding payment of principal, premium, if any, or interest, unless we have cured the default or event of default in accordance with the indenture. Any waiver shall cure the default or event of default.</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3"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0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800" w:right="5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9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54"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 —  Consolidation, Merger or Sale”;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8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3"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40"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48"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97" w:lineRule="auto"/>
        <w:rPr>
          <w:sz w:val="20"/>
          <w:szCs w:val="20"/>
          <w:color w:val="auto"/>
        </w:rPr>
      </w:pPr>
      <w:r>
        <w:rPr>
          <w:rFonts w:ascii="Times New Roman" w:cs="Times New Roman" w:eastAsia="Times New Roman" w:hAnsi="Times New Roman"/>
          <w:sz w:val="18"/>
          <w:szCs w:val="18"/>
          <w:color w:val="auto"/>
        </w:rPr>
        <w:t>series can exchange the debt securities for other debt securities of the same series, in any authorized denomination and of like tenor and aggregate principal amount.</w:t>
      </w:r>
    </w:p>
    <w:p>
      <w:pPr>
        <w:spacing w:after="0" w:line="8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ind w:left="1800" w:right="439" w:hanging="180"/>
        <w:spacing w:after="0" w:line="263"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305"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or sell to us, and obligating us to sell to or purchase from the holders, a specified number of shares of our common stock or preferred stock at a future date or dates, which we refer to in this prospectus as purchase contracts. The price per share of common stock or preferred stock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or preferred stock under the purchase contracts.</w:t>
      </w:r>
    </w:p>
    <w:p>
      <w:pPr>
        <w:spacing w:after="0" w:line="337"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99"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purchase contracts and purchase units, including, if applicable, collateral or depositary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debt securities, common stock or preferred stock. We may offer warrants separately or together with one or more additional warrants, debt securities, common stock or preferred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95" w:lineRule="exact"/>
        <w:rPr>
          <w:sz w:val="20"/>
          <w:szCs w:val="20"/>
          <w:color w:val="auto"/>
        </w:rPr>
      </w:pPr>
    </w:p>
    <w:p>
      <w:pPr>
        <w:ind w:left="1800" w:right="5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common stock or preferred stock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common stock or preferred stock will be separately transferable;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the number of shares of preferred stock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 in negotiated sales or competitively bid transactions;</w:t>
      </w:r>
    </w:p>
    <w:p>
      <w:pPr>
        <w:spacing w:after="0" w:line="10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16"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 Boston, Massachusetts.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Blueprint Medicines Corporation appearing in Blueprint Medicines Corporation’s </w:t>
      </w:r>
      <w:hyperlink r:id="rId20">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and the effectiveness of Blueprint Medicines Corporation’s internal control over financial reporting as of December 31,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ind w:left="4320"/>
        <w:spacing w:after="0" w:line="226" w:lineRule="auto"/>
        <w:rPr>
          <w:sz w:val="20"/>
          <w:szCs w:val="20"/>
          <w:color w:val="auto"/>
        </w:rPr>
      </w:pPr>
      <w:r>
        <w:rPr>
          <w:rFonts w:ascii="Times New Roman" w:cs="Times New Roman" w:eastAsia="Times New Roman" w:hAnsi="Times New Roman"/>
          <w:sz w:val="25"/>
          <w:szCs w:val="25"/>
          <w:b w:val="1"/>
          <w:bCs w:val="1"/>
          <w:color w:val="auto"/>
        </w:rPr>
        <w:t>Purchase Contracts</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Purchase Units</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1236980</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217170</wp:posOffset>
            </wp:positionV>
            <wp:extent cx="1234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1151255</wp:posOffset>
            </wp:positionV>
            <wp:extent cx="5212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jc w:val="both"/>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tbl>
      <w:tblPr>
        <w:tblLayout w:type="fixed"/>
        <w:tblInd w:w="1260" w:type="dxa"/>
        <w:tblCellMar>
          <w:top w:w="0" w:type="dxa"/>
          <w:left w:w="0" w:type="dxa"/>
          <w:bottom w:w="0" w:type="dxa"/>
          <w:right w:w="0" w:type="dxa"/>
        </w:tblCellMar>
      </w:tblPr>
      <w:tr>
        <w:trPr>
          <w:trHeight w:val="163"/>
        </w:trPr>
        <w:tc>
          <w:tcPr>
            <w:tcW w:w="1940" w:type="dxa"/>
            <w:vAlign w:val="bottom"/>
            <w:gridSpan w:val="2"/>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140" w:type="dxa"/>
            <w:vAlign w:val="bottom"/>
            <w:vMerge w:val="restart"/>
          </w:tcPr>
          <w:p>
            <w:pPr>
              <w:spacing w:after="0" w:line="351" w:lineRule="exact"/>
              <w:rPr>
                <w:sz w:val="20"/>
                <w:szCs w:val="20"/>
                <w:color w:val="auto"/>
              </w:rPr>
            </w:pPr>
            <w:r>
              <w:rPr>
                <w:rFonts w:ascii="Times New Roman" w:cs="Times New Roman" w:eastAsia="Times New Roman" w:hAnsi="Times New Roman"/>
                <w:sz w:val="35"/>
                <w:szCs w:val="35"/>
                <w:color w:val="auto"/>
                <w:w w:val="85"/>
                <w:vertAlign w:val="subscript"/>
              </w:rPr>
              <w:t>​</w:t>
            </w: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189"/>
        </w:trPr>
        <w:tc>
          <w:tcPr>
            <w:tcW w:w="7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 registration fee</w:t>
            </w:r>
          </w:p>
        </w:tc>
        <w:tc>
          <w:tcPr>
            <w:tcW w:w="84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 xml:space="preserve">​ ​​$           </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3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FINRA filing fee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1"/>
        </w:trPr>
        <w:tc>
          <w:tcPr>
            <w:tcW w:w="73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restart"/>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1"/>
        </w:trPr>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3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360" w:type="dxa"/>
            <w:vAlign w:val="bottom"/>
            <w:gridSpan w:val="3"/>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Accounting fees and expenses</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0"/>
        </w:trPr>
        <w:tc>
          <w:tcPr>
            <w:tcW w:w="7360" w:type="dxa"/>
            <w:vAlign w:val="bottom"/>
            <w:gridSpan w:val="3"/>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vMerge w:val="restart"/>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8"/>
        </w:trPr>
        <w:tc>
          <w:tcPr>
            <w:tcW w:w="12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Borders>
              <w:bottom w:val="single" w:sz="8" w:color="CCEEFF"/>
            </w:tcBorders>
            <w:shd w:val="clear" w:color="auto" w:fill="CCEEFF"/>
          </w:tcPr>
          <w:p>
            <w:pPr>
              <w:spacing w:after="0"/>
              <w:rPr>
                <w:sz w:val="7"/>
                <w:szCs w:val="7"/>
                <w:color w:val="auto"/>
              </w:rPr>
            </w:pPr>
          </w:p>
        </w:tc>
        <w:tc>
          <w:tcPr>
            <w:tcW w:w="542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gridSpan w:val="2"/>
            <w:shd w:val="clear" w:color="auto" w:fill="CCEEFF"/>
          </w:tcPr>
          <w:p>
            <w:pPr>
              <w:ind w:left="60"/>
              <w:spacing w:after="0" w:line="8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3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Legal fees and expenses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1"/>
        </w:trPr>
        <w:tc>
          <w:tcPr>
            <w:tcW w:w="73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restart"/>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1"/>
        </w:trPr>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3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360" w:type="dxa"/>
            <w:vAlign w:val="bottom"/>
            <w:gridSpan w:val="3"/>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Transfer agent’s, trustee’s and depositary’s fees and expenses</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1"/>
        </w:trPr>
        <w:tc>
          <w:tcPr>
            <w:tcW w:w="7360" w:type="dxa"/>
            <w:vAlign w:val="bottom"/>
            <w:gridSpan w:val="3"/>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vMerge w:val="restart"/>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8"/>
        </w:trPr>
        <w:tc>
          <w:tcPr>
            <w:tcW w:w="12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Borders>
              <w:bottom w:val="single" w:sz="8" w:color="CCEEFF"/>
            </w:tcBorders>
            <w:shd w:val="clear" w:color="auto" w:fill="CCEEFF"/>
          </w:tcPr>
          <w:p>
            <w:pPr>
              <w:spacing w:after="0"/>
              <w:rPr>
                <w:sz w:val="7"/>
                <w:szCs w:val="7"/>
                <w:color w:val="auto"/>
              </w:rPr>
            </w:pPr>
          </w:p>
        </w:tc>
        <w:tc>
          <w:tcPr>
            <w:tcW w:w="542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gridSpan w:val="2"/>
            <w:shd w:val="clear" w:color="auto" w:fill="CCEEFF"/>
          </w:tcPr>
          <w:p>
            <w:pPr>
              <w:ind w:left="60"/>
              <w:spacing w:after="0" w:line="88"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3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Printing fees and expenses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0"/>
        </w:trPr>
        <w:tc>
          <w:tcPr>
            <w:tcW w:w="73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restart"/>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1"/>
        </w:trPr>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30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54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360" w:type="dxa"/>
            <w:vAlign w:val="bottom"/>
            <w:gridSpan w:val="3"/>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Miscellaneous</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41"/>
        </w:trPr>
        <w:tc>
          <w:tcPr>
            <w:tcW w:w="7360" w:type="dxa"/>
            <w:vAlign w:val="bottom"/>
            <w:gridSpan w:val="3"/>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vMerge w:val="restart"/>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1"/>
        </w:trPr>
        <w:tc>
          <w:tcPr>
            <w:tcW w:w="120" w:type="dxa"/>
            <w:vAlign w:val="bottom"/>
            <w:tcBorders>
              <w:bottom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CCEEFF"/>
            </w:tcBorders>
            <w:shd w:val="clear" w:color="auto" w:fill="CCEEFF"/>
          </w:tcPr>
          <w:p>
            <w:pPr>
              <w:spacing w:after="0"/>
              <w:rPr>
                <w:sz w:val="8"/>
                <w:szCs w:val="8"/>
                <w:color w:val="auto"/>
              </w:rPr>
            </w:pPr>
          </w:p>
        </w:tc>
        <w:tc>
          <w:tcPr>
            <w:tcW w:w="54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gridSpan w:val="2"/>
            <w:shd w:val="clear" w:color="auto" w:fill="CCEEFF"/>
          </w:tcPr>
          <w:p>
            <w:pPr>
              <w:ind w:left="60"/>
              <w:spacing w:after="0" w:line="102"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w:t>
            </w:r>
          </w:p>
        </w:tc>
        <w:tc>
          <w:tcPr>
            <w:tcW w:w="0" w:type="dxa"/>
            <w:vAlign w:val="bottom"/>
          </w:tcPr>
          <w:p>
            <w:pPr>
              <w:spacing w:after="0" w:line="20" w:lineRule="exact"/>
              <w:rPr>
                <w:sz w:val="1"/>
                <w:szCs w:val="1"/>
                <w:color w:val="auto"/>
              </w:rPr>
            </w:pPr>
          </w:p>
        </w:tc>
      </w:tr>
      <w:tr>
        <w:trPr>
          <w:trHeight w:val="209"/>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540" w:type="dxa"/>
            <w:vAlign w:val="bottom"/>
          </w:tcPr>
          <w:p>
            <w:pPr>
              <w:spacing w:after="0"/>
              <w:rPr>
                <w:sz w:val="4"/>
                <w:szCs w:val="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620" w:right="47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are calculated based on the securities offered and the number of issuances and distributions of the offered securities and, accordingly, cannot be estimated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102(b)(7) of the Delaware General Corporation Law (“DGCL”) provides, in general, that the certificate of incorporation may contain a provision eliminating or limiting the personal liability of a director to the corporation or its shareholders for monetary damages for breach of fiduciary duty as a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0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145 of the DGCL.</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Registrant’s amended and restated certificate of incorporation (“certificate of incorporation”)</w:t>
      </w:r>
    </w:p>
    <w:p>
      <w:pPr>
        <w:spacing w:after="0" w:line="16"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provides that no director of the Registrant shall be personally liable to the Registrant or its stockholders for monetary damages for any breach of fiduciary duty as a director, except for liability (1) for any breach of the director’s duty of loyalty to the Registrant or its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the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 The certificate of incorporation further provides that any repeal or modification of such article by the Registrant’s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Registrant’s amended and restated bylaws (“bylaws”) provide that the Registrant will indemnify each of its directors and officers and, in the discretion of the Registrant’s board of directors, certain employees, to the fullest extent permitted by the DGCL as the same may be amended (except that in the case of amendment, only to the extent that the amendment permits the Registrant to provide broader indemnification rights than the DGCL permitted the Registrant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the Registrant’s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the Registrant and, with respect to any criminal proceeding, had no reasonable cause to believe his or her conduct was unlawful. Article V of the bylaws further provides for the advancement of expenses to each of the Registrant’s directors and, in the discretion of the board of directors, to certain officers and employees.</w:t>
      </w:r>
    </w:p>
    <w:p>
      <w:pPr>
        <w:spacing w:after="0" w:line="3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the bylaws provide that the right of each of the Registrant’s directors and officers to indemnification and advancement of expenses shall be a contract right and shall not be exclusive of any other right now possessed or hereafter acquired under any statute, provision of the certificate of incorporation or bylaws, agreement, vote of stockholders or otherwise. Furthermore, Article V of the bylaws authorizes the Registrant to provide insurance for its directors, officers and employees, against any liability, whether or not the Registrant would have the power to indemnify such person against such liability under the DGCL or the provisions of Article V of the bylaws.</w:t>
      </w:r>
    </w:p>
    <w:p>
      <w:pPr>
        <w:spacing w:after="0" w:line="114"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In general, these agreements provide that the Registrant will indemnify each of its directors and executive officers to the fullest extent permitted by law and the certificate of incorporation and bylaws.</w:t>
      </w:r>
    </w:p>
    <w:p>
      <w:pPr>
        <w:spacing w:after="0" w:line="109" w:lineRule="exact"/>
        <w:rPr>
          <w:sz w:val="20"/>
          <w:szCs w:val="20"/>
          <w:color w:val="auto"/>
        </w:rPr>
      </w:pPr>
    </w:p>
    <w:p>
      <w:pPr>
        <w:ind w:left="1260" w:right="579" w:firstLine="360"/>
        <w:spacing w:after="0" w:line="264" w:lineRule="auto"/>
        <w:rPr>
          <w:sz w:val="20"/>
          <w:szCs w:val="20"/>
          <w:color w:val="auto"/>
        </w:rPr>
      </w:pPr>
      <w:r>
        <w:rPr>
          <w:rFonts w:ascii="Times New Roman" w:cs="Times New Roman" w:eastAsia="Times New Roman" w:hAnsi="Times New Roman"/>
          <w:sz w:val="18"/>
          <w:szCs w:val="18"/>
          <w:color w:val="auto"/>
        </w:rPr>
        <w:t>The Registrant also maintain a general liability insurance policy, which covers certain liabilities of its directors and officers arising out of claims based on acts or omissions in their capacities as directors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712470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which appears elsewhere herein and is incorporated herein by reference.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980" w:right="57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340" w:right="939" w:hanging="360"/>
        <w:spacing w:after="0" w:line="282" w:lineRule="auto"/>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 of 1933”);</w:t>
      </w:r>
    </w:p>
    <w:p>
      <w:pPr>
        <w:spacing w:after="0" w:line="80" w:lineRule="exact"/>
        <w:rPr>
          <w:rFonts w:ascii="Times New Roman" w:cs="Times New Roman" w:eastAsia="Times New Roman" w:hAnsi="Times New Roman"/>
          <w:sz w:val="18"/>
          <w:szCs w:val="18"/>
          <w:color w:val="auto"/>
        </w:rPr>
      </w:pPr>
    </w:p>
    <w:p>
      <w:pPr>
        <w:ind w:left="2340" w:right="559" w:hanging="360"/>
        <w:spacing w:after="0" w:line="253" w:lineRule="auto"/>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42" w:lineRule="exact"/>
        <w:rPr>
          <w:rFonts w:ascii="Times New Roman" w:cs="Times New Roman" w:eastAsia="Times New Roman" w:hAnsi="Times New Roman"/>
          <w:sz w:val="18"/>
          <w:szCs w:val="18"/>
          <w:color w:val="auto"/>
        </w:rPr>
      </w:pPr>
    </w:p>
    <w:p>
      <w:pPr>
        <w:jc w:val="both"/>
        <w:ind w:left="2340" w:right="799" w:hanging="360"/>
        <w:spacing w:after="0" w:line="266" w:lineRule="auto"/>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6"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16" w:lineRule="exact"/>
        <w:rPr>
          <w:sz w:val="20"/>
          <w:szCs w:val="20"/>
          <w:color w:val="auto"/>
        </w:rPr>
      </w:pPr>
    </w:p>
    <w:p>
      <w:pPr>
        <w:ind w:left="1980" w:right="59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12"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340" w:right="519" w:hanging="360"/>
        <w:spacing w:after="0" w:line="266"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ind w:left="2340" w:right="519" w:hanging="360"/>
        <w:spacing w:after="0" w:line="254" w:lineRule="auto"/>
        <w:tabs>
          <w:tab w:leader="none" w:pos="2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727075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40" w:right="519"/>
        <w:spacing w:after="0" w:line="246" w:lineRule="auto"/>
        <w:rPr>
          <w:sz w:val="20"/>
          <w:szCs w:val="20"/>
          <w:color w:val="auto"/>
        </w:rPr>
      </w:pPr>
      <w:r>
        <w:rPr>
          <w:rFonts w:ascii="Times New Roman" w:cs="Times New Roman" w:eastAsia="Times New Roman" w:hAnsi="Times New Roman"/>
          <w:sz w:val="18"/>
          <w:szCs w:val="18"/>
          <w:color w:val="auto"/>
        </w:rPr>
        <w:t xml:space="preserve">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0" w:lineRule="exact"/>
        <w:rPr>
          <w:sz w:val="20"/>
          <w:szCs w:val="20"/>
          <w:color w:val="auto"/>
        </w:rPr>
      </w:pPr>
    </w:p>
    <w:p>
      <w:pPr>
        <w:ind w:left="1980" w:right="499" w:hanging="360"/>
        <w:spacing w:after="0" w:line="255"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340" w:right="1059" w:hanging="360"/>
        <w:spacing w:after="0" w:line="282"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340" w:right="519" w:hanging="360"/>
        <w:spacing w:after="0" w:line="266"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w:t>
      </w:r>
    </w:p>
    <w:p>
      <w:pPr>
        <w:spacing w:after="0" w:line="144" w:lineRule="exact"/>
        <w:rPr>
          <w:rFonts w:ascii="Times New Roman" w:cs="Times New Roman" w:eastAsia="Times New Roman" w:hAnsi="Times New Roman"/>
          <w:sz w:val="18"/>
          <w:szCs w:val="18"/>
          <w:color w:val="auto"/>
        </w:rPr>
      </w:pPr>
    </w:p>
    <w:p>
      <w:pPr>
        <w:ind w:left="2340" w:right="479" w:hanging="360"/>
        <w:spacing w:after="0" w:line="261"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98" w:lineRule="exact"/>
        <w:rPr>
          <w:rFonts w:ascii="Times New Roman" w:cs="Times New Roman" w:eastAsia="Times New Roman" w:hAnsi="Times New Roman"/>
          <w:sz w:val="18"/>
          <w:szCs w:val="18"/>
          <w:color w:val="auto"/>
        </w:rPr>
      </w:pPr>
    </w:p>
    <w:p>
      <w:pPr>
        <w:ind w:left="2340" w:right="619" w:hanging="360"/>
        <w:spacing w:after="0" w:line="266"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9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718820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7579360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1260"/>
        <w:spacing w:after="0"/>
        <w:tabs>
          <w:tab w:leader="none" w:pos="1540" w:val="left"/>
          <w:tab w:leader="none" w:pos="1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Number</w:t>
      </w:r>
    </w:p>
    <w:p>
      <w:pPr>
        <w:ind w:left="1260"/>
        <w:spacing w:after="0"/>
        <w:tabs>
          <w:tab w:leader="none" w:pos="16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7454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1660" w:hanging="393"/>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660" w:hanging="393"/>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660" w:hanging="393"/>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660" w:hanging="393"/>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660" w:hanging="393"/>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329" w:lineRule="exact"/>
        <w:rPr>
          <w:sz w:val="20"/>
          <w:szCs w:val="20"/>
          <w:color w:val="auto"/>
        </w:rPr>
      </w:pPr>
    </w:p>
    <w:p>
      <w:pPr>
        <w:ind w:left="1260"/>
        <w:spacing w:after="0"/>
        <w:tabs>
          <w:tab w:leader="none" w:pos="16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4.3</w:t>
      </w:r>
    </w:p>
    <w:p>
      <w:pPr>
        <w:spacing w:after="0" w:line="7" w:lineRule="exact"/>
        <w:rPr>
          <w:sz w:val="20"/>
          <w:szCs w:val="20"/>
          <w:color w:val="auto"/>
        </w:rPr>
      </w:pPr>
    </w:p>
    <w:p>
      <w:pPr>
        <w:ind w:left="1660" w:hanging="393"/>
        <w:spacing w:after="0"/>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79" w:lineRule="exact"/>
        <w:rPr>
          <w:sz w:val="20"/>
          <w:szCs w:val="20"/>
          <w:color w:val="auto"/>
        </w:rPr>
      </w:pPr>
    </w:p>
    <w:tbl>
      <w:tblPr>
        <w:tblLayout w:type="fixed"/>
        <w:tblInd w:w="1260" w:type="dxa"/>
        <w:tblCellMar>
          <w:top w:w="0" w:type="dxa"/>
          <w:left w:w="0" w:type="dxa"/>
          <w:bottom w:w="0" w:type="dxa"/>
          <w:right w:w="0" w:type="dxa"/>
        </w:tblCellMar>
      </w:tblPr>
      <w:tr>
        <w:trPr>
          <w:trHeight w:val="402"/>
        </w:trPr>
        <w:tc>
          <w:tcPr>
            <w:tcW w:w="2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90"/>
        </w:trPr>
        <w:tc>
          <w:tcPr>
            <w:tcW w:w="220" w:type="dxa"/>
            <w:vAlign w:val="bottom"/>
          </w:tcPr>
          <w:p>
            <w:pPr>
              <w:spacing w:after="0" w:line="29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b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7" w:lineRule="exact"/>
        <w:rPr>
          <w:sz w:val="20"/>
          <w:szCs w:val="20"/>
          <w:color w:val="auto"/>
        </w:rPr>
      </w:pPr>
    </w:p>
    <w:p>
      <w:pPr>
        <w:ind w:left="1560" w:hanging="293"/>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560" w:hanging="293"/>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w:t>
      </w:r>
    </w:p>
    <w:p>
      <w:pPr>
        <w:spacing w:after="0" w:line="265" w:lineRule="exact"/>
        <w:rPr>
          <w:rFonts w:ascii="Times New Roman" w:cs="Times New Roman" w:eastAsia="Times New Roman" w:hAnsi="Times New Roman"/>
          <w:sz w:val="18"/>
          <w:szCs w:val="18"/>
          <w:color w:val="auto"/>
        </w:rPr>
      </w:pPr>
    </w:p>
    <w:p>
      <w:pPr>
        <w:ind w:left="1560" w:hanging="293"/>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560" w:hanging="293"/>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560" w:hanging="293"/>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88"/>
        <w:spacing w:after="0"/>
        <w:tabs>
          <w:tab w:leader="none" w:pos="1647"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52" w:lineRule="exact"/>
        <w:rPr>
          <w:sz w:val="20"/>
          <w:szCs w:val="20"/>
          <w:color w:val="auto"/>
        </w:rPr>
      </w:pPr>
    </w:p>
    <w:p>
      <w:pPr>
        <w:ind w:left="148"/>
        <w:spacing w:after="0"/>
        <w:tabs>
          <w:tab w:leader="none" w:pos="1007"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36195</wp:posOffset>
            </wp:positionV>
            <wp:extent cx="17659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148" w:hanging="148"/>
        <w:spacing w:after="0" w:line="206" w:lineRule="auto"/>
        <w:tabs>
          <w:tab w:leader="none" w:pos="148"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Form of Underwriting Agreement</w:t>
      </w:r>
    </w:p>
    <w:p>
      <w:pPr>
        <w:ind w:left="288" w:right="60" w:hanging="288"/>
        <w:spacing w:after="0" w:line="249" w:lineRule="auto"/>
        <w:tabs>
          <w:tab w:leader="none" w:pos="146" w:val="left"/>
        </w:tabs>
        <w:numPr>
          <w:ilvl w:val="0"/>
          <w:numId w:val="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Sales Agreement, dated as of</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February 17, 2022, by and between</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the Registrant and Cowen and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Company, LLC</w:t>
        </w:r>
      </w:hyperlink>
    </w:p>
    <w:p>
      <w:pPr>
        <w:spacing w:after="0" w:line="3" w:lineRule="exact"/>
        <w:rPr>
          <w:rFonts w:ascii="Times New Roman" w:cs="Times New Roman" w:eastAsia="Times New Roman" w:hAnsi="Times New Roman"/>
          <w:sz w:val="18"/>
          <w:szCs w:val="18"/>
          <w:u w:val="single" w:color="auto"/>
          <w:color w:val="0000EE"/>
        </w:rPr>
      </w:pPr>
    </w:p>
    <w:p>
      <w:pPr>
        <w:ind w:left="288" w:right="160" w:hanging="288"/>
        <w:spacing w:after="0" w:line="266" w:lineRule="auto"/>
        <w:tabs>
          <w:tab w:leader="none" w:pos="146" w:val="left"/>
        </w:tabs>
        <w:numPr>
          <w:ilvl w:val="0"/>
          <w:numId w:val="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Fifth Amended and Restated</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Certificate of Incorporation of the</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Registrant</w:t>
        </w:r>
      </w:hyperlink>
    </w:p>
    <w:p>
      <w:pPr>
        <w:ind w:left="288" w:right="160" w:hanging="288"/>
        <w:spacing w:after="0" w:line="266" w:lineRule="auto"/>
        <w:tabs>
          <w:tab w:leader="none" w:pos="146" w:val="left"/>
        </w:tabs>
        <w:numPr>
          <w:ilvl w:val="0"/>
          <w:numId w:val="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Amended and Restated Bylaws of</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the Registrant, as amended on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November 30, 2022</w:t>
        </w:r>
      </w:hyperlink>
    </w:p>
    <w:p>
      <w:pPr>
        <w:ind w:left="288" w:right="40" w:hanging="288"/>
        <w:spacing w:after="0" w:line="266"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Form of Senior Indenture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Registrant and one or more trustees to be named</w:t>
      </w:r>
    </w:p>
    <w:p>
      <w:pPr>
        <w:ind w:left="288" w:hanging="288"/>
        <w:spacing w:after="0" w:line="266"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Form of Subordinated Indenture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between Registrant and one or more trustees to be named</w:t>
      </w:r>
    </w:p>
    <w:p>
      <w:pPr>
        <w:ind w:left="148" w:hanging="148"/>
        <w:spacing w:after="0" w:line="183" w:lineRule="auto"/>
        <w:tabs>
          <w:tab w:leader="none" w:pos="148" w:val="left"/>
        </w:tabs>
        <w:numPr>
          <w:ilvl w:val="0"/>
          <w:numId w:val="3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Form of Warrant Agreement</w:t>
      </w:r>
    </w:p>
    <w:p>
      <w:pPr>
        <w:ind w:left="288" w:right="700" w:hanging="288"/>
        <w:spacing w:after="0" w:line="249"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Purchase Contract Agreement</w:t>
      </w:r>
    </w:p>
    <w:p>
      <w:pPr>
        <w:ind w:left="148" w:hanging="148"/>
        <w:spacing w:after="0" w:line="180" w:lineRule="auto"/>
        <w:tabs>
          <w:tab w:leader="none" w:pos="148"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Form of Unit Agreement</w:t>
      </w:r>
    </w:p>
    <w:p>
      <w:pPr>
        <w:spacing w:after="0" w:line="1" w:lineRule="exact"/>
        <w:rPr>
          <w:rFonts w:ascii="Times New Roman" w:cs="Times New Roman" w:eastAsia="Times New Roman" w:hAnsi="Times New Roman"/>
          <w:sz w:val="36"/>
          <w:szCs w:val="36"/>
          <w:color w:val="auto"/>
          <w:vertAlign w:val="superscript"/>
        </w:rPr>
      </w:pPr>
    </w:p>
    <w:p>
      <w:pPr>
        <w:ind w:left="148" w:hanging="148"/>
        <w:spacing w:after="0" w:line="181" w:lineRule="auto"/>
        <w:tabs>
          <w:tab w:leader="none" w:pos="148" w:val="left"/>
        </w:tabs>
        <w:numPr>
          <w:ilvl w:val="0"/>
          <w:numId w:val="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5"/>
          <w:szCs w:val="15"/>
          <w:u w:val="single" w:color="auto"/>
          <w:color w:val="0000EE"/>
        </w:rPr>
        <w:t>Opinion of Goodwin Procter LLP</w:t>
      </w:r>
    </w:p>
    <w:p>
      <w:pPr>
        <w:ind w:left="288" w:right="160" w:hanging="288"/>
        <w:spacing w:after="0" w:line="249"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Consent of Ernst &amp; Young 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independent registered public accounting firm for the Registrant</w:t>
      </w:r>
    </w:p>
    <w:p>
      <w:pPr>
        <w:spacing w:after="0" w:line="2" w:lineRule="exact"/>
        <w:rPr>
          <w:rFonts w:ascii="Times New Roman" w:cs="Times New Roman" w:eastAsia="Times New Roman" w:hAnsi="Times New Roman"/>
          <w:sz w:val="18"/>
          <w:szCs w:val="18"/>
          <w:color w:val="auto"/>
        </w:rPr>
      </w:pPr>
    </w:p>
    <w:p>
      <w:pPr>
        <w:ind w:left="288" w:right="180" w:hanging="288"/>
        <w:spacing w:after="0" w:line="273"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Consent of Goodwin Procter 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(included in Exhibit 5.1)</w:t>
      </w:r>
    </w:p>
    <w:p>
      <w:pPr>
        <w:spacing w:after="0" w:line="1" w:lineRule="exact"/>
        <w:rPr>
          <w:rFonts w:ascii="Times New Roman" w:cs="Times New Roman" w:eastAsia="Times New Roman" w:hAnsi="Times New Roman"/>
          <w:sz w:val="18"/>
          <w:szCs w:val="18"/>
          <w:color w:val="auto"/>
        </w:rPr>
      </w:pPr>
    </w:p>
    <w:p>
      <w:pPr>
        <w:ind w:left="288" w:right="20" w:hanging="288"/>
        <w:spacing w:after="0" w:line="266"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Powers of Attorney (included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signature pages to the Registration Statement)</w:t>
      </w:r>
    </w:p>
    <w:p>
      <w:pPr>
        <w:ind w:left="288" w:right="60" w:hanging="288"/>
        <w:spacing w:after="0" w:line="262"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Statement of Eligibility on Form T-1 under the Trust Indenture Act of 1939, as amended, of the Trustee under the Senior Indenture</w:t>
      </w:r>
    </w:p>
    <w:p>
      <w:pPr>
        <w:ind w:left="288" w:right="60" w:hanging="288"/>
        <w:spacing w:after="0" w:line="266"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Statement of Eligibility on Form T-1 under the Trust Indenture Act of 1939, as amended, of the Trustee under the Subordinated Indenture</w:t>
      </w:r>
    </w:p>
    <w:p>
      <w:pPr>
        <w:spacing w:after="0" w:line="202" w:lineRule="exact"/>
        <w:rPr>
          <w:rFonts w:ascii="Times New Roman" w:cs="Times New Roman" w:eastAsia="Times New Roman" w:hAnsi="Times New Roman"/>
          <w:sz w:val="18"/>
          <w:szCs w:val="18"/>
          <w:color w:val="auto"/>
        </w:rPr>
      </w:pPr>
    </w:p>
    <w:p>
      <w:pPr>
        <w:ind w:left="148" w:hanging="148"/>
        <w:spacing w:after="0"/>
        <w:tabs>
          <w:tab w:leader="none" w:pos="148"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000000"/>
          <w:vertAlign w:val="superscript"/>
        </w:rPr>
        <w:t>​ ​</w:t>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-743585</wp:posOffset>
            </wp:positionH>
            <wp:positionV relativeFrom="paragraph">
              <wp:posOffset>45720</wp:posOffset>
            </wp:positionV>
            <wp:extent cx="123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1" w:lineRule="exact"/>
        <w:rPr>
          <w:rFonts w:ascii="Times New Roman" w:cs="Times New Roman" w:eastAsia="Times New Roman" w:hAnsi="Times New Roman"/>
          <w:sz w:val="18"/>
          <w:szCs w:val="18"/>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378"/>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Incorporated by Reference </w:t>
            </w:r>
            <w:r>
              <w:rPr>
                <w:rFonts w:ascii="Times New Roman" w:cs="Times New Roman" w:eastAsia="Times New Roman" w:hAnsi="Times New Roman"/>
                <w:sz w:val="28"/>
                <w:szCs w:val="28"/>
                <w:b w:val="1"/>
                <w:bCs w:val="1"/>
                <w:color w:val="auto"/>
                <w:vertAlign w:val="subscript"/>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Form</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7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Number</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2"/>
        </w:trPr>
        <w:tc>
          <w:tcPr>
            <w:tcW w:w="8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​10-K ​​001-37359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​​February 17, 2022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5"/>
        </w:trPr>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​10-Q ​​001-37359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​​November 9, 2015</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8-K</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​​001-37359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6, 2022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3" w:lineRule="exact"/>
        <w:rPr>
          <w:rFonts w:ascii="Times New Roman" w:cs="Times New Roman" w:eastAsia="Times New Roman" w:hAnsi="Times New Roman"/>
          <w:sz w:val="18"/>
          <w:szCs w:val="18"/>
          <w:color w:val="auto"/>
        </w:rPr>
      </w:pPr>
    </w:p>
    <w:p>
      <w:pPr>
        <w:sectPr>
          <w:pgSz w:w="11900" w:h="16838" w:orient="portrait"/>
          <w:cols w:equalWidth="0" w:num="3">
            <w:col w:w="1920" w:space="512"/>
            <w:col w:w="3008" w:space="180"/>
            <w:col w:w="4259"/>
          </w:cols>
          <w:pgMar w:left="580" w:top="97" w:right="1440" w:bottom="1440" w:gutter="0" w:footer="0" w:header="0"/>
          <w:type w:val="continuous"/>
        </w:sectPr>
      </w:pPr>
    </w:p>
    <w:p>
      <w:pPr>
        <w:spacing w:after="0" w:line="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by a Current Report on Form 8-K.</w:t>
      </w:r>
    </w:p>
    <w:p>
      <w:pPr>
        <w:spacing w:after="0" w:line="90" w:lineRule="exact"/>
        <w:rPr>
          <w:rFonts w:ascii="Times New Roman" w:cs="Times New Roman" w:eastAsia="Times New Roman" w:hAnsi="Times New Roman"/>
          <w:sz w:val="18"/>
          <w:szCs w:val="18"/>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To be filed pursuant to Section 305(b)(2) of the Trust Indenture Act of 1939, as amended.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604520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City of Cambridge, Commonwealth of Massachusetts, on this 17th day of February, 2023.</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1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 ​ BLUEPRINT MEDICINES CORPORATION</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41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ind w:left="19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By: /s/ Kathryn Haviland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0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260" w:type="dxa"/>
            <w:vAlign w:val="bottom"/>
          </w:tcPr>
          <w:p>
            <w:pPr>
              <w:spacing w:after="0"/>
              <w:rPr>
                <w:sz w:val="19"/>
                <w:szCs w:val="19"/>
                <w:color w:val="auto"/>
              </w:rPr>
            </w:pPr>
          </w:p>
        </w:tc>
      </w:tr>
      <w:tr>
        <w:trPr>
          <w:trHeight w:val="236"/>
        </w:trPr>
        <w:tc>
          <w:tcPr>
            <w:tcW w:w="20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60" w:type="dxa"/>
            <w:vAlign w:val="bottom"/>
          </w:tcPr>
          <w:p>
            <w:pPr>
              <w:spacing w:after="0"/>
              <w:rPr>
                <w:sz w:val="20"/>
                <w:szCs w:val="20"/>
                <w:color w:val="auto"/>
              </w:rPr>
            </w:pPr>
          </w:p>
        </w:tc>
      </w:tr>
    </w:tbl>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the undersigned officers and directors of Blueprint Medicines Corporation hereby severally constitute and appoint Kathryn Haviland and Michael Landsittel,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2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9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Kathryn Haviland</w:t>
            </w:r>
          </w:p>
        </w:tc>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 President, Chief Executive Officer and Director</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4000" w:type="dxa"/>
            <w:vAlign w:val="bottom"/>
            <w:gridSpan w:val="3"/>
            <w:vMerge w:val="continue"/>
          </w:tcPr>
          <w:p>
            <w:pPr>
              <w:spacing w:after="0"/>
              <w:rPr>
                <w:sz w:val="9"/>
                <w:szCs w:val="9"/>
                <w:color w:val="auto"/>
              </w:rPr>
            </w:pPr>
          </w:p>
        </w:tc>
        <w:tc>
          <w:tcPr>
            <w:tcW w:w="1660" w:type="dxa"/>
            <w:vAlign w:val="bottom"/>
            <w:gridSpan w:val="3"/>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February 17, 2023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128"/>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200" w:type="dxa"/>
            <w:vAlign w:val="bottom"/>
          </w:tcPr>
          <w:p>
            <w:pPr>
              <w:spacing w:after="0"/>
              <w:rPr>
                <w:sz w:val="11"/>
                <w:szCs w:val="11"/>
                <w:color w:val="auto"/>
              </w:rPr>
            </w:pPr>
          </w:p>
        </w:tc>
        <w:tc>
          <w:tcPr>
            <w:tcW w:w="3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Chief Financial Officer</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1660" w:type="dxa"/>
            <w:vAlign w:val="bottom"/>
            <w:gridSpan w:val="3"/>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February 17, 2023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129"/>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200" w:type="dxa"/>
            <w:vAlign w:val="bottom"/>
          </w:tcPr>
          <w:p>
            <w:pPr>
              <w:spacing w:after="0"/>
              <w:rPr>
                <w:sz w:val="11"/>
                <w:szCs w:val="11"/>
                <w:color w:val="auto"/>
              </w:rPr>
            </w:pPr>
          </w:p>
        </w:tc>
        <w:tc>
          <w:tcPr>
            <w:tcW w:w="3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 Senior Vice President, Finance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4000" w:type="dxa"/>
            <w:vAlign w:val="bottom"/>
            <w:gridSpan w:val="3"/>
            <w:vMerge w:val="continue"/>
          </w:tcPr>
          <w:p>
            <w:pPr>
              <w:spacing w:after="0"/>
              <w:rPr>
                <w:sz w:val="9"/>
                <w:szCs w:val="9"/>
                <w:color w:val="auto"/>
              </w:rPr>
            </w:pPr>
          </w:p>
        </w:tc>
        <w:tc>
          <w:tcPr>
            <w:tcW w:w="1660" w:type="dxa"/>
            <w:vAlign w:val="bottom"/>
            <w:gridSpan w:val="3"/>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February 17, 2023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128"/>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400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Chairman of the Board of Directors</w:t>
            </w: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4000" w:type="dxa"/>
            <w:vAlign w:val="bottom"/>
            <w:gridSpan w:val="3"/>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96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04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960" w:type="dxa"/>
            <w:vAlign w:val="bottom"/>
            <w:gridSpan w:val="2"/>
            <w:vMerge w:val="continue"/>
          </w:tcPr>
          <w:p>
            <w:pPr>
              <w:spacing w:after="0"/>
              <w:rPr>
                <w:sz w:val="17"/>
                <w:szCs w:val="17"/>
                <w:color w:val="auto"/>
              </w:rPr>
            </w:pPr>
          </w:p>
        </w:tc>
        <w:tc>
          <w:tcPr>
            <w:tcW w:w="204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96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04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960" w:type="dxa"/>
            <w:vAlign w:val="bottom"/>
            <w:gridSpan w:val="2"/>
            <w:vMerge w:val="continue"/>
          </w:tcPr>
          <w:p>
            <w:pPr>
              <w:spacing w:after="0"/>
              <w:rPr>
                <w:sz w:val="17"/>
                <w:szCs w:val="17"/>
                <w:color w:val="auto"/>
              </w:rPr>
            </w:pPr>
          </w:p>
        </w:tc>
        <w:tc>
          <w:tcPr>
            <w:tcW w:w="204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960" w:type="dxa"/>
            <w:vAlign w:val="bottom"/>
            <w:gridSpan w:val="2"/>
            <w:vMerge w:val="restart"/>
          </w:tcPr>
          <w:p>
            <w:pPr>
              <w:spacing w:after="0" w:line="163"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2"/>
                <w:szCs w:val="12"/>
                <w:color w:val="auto"/>
              </w:rPr>
              <w:t xml:space="preserve"> Director</w:t>
            </w:r>
          </w:p>
        </w:tc>
        <w:tc>
          <w:tcPr>
            <w:tcW w:w="2040" w:type="dxa"/>
            <w:vAlign w:val="bottom"/>
          </w:tcPr>
          <w:p>
            <w:pPr>
              <w:spacing w:after="0"/>
              <w:rPr>
                <w:sz w:val="9"/>
                <w:szCs w:val="9"/>
                <w:color w:val="auto"/>
              </w:rPr>
            </w:pPr>
          </w:p>
        </w:tc>
        <w:tc>
          <w:tcPr>
            <w:tcW w:w="1660" w:type="dxa"/>
            <w:vAlign w:val="bottom"/>
            <w:gridSpan w:val="3"/>
            <w:vMerge w:val="restart"/>
          </w:tcPr>
          <w:p>
            <w:pPr>
              <w:spacing w:after="0" w:line="163"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2"/>
                <w:szCs w:val="12"/>
                <w:color w:val="auto"/>
              </w:rPr>
              <w:t xml:space="preserve"> February 17, 2023</w:t>
            </w:r>
            <w:r>
              <w:rPr>
                <w:rFonts w:ascii="Times New Roman" w:cs="Times New Roman" w:eastAsia="Times New Roman" w:hAnsi="Times New Roman"/>
                <w:sz w:val="18"/>
                <w:szCs w:val="18"/>
                <w:color w:val="auto"/>
                <w:vertAlign w:val="superscript"/>
              </w:rPr>
              <w:t>​</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20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Lonnel Coats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591820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98"/>
        </w:trPr>
        <w:tc>
          <w:tcPr>
            <w:tcW w:w="2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Habib Dable</w:t>
            </w: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40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60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Habib Dable</w:t>
            </w:r>
          </w:p>
        </w:tc>
        <w:tc>
          <w:tcPr>
            <w:tcW w:w="16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40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60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40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40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60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140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400" w:type="dxa"/>
            <w:vAlign w:val="bottom"/>
            <w:gridSpan w:val="2"/>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2600" w:type="dxa"/>
            <w:vAlign w:val="bottom"/>
          </w:tcPr>
          <w:p>
            <w:pPr>
              <w:spacing w:after="0"/>
              <w:rPr>
                <w:sz w:val="9"/>
                <w:szCs w:val="9"/>
                <w:color w:val="auto"/>
              </w:rPr>
            </w:pPr>
          </w:p>
        </w:tc>
        <w:tc>
          <w:tcPr>
            <w:tcW w:w="1660" w:type="dxa"/>
            <w:vAlign w:val="bottom"/>
            <w:gridSpan w:val="3"/>
            <w:vMerge w:val="restart"/>
          </w:tcPr>
          <w:p>
            <w:pPr>
              <w:spacing w:after="0" w:line="32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February 17, 2023</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9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140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 John Tsai</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tcBorders>
              <w:bottom w:val="single" w:sz="8" w:color="auto"/>
            </w:tcBorders>
          </w:tcPr>
          <w:p>
            <w:pPr>
              <w:spacing w:after="0"/>
              <w:rPr>
                <w:sz w:val="9"/>
                <w:szCs w:val="9"/>
                <w:color w:val="auto"/>
              </w:rPr>
            </w:pPr>
          </w:p>
        </w:tc>
        <w:tc>
          <w:tcPr>
            <w:tcW w:w="1400" w:type="dxa"/>
            <w:vAlign w:val="bottom"/>
            <w:gridSpan w:val="2"/>
            <w:vMerge w:val="restart"/>
          </w:tcPr>
          <w:p>
            <w:pPr>
              <w:spacing w:after="0" w:line="164"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2"/>
                <w:szCs w:val="12"/>
                <w:color w:val="auto"/>
              </w:rPr>
              <w:t xml:space="preserve"> Director</w:t>
            </w:r>
          </w:p>
        </w:tc>
        <w:tc>
          <w:tcPr>
            <w:tcW w:w="2600" w:type="dxa"/>
            <w:vAlign w:val="bottom"/>
          </w:tcPr>
          <w:p>
            <w:pPr>
              <w:spacing w:after="0"/>
              <w:rPr>
                <w:sz w:val="9"/>
                <w:szCs w:val="9"/>
                <w:color w:val="auto"/>
              </w:rPr>
            </w:pPr>
          </w:p>
        </w:tc>
        <w:tc>
          <w:tcPr>
            <w:tcW w:w="1660" w:type="dxa"/>
            <w:vAlign w:val="bottom"/>
            <w:gridSpan w:val="3"/>
            <w:vMerge w:val="restart"/>
          </w:tcPr>
          <w:p>
            <w:pPr>
              <w:spacing w:after="0" w:line="164" w:lineRule="exact"/>
              <w:rPr>
                <w:sz w:val="20"/>
                <w:szCs w:val="20"/>
                <w:color w:val="auto"/>
              </w:rPr>
            </w:pP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2"/>
                <w:szCs w:val="12"/>
                <w:color w:val="auto"/>
              </w:rPr>
              <w:t xml:space="preserve"> February 17, 2023</w:t>
            </w:r>
            <w:r>
              <w:rPr>
                <w:rFonts w:ascii="Times New Roman" w:cs="Times New Roman" w:eastAsia="Times New Roman" w:hAnsi="Times New Roman"/>
                <w:sz w:val="18"/>
                <w:szCs w:val="18"/>
                <w:color w:val="auto"/>
                <w:vertAlign w:val="superscript"/>
              </w:rPr>
              <w:t>​</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26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John Tsai,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5563870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4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as of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671195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333"/>
        </w:trPr>
        <w:tc>
          <w:tcPr>
            <w:tcW w:w="1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9"/>
                <w:szCs w:val="29"/>
                <w:b w:val="1"/>
                <w:bCs w:val="1"/>
                <w:color w:val="auto"/>
                <w:vertAlign w:val="superscript"/>
              </w:rPr>
              <w:t>1</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2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Definitions of Terms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Temporary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Cancellation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Benefits of Indenture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Authenticating Agent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Global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Redemption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 of Redemption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Payment Upon Redemption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Sinking Fund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Paying Agents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Reports by the Company</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Reports by the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Events of Default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Limitation on Suits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8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3" w:lineRule="exact"/>
        <w:rPr>
          <w:sz w:val="20"/>
          <w:szCs w:val="20"/>
          <w:color w:val="auto"/>
        </w:rPr>
      </w:pPr>
    </w:p>
    <w:p>
      <w:pPr>
        <w:jc w:val="center"/>
        <w:ind w:left="5600" w:right="420" w:hanging="5592"/>
        <w:spacing w:after="0" w:line="623" w:lineRule="auto"/>
        <w:tabs>
          <w:tab w:leader="none" w:pos="125"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5" w:right="339" w:bottom="544"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Hold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Moneys Held in Trust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Discharge of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11.05</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 to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Recourse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Actions by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13.03</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13.04</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13.05</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13.06</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13.07</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13.08</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13.09</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13.10</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13.11</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13.12</w:t>
            </w:r>
          </w:p>
        </w:tc>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Certificates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BLUEPRINT MEDICINES CORPORATION, INC.</w:t>
      </w:r>
      <w:r>
        <w:rPr>
          <w:rFonts w:ascii="Times New Roman" w:cs="Times New Roman" w:eastAsia="Times New Roman" w:hAnsi="Times New Roman"/>
          <w:sz w:val="18"/>
          <w:szCs w:val="18"/>
          <w:color w:val="auto"/>
        </w:rPr>
        <w:t>, a Delaware 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 “Trustee”):</w:t>
      </w:r>
    </w:p>
    <w:p>
      <w:pPr>
        <w:spacing w:after="0" w:line="155"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Definitions of Terms.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Blueprint Medicines Corporation,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w:t>
      </w:r>
    </w:p>
    <w:p>
      <w:pPr>
        <w:spacing w:after="0" w:line="31"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administered, which 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6" w:name="page47"/>
    <w:bookmarkEnd w:id="46"/>
    <w:p>
      <w:pPr>
        <w:jc w:val="both"/>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ind w:right="4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9" w:lineRule="exact"/>
        <w:rPr>
          <w:sz w:val="20"/>
          <w:szCs w:val="20"/>
          <w:color w:val="auto"/>
        </w:rPr>
      </w:pPr>
    </w:p>
    <w:p>
      <w:pPr>
        <w:ind w:right="300" w:firstLine="1304"/>
        <w:spacing w:after="0" w:line="266" w:lineRule="auto"/>
        <w:tabs>
          <w:tab w:leader="none" w:pos="20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2060" w:hanging="756"/>
        <w:spacing w:after="0"/>
        <w:tabs>
          <w:tab w:leader="none" w:pos="2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or</w:t>
      </w:r>
    </w:p>
    <w:p>
      <w:pPr>
        <w:spacing w:after="0" w:line="207" w:lineRule="exact"/>
        <w:rPr>
          <w:sz w:val="20"/>
          <w:szCs w:val="20"/>
          <w:color w:val="auto"/>
        </w:rPr>
      </w:pPr>
    </w:p>
    <w:p>
      <w:pPr>
        <w:jc w:val="both"/>
        <w:ind w:right="280" w:firstLine="1304"/>
        <w:spacing w:after="0" w:line="261" w:lineRule="auto"/>
        <w:tabs>
          <w:tab w:leader="none" w:pos="20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660" w:right="1520" w:firstLine="870"/>
        <w:spacing w:after="0" w:line="503"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ind w:right="100" w:firstLine="1304"/>
        <w:spacing w:after="0" w:line="261" w:lineRule="auto"/>
        <w:tabs>
          <w:tab w:leader="none" w:pos="20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ind w:left="660" w:firstLine="1292"/>
        <w:spacing w:after="0" w:line="266" w:lineRule="auto"/>
        <w:tabs>
          <w:tab w:leader="none" w:pos="266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left="660" w:firstLine="1292"/>
        <w:spacing w:after="0" w:line="261" w:lineRule="auto"/>
        <w:tabs>
          <w:tab w:leader="none" w:pos="27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if any;</w:t>
      </w:r>
    </w:p>
    <w:p>
      <w:pPr>
        <w:spacing w:after="0" w:line="206" w:lineRule="exact"/>
        <w:rPr>
          <w:rFonts w:ascii="Times New Roman" w:cs="Times New Roman" w:eastAsia="Times New Roman" w:hAnsi="Times New Roman"/>
          <w:sz w:val="18"/>
          <w:szCs w:val="18"/>
          <w:color w:val="auto"/>
        </w:rPr>
      </w:pPr>
    </w:p>
    <w:p>
      <w:pPr>
        <w:jc w:val="both"/>
        <w:ind w:left="660" w:right="440" w:firstLine="1292"/>
        <w:spacing w:after="0" w:line="289" w:lineRule="auto"/>
        <w:tabs>
          <w:tab w:leader="none" w:pos="2676"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57" w:lineRule="exact"/>
        <w:rPr>
          <w:rFonts w:ascii="Times New Roman" w:cs="Times New Roman" w:eastAsia="Times New Roman" w:hAnsi="Times New Roman"/>
          <w:sz w:val="17"/>
          <w:szCs w:val="17"/>
          <w:color w:val="auto"/>
        </w:rPr>
      </w:pPr>
    </w:p>
    <w:p>
      <w:pPr>
        <w:ind w:left="2700" w:hanging="748"/>
        <w:spacing w:after="0"/>
        <w:tabs>
          <w:tab w:leader="none" w:pos="2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460" w:right="40" w:firstLine="1292"/>
        <w:spacing w:after="0" w:line="282"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460" w:right="80" w:firstLine="1292"/>
        <w:spacing w:after="0" w:line="282"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left="-460" w:right="300" w:firstLine="1292"/>
        <w:spacing w:after="0" w:line="261"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ind w:left="-460" w:right="140" w:firstLine="1292"/>
        <w:spacing w:after="0" w:line="266" w:lineRule="auto"/>
        <w:tabs>
          <w:tab w:leader="none" w:pos="1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460" w:right="160" w:firstLine="1292"/>
        <w:spacing w:after="0" w:line="261"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460" w:right="300" w:firstLine="1292"/>
        <w:spacing w:after="0" w:line="282"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225" w:lineRule="exact"/>
        <w:rPr>
          <w:rFonts w:ascii="Times New Roman" w:cs="Times New Roman" w:eastAsia="Times New Roman" w:hAnsi="Times New Roman"/>
          <w:sz w:val="18"/>
          <w:szCs w:val="18"/>
          <w:color w:val="auto"/>
        </w:rPr>
      </w:pPr>
    </w:p>
    <w:p>
      <w:pPr>
        <w:ind w:left="-460" w:right="140" w:firstLine="1292"/>
        <w:spacing w:after="0" w:line="254"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Times New Roman" w:cs="Times New Roman" w:eastAsia="Times New Roman" w:hAnsi="Times New Roman"/>
          <w:sz w:val="18"/>
          <w:szCs w:val="18"/>
          <w:color w:val="auto"/>
        </w:rPr>
      </w:pPr>
    </w:p>
    <w:p>
      <w:pPr>
        <w:ind w:left="-460" w:firstLine="1292"/>
        <w:spacing w:after="0" w:line="266"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49" w:name="page50"/>
    <w:bookmarkEnd w:id="49"/>
    <w:p>
      <w:pPr>
        <w:ind w:left="660" w:right="160" w:firstLine="1292"/>
        <w:spacing w:after="0" w:line="266" w:lineRule="auto"/>
        <w:tabs>
          <w:tab w:leader="none" w:pos="26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660" w:right="200" w:firstLine="1292"/>
        <w:spacing w:after="0" w:line="282" w:lineRule="auto"/>
        <w:tabs>
          <w:tab w:leader="none" w:pos="26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660" w:right="420" w:firstLine="1292"/>
        <w:spacing w:after="0" w:line="266" w:lineRule="auto"/>
        <w:tabs>
          <w:tab w:leader="none" w:pos="27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7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22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2.03</w:t>
        <w:tab/>
        <w:t>Denominations: Provisions for Payment.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ind w:firstLine="1304"/>
        <w:spacing w:after="0" w:line="253" w:lineRule="auto"/>
        <w:tabs>
          <w:tab w:leader="none" w:pos="20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ind w:right="60" w:firstLine="1304"/>
        <w:spacing w:after="0" w:line="261" w:lineRule="auto"/>
        <w:tabs>
          <w:tab w:leader="none" w:pos="20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2.04</w:t>
        <w:tab/>
        <w:t>Execution and Authentications.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ind w:right="20" w:firstLine="1304"/>
        <w:spacing w:after="0" w:line="258" w:lineRule="auto"/>
        <w:tabs>
          <w:tab w:leader="none" w:pos="20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ind w:firstLine="1304"/>
        <w:spacing w:after="0" w:line="261" w:lineRule="auto"/>
        <w:tabs>
          <w:tab w:leader="none" w:pos="19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right="20" w:firstLine="1304"/>
        <w:spacing w:after="0" w:line="258" w:lineRule="auto"/>
        <w:tabs>
          <w:tab w:leader="none" w:pos="20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83" w:lineRule="exact"/>
        <w:rPr>
          <w:rFonts w:ascii="Times New Roman" w:cs="Times New Roman" w:eastAsia="Times New Roman" w:hAnsi="Times New Roman"/>
          <w:sz w:val="18"/>
          <w:szCs w:val="18"/>
          <w:color w:val="auto"/>
        </w:rPr>
      </w:pPr>
    </w:p>
    <w:p>
      <w:pPr>
        <w:ind w:right="80" w:firstLine="1304"/>
        <w:spacing w:after="0" w:line="258" w:lineRule="auto"/>
        <w:tabs>
          <w:tab w:leader="none" w:pos="20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2.08</w:t>
        <w:tab/>
        <w:t>Cancellation.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2.09</w:t>
        <w:tab/>
        <w:t>Benefits of Indenture.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9" w:lineRule="exact"/>
        <w:rPr>
          <w:sz w:val="20"/>
          <w:szCs w:val="20"/>
          <w:color w:val="auto"/>
        </w:rPr>
      </w:pPr>
    </w:p>
    <w:p>
      <w:pPr>
        <w:ind w:right="40" w:firstLine="1304"/>
        <w:spacing w:after="0" w:line="274" w:lineRule="auto"/>
        <w:tabs>
          <w:tab w:leader="none" w:pos="204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2" w:lineRule="exact"/>
        <w:rPr>
          <w:rFonts w:ascii="Times New Roman" w:cs="Times New Roman" w:eastAsia="Times New Roman" w:hAnsi="Times New Roman"/>
          <w:sz w:val="17"/>
          <w:szCs w:val="17"/>
          <w:color w:val="auto"/>
        </w:rPr>
      </w:pPr>
    </w:p>
    <w:p>
      <w:pPr>
        <w:ind w:right="60" w:firstLine="1304"/>
        <w:spacing w:after="0" w:line="266" w:lineRule="auto"/>
        <w:tabs>
          <w:tab w:leader="none" w:pos="20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firstLine="1304"/>
        <w:spacing w:after="0" w:line="252" w:lineRule="auto"/>
        <w:tabs>
          <w:tab w:leader="none" w:pos="20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3.01</w:t>
        <w:tab/>
        <w:t>Redemption.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3.02</w:t>
        <w:tab/>
        <w:t>Notice of Redemption.</w:t>
      </w:r>
    </w:p>
    <w:p>
      <w:pPr>
        <w:spacing w:after="0" w:line="229" w:lineRule="exact"/>
        <w:rPr>
          <w:sz w:val="20"/>
          <w:szCs w:val="20"/>
          <w:color w:val="auto"/>
        </w:rPr>
      </w:pPr>
    </w:p>
    <w:p>
      <w:pPr>
        <w:ind w:right="40" w:firstLine="1304"/>
        <w:spacing w:after="0" w:line="253" w:lineRule="auto"/>
        <w:tabs>
          <w:tab w:leader="none" w:pos="20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right="40" w:firstLine="1304"/>
        <w:spacing w:after="0" w:line="253" w:lineRule="auto"/>
        <w:tabs>
          <w:tab w:leader="none" w:pos="20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3.03</w:t>
        <w:tab/>
        <w:t>Payment Upon Redemption.</w:t>
      </w:r>
    </w:p>
    <w:p>
      <w:pPr>
        <w:spacing w:after="0" w:line="229" w:lineRule="exact"/>
        <w:rPr>
          <w:sz w:val="20"/>
          <w:szCs w:val="20"/>
          <w:color w:val="auto"/>
        </w:rPr>
      </w:pPr>
    </w:p>
    <w:p>
      <w:pPr>
        <w:ind w:right="40" w:firstLine="1304"/>
        <w:spacing w:after="0" w:line="254" w:lineRule="auto"/>
        <w:tabs>
          <w:tab w:leader="none" w:pos="20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3.04</w:t>
        <w:tab/>
        <w:t>Sinking Fund.</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Company will deliver to the Trustee an Officer’s Certificate specifying the amount of the next ensuing sinking fund payment for that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series, the portion thereof, if any, that is to be satisfied by delivering and crediting Securities of that series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 and the basis for such credit and will, together with such Officer’s Certificate, deliver to the Trustee any Securities to be so delivered.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30 days before each such sinking fund payment date the Trustee shall select the Securities to be redeemed upon such sinking fund payment date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specified in Section 3.02 and cause notice of the redemption thereof to be given in the name of and at the expense of the Company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Section 3.02. Such notice having been duly given, the redemption of such Securities shall be made upon the terms and in the manner stated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7"/>
          <w:szCs w:val="17"/>
          <w:b w:val="1"/>
          <w:bCs w:val="1"/>
          <w:color w:val="auto"/>
        </w:rPr>
        <w:t>Maintenance of Office or Agency.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4.03</w:t>
      </w:r>
      <w:r>
        <w:rPr>
          <w:sz w:val="20"/>
          <w:szCs w:val="20"/>
          <w:color w:val="auto"/>
        </w:rPr>
        <w:tab/>
      </w:r>
      <w:r>
        <w:rPr>
          <w:rFonts w:ascii="Times New Roman" w:cs="Times New Roman" w:eastAsia="Times New Roman" w:hAnsi="Times New Roman"/>
          <w:sz w:val="17"/>
          <w:szCs w:val="17"/>
          <w:b w:val="1"/>
          <w:bCs w:val="1"/>
          <w:color w:val="auto"/>
        </w:rPr>
        <w:t>Paying Agents.</w:t>
      </w:r>
    </w:p>
    <w:p>
      <w:pPr>
        <w:spacing w:after="0" w:line="229" w:lineRule="exact"/>
        <w:rPr>
          <w:sz w:val="20"/>
          <w:szCs w:val="20"/>
          <w:color w:val="auto"/>
        </w:rPr>
      </w:pPr>
    </w:p>
    <w:p>
      <w:pPr>
        <w:ind w:right="60" w:firstLine="1304"/>
        <w:spacing w:after="0" w:line="266" w:lineRule="auto"/>
        <w:tabs>
          <w:tab w:leader="none" w:pos="20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left="660" w:right="100" w:firstLine="1292"/>
        <w:spacing w:after="0" w:line="266" w:lineRule="auto"/>
        <w:tabs>
          <w:tab w:leader="none" w:pos="26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660" w:right="140" w:firstLine="1292"/>
        <w:spacing w:after="0" w:line="282" w:lineRule="auto"/>
        <w:tabs>
          <w:tab w:leader="none" w:pos="26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660" w:right="60" w:firstLine="1292"/>
        <w:spacing w:after="0" w:line="282" w:lineRule="auto"/>
        <w:tabs>
          <w:tab w:leader="none" w:pos="26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ind w:firstLine="1304"/>
        <w:spacing w:after="0" w:line="254" w:lineRule="auto"/>
        <w:tabs>
          <w:tab w:leader="none" w:pos="20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ind w:right="160" w:firstLine="1304"/>
        <w:spacing w:after="0" w:line="256" w:lineRule="auto"/>
        <w:tabs>
          <w:tab w:leader="none" w:pos="20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4.04</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4.05</w:t>
        <w:tab/>
        <w:t>Compliance with Consolidation Provisions.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Company to Furnish Trustee Names and Addresses of Securityholders.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ind w:right="240" w:firstLine="1304"/>
        <w:spacing w:after="0" w:line="266" w:lineRule="auto"/>
        <w:tabs>
          <w:tab w:leader="none" w:pos="20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20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ind w:right="60" w:firstLine="1304"/>
        <w:spacing w:after="0" w:line="253" w:lineRule="auto"/>
        <w:tabs>
          <w:tab w:leader="none" w:pos="20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left="-40" w:right="220" w:firstLine="1304"/>
        <w:spacing w:after="0" w:line="261" w:lineRule="auto"/>
        <w:tabs>
          <w:tab w:leader="none" w:pos="20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76"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ind w:left="-40" w:right="40" w:firstLine="1304"/>
        <w:spacing w:after="0" w:line="266" w:lineRule="auto"/>
        <w:tabs>
          <w:tab w:leader="none" w:pos="20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2020" w:hanging="756"/>
        <w:spacing w:after="0"/>
        <w:tabs>
          <w:tab w:leader="none" w:pos="2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40" w:firstLine="1304"/>
        <w:spacing w:after="0" w:line="266" w:lineRule="auto"/>
        <w:tabs>
          <w:tab w:leader="none" w:pos="19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6.01</w:t>
        <w:tab/>
        <w:t>Events of Default.</w:t>
      </w:r>
    </w:p>
    <w:p>
      <w:pPr>
        <w:spacing w:after="0" w:line="229" w:lineRule="exact"/>
        <w:rPr>
          <w:sz w:val="20"/>
          <w:szCs w:val="20"/>
          <w:color w:val="auto"/>
        </w:rPr>
      </w:pPr>
    </w:p>
    <w:p>
      <w:pPr>
        <w:ind w:left="-40" w:right="540" w:firstLine="1304"/>
        <w:spacing w:after="0" w:line="282" w:lineRule="auto"/>
        <w:tabs>
          <w:tab w:leader="none" w:pos="20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ind w:left="620" w:right="120" w:firstLine="1292"/>
        <w:spacing w:after="0" w:line="261" w:lineRule="auto"/>
        <w:tabs>
          <w:tab w:leader="none" w:pos="26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9" w:lineRule="exact"/>
        <w:rPr>
          <w:rFonts w:ascii="Times New Roman" w:cs="Times New Roman" w:eastAsia="Times New Roman" w:hAnsi="Times New Roman"/>
          <w:sz w:val="18"/>
          <w:szCs w:val="18"/>
          <w:color w:val="auto"/>
        </w:rPr>
      </w:pPr>
    </w:p>
    <w:p>
      <w:pPr>
        <w:ind w:left="620" w:firstLine="1292"/>
        <w:spacing w:after="0" w:line="258" w:lineRule="auto"/>
        <w:tabs>
          <w:tab w:leader="none" w:pos="26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3" w:lineRule="exact"/>
        <w:rPr>
          <w:rFonts w:ascii="Times New Roman" w:cs="Times New Roman" w:eastAsia="Times New Roman" w:hAnsi="Times New Roman"/>
          <w:sz w:val="18"/>
          <w:szCs w:val="18"/>
          <w:color w:val="auto"/>
        </w:rPr>
      </w:pPr>
    </w:p>
    <w:p>
      <w:pPr>
        <w:ind w:left="620" w:firstLine="1292"/>
        <w:spacing w:after="0" w:line="256" w:lineRule="auto"/>
        <w:tabs>
          <w:tab w:leader="none" w:pos="26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60" w:name="page61"/>
    <w:bookmarkEnd w:id="60"/>
    <w:p>
      <w:pPr>
        <w:jc w:val="both"/>
        <w:ind w:left="640" w:right="20" w:firstLine="1292"/>
        <w:spacing w:after="0" w:line="266" w:lineRule="auto"/>
        <w:tabs>
          <w:tab w:leader="none" w:pos="26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ind w:left="640" w:right="140" w:firstLine="1292"/>
        <w:spacing w:after="0" w:line="266" w:lineRule="auto"/>
        <w:tabs>
          <w:tab w:leader="none" w:pos="26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20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color w:val="auto"/>
        </w:rPr>
      </w:pPr>
    </w:p>
    <w:p>
      <w:pPr>
        <w:ind w:left="-20" w:firstLine="1304"/>
        <w:spacing w:after="0" w:line="253" w:lineRule="auto"/>
        <w:tabs>
          <w:tab w:leader="none" w:pos="20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20" w:right="20" w:firstLine="1304"/>
        <w:spacing w:after="0" w:line="258" w:lineRule="auto"/>
        <w:tabs>
          <w:tab w:leader="none" w:pos="202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ind w:left="-20" w:right="100" w:firstLine="1304"/>
        <w:spacing w:after="0" w:line="271" w:lineRule="auto"/>
        <w:tabs>
          <w:tab w:leader="none" w:pos="202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1" w:name="page62"/>
    <w:bookmarkEnd w:id="61"/>
    <w:p>
      <w:pPr>
        <w:ind w:right="20" w:firstLine="1304"/>
        <w:spacing w:after="0" w:line="258" w:lineRule="auto"/>
        <w:tabs>
          <w:tab w:leader="none" w:pos="20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firstLine="1304"/>
        <w:spacing w:after="0" w:line="271" w:lineRule="auto"/>
        <w:tabs>
          <w:tab w:leader="none" w:pos="204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3" w:lineRule="exact"/>
        <w:rPr>
          <w:rFonts w:ascii="Times New Roman" w:cs="Times New Roman" w:eastAsia="Times New Roman" w:hAnsi="Times New Roman"/>
          <w:sz w:val="17"/>
          <w:szCs w:val="17"/>
          <w:color w:val="auto"/>
        </w:rPr>
      </w:pPr>
    </w:p>
    <w:p>
      <w:pPr>
        <w:ind w:right="40" w:firstLine="1304"/>
        <w:spacing w:after="0" w:line="258"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7"/>
          <w:szCs w:val="17"/>
          <w:b w:val="1"/>
          <w:bCs w:val="1"/>
          <w:color w:val="auto"/>
        </w:rPr>
        <w:t>Application of Moneys Collected.</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6.04</w:t>
        <w:tab/>
        <w:t>Limitation on Suits.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ind w:right="80" w:firstLine="1304"/>
        <w:spacing w:after="0" w:line="261" w:lineRule="auto"/>
        <w:tabs>
          <w:tab w:leader="none" w:pos="20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20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6.06</w:t>
        <w:tab/>
        <w:t>Control by Securityholders.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ind w:firstLine="1304"/>
        <w:spacing w:after="0" w:line="256" w:lineRule="auto"/>
        <w:tabs>
          <w:tab w:leader="none" w:pos="20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ind w:left="-40" w:right="440" w:firstLine="1304"/>
        <w:spacing w:after="0" w:line="282" w:lineRule="auto"/>
        <w:tabs>
          <w:tab w:leader="none" w:pos="20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620" w:right="80" w:firstLine="1292"/>
        <w:spacing w:after="0" w:line="282" w:lineRule="auto"/>
        <w:tabs>
          <w:tab w:leader="none" w:pos="26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color w:val="auto"/>
        </w:rPr>
      </w:pPr>
    </w:p>
    <w:p>
      <w:pPr>
        <w:jc w:val="both"/>
        <w:ind w:left="620" w:right="20" w:firstLine="1940"/>
        <w:spacing w:after="0" w:line="261" w:lineRule="auto"/>
        <w:tabs>
          <w:tab w:leader="none" w:pos="335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color w:val="auto"/>
        </w:rPr>
      </w:pPr>
    </w:p>
    <w:p>
      <w:pPr>
        <w:ind w:left="620" w:right="160" w:firstLine="1940"/>
        <w:spacing w:after="0" w:line="258" w:lineRule="auto"/>
        <w:tabs>
          <w:tab w:leader="none" w:pos="334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left="620" w:right="180" w:firstLine="1292"/>
        <w:spacing w:after="0" w:line="282" w:lineRule="auto"/>
        <w:tabs>
          <w:tab w:leader="none" w:pos="26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620" w:right="40" w:firstLine="1292"/>
        <w:spacing w:after="0" w:line="261" w:lineRule="auto"/>
        <w:tabs>
          <w:tab w:leader="none" w:pos="26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ind w:left="620" w:right="300" w:firstLine="1292"/>
        <w:spacing w:after="0" w:line="261" w:lineRule="auto"/>
        <w:tabs>
          <w:tab w:leader="none" w:pos="26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ind w:left="-40" w:right="300" w:firstLine="1304"/>
        <w:spacing w:after="0" w:line="266" w:lineRule="auto"/>
        <w:tabs>
          <w:tab w:leader="none" w:pos="20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40" w:right="440" w:firstLine="1304"/>
        <w:spacing w:after="0" w:line="266" w:lineRule="auto"/>
        <w:tabs>
          <w:tab w:leader="none" w:pos="19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40" w:right="100" w:firstLine="1304"/>
        <w:spacing w:after="0" w:line="282" w:lineRule="auto"/>
        <w:tabs>
          <w:tab w:leader="none" w:pos="20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left="-40" w:firstLine="1304"/>
        <w:spacing w:after="0" w:line="256" w:lineRule="auto"/>
        <w:tabs>
          <w:tab w:leader="none" w:pos="20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65" w:name="page66"/>
    <w:bookmarkEnd w:id="65"/>
    <w:p>
      <w:pPr>
        <w:ind w:firstLine="1304"/>
        <w:spacing w:after="0" w:line="282" w:lineRule="auto"/>
        <w:tabs>
          <w:tab w:leader="none" w:pos="20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1304"/>
        <w:spacing w:after="0" w:line="255" w:lineRule="auto"/>
        <w:tabs>
          <w:tab w:leader="none" w:pos="20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88" w:lineRule="exact"/>
        <w:rPr>
          <w:rFonts w:ascii="Times New Roman" w:cs="Times New Roman" w:eastAsia="Times New Roman" w:hAnsi="Times New Roman"/>
          <w:sz w:val="18"/>
          <w:szCs w:val="18"/>
          <w:color w:val="auto"/>
        </w:rPr>
      </w:pPr>
    </w:p>
    <w:p>
      <w:pPr>
        <w:ind w:firstLine="1304"/>
        <w:spacing w:after="0" w:line="266" w:lineRule="auto"/>
        <w:tabs>
          <w:tab w:leader="none" w:pos="20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20" w:firstLine="1304"/>
        <w:spacing w:after="0" w:line="258" w:lineRule="auto"/>
        <w:tabs>
          <w:tab w:leader="none" w:pos="20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140" w:firstLine="1304"/>
        <w:spacing w:after="0" w:line="266" w:lineRule="auto"/>
        <w:tabs>
          <w:tab w:leader="none" w:pos="20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right="60" w:firstLine="1304"/>
        <w:spacing w:after="0" w:line="253" w:lineRule="auto"/>
        <w:tabs>
          <w:tab w:leader="none" w:pos="21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6" w:name="page67"/>
    <w:bookmarkEnd w:id="66"/>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229" w:lineRule="exact"/>
        <w:rPr>
          <w:sz w:val="20"/>
          <w:szCs w:val="20"/>
          <w:color w:val="auto"/>
        </w:rPr>
      </w:pPr>
    </w:p>
    <w:p>
      <w:pPr>
        <w:ind w:right="40" w:firstLine="1304"/>
        <w:spacing w:after="0" w:line="282" w:lineRule="auto"/>
        <w:tabs>
          <w:tab w:leader="none" w:pos="2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7.04</w:t>
        <w:tab/>
        <w:t>May Hold Securities.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ind w:firstLine="1304"/>
        <w:spacing w:after="0" w:line="253" w:lineRule="auto"/>
        <w:tabs>
          <w:tab w:leader="none" w:pos="20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ind w:right="20" w:firstLine="1304"/>
        <w:spacing w:after="0" w:line="261" w:lineRule="auto"/>
        <w:tabs>
          <w:tab w:leader="none" w:pos="20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9" w:lineRule="exact"/>
        <w:rPr>
          <w:rFonts w:ascii="Times New Roman" w:cs="Times New Roman" w:eastAsia="Times New Roman" w:hAnsi="Times New Roman"/>
          <w:sz w:val="18"/>
          <w:szCs w:val="18"/>
          <w:color w:val="auto"/>
        </w:rPr>
      </w:pPr>
    </w:p>
    <w:p>
      <w:pPr>
        <w:ind w:right="180" w:firstLine="1304"/>
        <w:spacing w:after="0" w:line="258" w:lineRule="auto"/>
        <w:tabs>
          <w:tab w:leader="none" w:pos="20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7.07</w:t>
        <w:tab/>
        <w:t>Reliance on Officer’s Certificate.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ind w:firstLine="1304"/>
        <w:spacing w:after="0" w:line="254" w:lineRule="auto"/>
        <w:tabs>
          <w:tab w:leader="none" w:pos="20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2040" w:hanging="756"/>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left="640" w:right="200" w:firstLine="1292"/>
        <w:spacing w:after="0" w:line="282" w:lineRule="auto"/>
        <w:tabs>
          <w:tab w:leader="none" w:pos="267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640" w:right="300" w:firstLine="1292"/>
        <w:spacing w:after="0" w:line="282" w:lineRule="auto"/>
        <w:tabs>
          <w:tab w:leader="none" w:pos="268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ind w:left="640" w:right="120" w:firstLine="1292"/>
        <w:spacing w:after="0" w:line="272" w:lineRule="auto"/>
        <w:tabs>
          <w:tab w:leader="none" w:pos="267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1" w:lineRule="exact"/>
        <w:rPr>
          <w:rFonts w:ascii="Times New Roman" w:cs="Times New Roman" w:eastAsia="Times New Roman" w:hAnsi="Times New Roman"/>
          <w:sz w:val="17"/>
          <w:szCs w:val="17"/>
          <w:color w:val="auto"/>
        </w:rPr>
      </w:pPr>
    </w:p>
    <w:p>
      <w:pPr>
        <w:ind w:left="-20" w:right="40" w:firstLine="1304"/>
        <w:spacing w:after="0" w:line="266" w:lineRule="auto"/>
        <w:tabs>
          <w:tab w:leader="none" w:pos="20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left="-20" w:right="420" w:firstLine="1304"/>
        <w:spacing w:after="0" w:line="266" w:lineRule="auto"/>
        <w:tabs>
          <w:tab w:leader="none" w:pos="20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75" w:lineRule="exact"/>
        <w:rPr>
          <w:rFonts w:ascii="Times New Roman" w:cs="Times New Roman" w:eastAsia="Times New Roman" w:hAnsi="Times New Roman"/>
          <w:sz w:val="18"/>
          <w:szCs w:val="18"/>
          <w:color w:val="auto"/>
        </w:rPr>
      </w:pPr>
    </w:p>
    <w:p>
      <w:pPr>
        <w:ind w:left="-20" w:right="100" w:firstLine="1304"/>
        <w:spacing w:after="0" w:line="282" w:lineRule="auto"/>
        <w:tabs>
          <w:tab w:leader="none" w:pos="20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ind w:left="-20" w:right="40" w:firstLine="1304"/>
        <w:spacing w:after="0" w:line="256" w:lineRule="auto"/>
        <w:tabs>
          <w:tab w:leader="none" w:pos="20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ind w:left="-20" w:firstLine="1304"/>
        <w:spacing w:after="0" w:line="255" w:lineRule="auto"/>
        <w:tabs>
          <w:tab w:leader="none" w:pos="20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69" w:name="page70"/>
    <w:bookmarkEnd w:id="69"/>
    <w:p>
      <w:pPr>
        <w:ind w:firstLine="1296"/>
        <w:spacing w:after="0" w:line="253" w:lineRule="auto"/>
        <w:rPr>
          <w:sz w:val="20"/>
          <w:szCs w:val="20"/>
          <w:color w:val="auto"/>
        </w:rPr>
      </w:pPr>
      <w:r>
        <w:rPr>
          <w:rFonts w:ascii="Times New Roman" w:cs="Times New Roman" w:eastAsia="Times New Roman" w:hAnsi="Times New Roman"/>
          <w:sz w:val="18"/>
          <w:szCs w:val="18"/>
          <w:color w:val="auto"/>
        </w:rPr>
        <w:t>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2" w:lineRule="exact"/>
        <w:rPr>
          <w:sz w:val="20"/>
          <w:szCs w:val="20"/>
          <w:color w:val="auto"/>
        </w:rPr>
      </w:pPr>
    </w:p>
    <w:p>
      <w:pPr>
        <w:ind w:right="140" w:firstLine="1304"/>
        <w:spacing w:after="0" w:line="312" w:lineRule="auto"/>
        <w:tabs>
          <w:tab w:leader="none" w:pos="204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9" w:lineRule="exact"/>
        <w:rPr>
          <w:rFonts w:ascii="Times New Roman" w:cs="Times New Roman" w:eastAsia="Times New Roman" w:hAnsi="Times New Roman"/>
          <w:sz w:val="17"/>
          <w:szCs w:val="17"/>
          <w:color w:val="auto"/>
        </w:rPr>
      </w:pPr>
    </w:p>
    <w:p>
      <w:pPr>
        <w:ind w:right="20" w:firstLine="1304"/>
        <w:spacing w:after="0" w:line="282" w:lineRule="auto"/>
        <w:tabs>
          <w:tab w:leader="none" w:pos="20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180" w:firstLine="1304"/>
        <w:spacing w:after="0" w:line="261" w:lineRule="auto"/>
        <w:tabs>
          <w:tab w:leader="none" w:pos="20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7"/>
          <w:szCs w:val="17"/>
          <w:b w:val="1"/>
          <w:bCs w:val="1"/>
          <w:color w:val="auto"/>
        </w:rPr>
        <w:t>Evidence of Action by Securityholders.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8.02</w:t>
        <w:tab/>
        <w:t>Proof of Execution by Securityholders.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2060" w:hanging="756"/>
        <w:spacing w:after="0"/>
        <w:tabs>
          <w:tab w:leader="none" w:pos="2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w:t>
      </w:r>
    </w:p>
    <w:p>
      <w:pPr>
        <w:spacing w:after="0" w:line="207" w:lineRule="exact"/>
        <w:rPr>
          <w:sz w:val="20"/>
          <w:szCs w:val="20"/>
          <w:color w:val="auto"/>
        </w:rPr>
      </w:pPr>
    </w:p>
    <w:p>
      <w:pPr>
        <w:ind w:left="2060" w:hanging="756"/>
        <w:spacing w:after="0"/>
        <w:tabs>
          <w:tab w:leader="none" w:pos="2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Registrar 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1" w:name="page72"/>
    <w:bookmarkEnd w:id="71"/>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8.04</w:t>
        <w:tab/>
        <w:t>Certain Securities Owned by Company Disregarded.</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8.05</w:t>
      </w:r>
      <w:r>
        <w:rPr>
          <w:sz w:val="20"/>
          <w:szCs w:val="20"/>
          <w:color w:val="auto"/>
        </w:rPr>
        <w:tab/>
      </w:r>
      <w:r>
        <w:rPr>
          <w:rFonts w:ascii="Times New Roman" w:cs="Times New Roman" w:eastAsia="Times New Roman" w:hAnsi="Times New Roman"/>
          <w:sz w:val="17"/>
          <w:szCs w:val="17"/>
          <w:b w:val="1"/>
          <w:bCs w:val="1"/>
          <w:color w:val="auto"/>
        </w:rPr>
        <w:t>Actions Binding on Future Securityholders.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2060" w:hanging="756"/>
        <w:spacing w:after="0"/>
        <w:tabs>
          <w:tab w:leader="none" w:pos="2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firstLine="1304"/>
        <w:spacing w:after="0" w:line="258" w:lineRule="auto"/>
        <w:tabs>
          <w:tab w:leader="none" w:pos="20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2" w:name="page73"/>
    <w:bookmarkEnd w:id="72"/>
    <w:p>
      <w:pPr>
        <w:ind w:right="320" w:firstLine="1304"/>
        <w:spacing w:after="0" w:line="282" w:lineRule="auto"/>
        <w:tabs>
          <w:tab w:leader="none" w:pos="20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right="80" w:firstLine="1304"/>
        <w:spacing w:after="0" w:line="266" w:lineRule="auto"/>
        <w:tabs>
          <w:tab w:leader="none" w:pos="20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320" w:firstLine="1304"/>
        <w:spacing w:after="0" w:line="282" w:lineRule="auto"/>
        <w:tabs>
          <w:tab w:leader="none" w:pos="20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7"/>
          <w:szCs w:val="17"/>
          <w:b w:val="1"/>
          <w:bCs w:val="1"/>
          <w:color w:val="auto"/>
        </w:rPr>
        <w:t>Supplemental Indentures With Consent of Securityholders.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9.03</w:t>
        <w:tab/>
        <w:t>Effect of Supplemental Indentures.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7"/>
          <w:szCs w:val="17"/>
          <w:b w:val="1"/>
          <w:bCs w:val="1"/>
          <w:color w:val="auto"/>
        </w:rPr>
        <w:t>Company May Consolidate, Etc.</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w:t>
      </w: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10.02</w:t>
      </w:r>
      <w:r>
        <w:rPr>
          <w:sz w:val="20"/>
          <w:szCs w:val="20"/>
          <w:color w:val="auto"/>
        </w:rPr>
        <w:tab/>
      </w:r>
      <w:r>
        <w:rPr>
          <w:rFonts w:ascii="Times New Roman" w:cs="Times New Roman" w:eastAsia="Times New Roman" w:hAnsi="Times New Roman"/>
          <w:sz w:val="17"/>
          <w:szCs w:val="17"/>
          <w:b w:val="1"/>
          <w:bCs w:val="1"/>
          <w:color w:val="auto"/>
        </w:rPr>
        <w:t>Successor Entity Substituted.</w:t>
      </w:r>
    </w:p>
    <w:p>
      <w:pPr>
        <w:spacing w:after="0" w:line="229" w:lineRule="exact"/>
        <w:rPr>
          <w:sz w:val="20"/>
          <w:szCs w:val="20"/>
          <w:color w:val="auto"/>
        </w:rPr>
      </w:pPr>
    </w:p>
    <w:p>
      <w:pPr>
        <w:ind w:right="100" w:firstLine="1304"/>
        <w:spacing w:after="0" w:line="258" w:lineRule="auto"/>
        <w:tabs>
          <w:tab w:leader="none" w:pos="20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right="340" w:firstLine="1304"/>
        <w:spacing w:after="0" w:line="282" w:lineRule="auto"/>
        <w:tabs>
          <w:tab w:leader="none" w:pos="20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firstLine="1304"/>
        <w:spacing w:after="0" w:line="266" w:lineRule="auto"/>
        <w:tabs>
          <w:tab w:leader="none" w:pos="20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7"/>
          <w:szCs w:val="17"/>
          <w:b w:val="1"/>
          <w:bCs w:val="1"/>
          <w:color w:val="auto"/>
        </w:rPr>
        <w:t>Discharge of Obligations.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5" w:name="page76"/>
    <w:bookmarkEnd w:id="75"/>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7"/>
          <w:szCs w:val="17"/>
          <w:b w:val="1"/>
          <w:bCs w:val="1"/>
          <w:color w:val="auto"/>
        </w:rPr>
        <w:t>Deposited Moneys to be Held in Trust.</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7"/>
          <w:szCs w:val="17"/>
          <w:b w:val="1"/>
          <w:bCs w:val="1"/>
          <w:color w:val="auto"/>
        </w:rPr>
        <w:t>Payment of Moneys Held by Paying Agents.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7"/>
          <w:szCs w:val="17"/>
          <w:b w:val="1"/>
          <w:bCs w:val="1"/>
          <w:color w:val="auto"/>
        </w:rPr>
        <w:t>Repayment to Company.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13.01</w:t>
      </w:r>
      <w:r>
        <w:rPr>
          <w:sz w:val="20"/>
          <w:szCs w:val="20"/>
          <w:color w:val="auto"/>
        </w:rPr>
        <w:tab/>
      </w:r>
      <w:r>
        <w:rPr>
          <w:rFonts w:ascii="Times New Roman" w:cs="Times New Roman" w:eastAsia="Times New Roman" w:hAnsi="Times New Roman"/>
          <w:sz w:val="17"/>
          <w:szCs w:val="17"/>
          <w:b w:val="1"/>
          <w:bCs w:val="1"/>
          <w:color w:val="auto"/>
        </w:rPr>
        <w:t>Effect on Successors and Assigns.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Actions by Successor.</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w:t>
      </w:r>
    </w:p>
    <w:p>
      <w:pPr>
        <w:spacing w:after="0" w:line="1"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39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13.07</w:t>
      </w:r>
      <w:r>
        <w:rPr>
          <w:sz w:val="20"/>
          <w:szCs w:val="20"/>
          <w:color w:val="auto"/>
        </w:rPr>
        <w:tab/>
      </w:r>
      <w:r>
        <w:rPr>
          <w:rFonts w:ascii="Times New Roman" w:cs="Times New Roman" w:eastAsia="Times New Roman" w:hAnsi="Times New Roman"/>
          <w:sz w:val="17"/>
          <w:szCs w:val="17"/>
          <w:b w:val="1"/>
          <w:bCs w:val="1"/>
          <w:color w:val="auto"/>
        </w:rPr>
        <w:t>Certificates and Opinions as to Conditions Precedent.</w:t>
      </w:r>
    </w:p>
    <w:p>
      <w:pPr>
        <w:spacing w:after="0" w:line="229" w:lineRule="exact"/>
        <w:rPr>
          <w:sz w:val="20"/>
          <w:szCs w:val="20"/>
          <w:color w:val="auto"/>
        </w:rPr>
      </w:pPr>
    </w:p>
    <w:p>
      <w:pPr>
        <w:ind w:firstLine="1304"/>
        <w:spacing w:after="0" w:line="256" w:lineRule="auto"/>
        <w:tabs>
          <w:tab w:leader="none" w:pos="20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7" w:name="page78"/>
    <w:bookmarkEnd w:id="77"/>
    <w:p>
      <w:pPr>
        <w:ind w:right="40" w:firstLine="1304"/>
        <w:spacing w:after="0" w:line="261" w:lineRule="auto"/>
        <w:tabs>
          <w:tab w:leader="none" w:pos="20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w:t>
      </w:r>
    </w:p>
    <w:p>
      <w:pPr>
        <w:ind w:right="80" w:firstLine="8"/>
        <w:spacing w:after="0" w:line="253"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13.10</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13.11</w:t>
      </w:r>
      <w:r>
        <w:rPr>
          <w:sz w:val="20"/>
          <w:szCs w:val="20"/>
          <w:color w:val="auto"/>
        </w:rPr>
        <w:tab/>
      </w:r>
      <w:r>
        <w:rPr>
          <w:rFonts w:ascii="Times New Roman" w:cs="Times New Roman" w:eastAsia="Times New Roman" w:hAnsi="Times New Roman"/>
          <w:sz w:val="17"/>
          <w:szCs w:val="17"/>
          <w:b w:val="1"/>
          <w:bCs w:val="1"/>
          <w:color w:val="auto"/>
        </w:rPr>
        <w:t>Separability.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8890</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8890</wp:posOffset>
            </wp:positionV>
            <wp:extent cx="32061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980" w:top="900" w:right="8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398"/>
        </w:trPr>
        <w:tc>
          <w:tcPr>
            <w:tcW w:w="4160" w:type="dxa"/>
            <w:vAlign w:val="bottom"/>
          </w:tcPr>
          <w:p>
            <w:pPr>
              <w:spacing w:after="0"/>
              <w:rPr>
                <w:sz w:val="24"/>
                <w:szCs w:val="24"/>
                <w:color w:val="auto"/>
              </w:rPr>
            </w:pPr>
          </w:p>
        </w:tc>
        <w:tc>
          <w:tcPr>
            <w:tcW w:w="7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9"/>
                <w:szCs w:val="29"/>
                <w:b w:val="1"/>
                <w:bCs w:val="1"/>
                <w:color w:val="auto"/>
                <w:vertAlign w:val="superscript"/>
              </w:rPr>
              <w:t>(2)</w:t>
            </w:r>
          </w:p>
        </w:tc>
      </w:tr>
      <w:tr>
        <w:trPr>
          <w:trHeight w:val="30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3620" w:type="dxa"/>
            <w:vAlign w:val="bottom"/>
          </w:tcPr>
          <w:p>
            <w:pPr>
              <w:spacing w:after="0"/>
              <w:rPr>
                <w:sz w:val="24"/>
                <w:szCs w:val="24"/>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310(a)</w:t>
            </w:r>
          </w:p>
        </w:tc>
        <w:tc>
          <w:tcPr>
            <w:tcW w:w="3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36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36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5.02(1)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36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13.07(1)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36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36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7.01(1)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08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0" w:lineRule="exact"/>
        <w:rPr>
          <w:rFonts w:ascii="Times New Roman" w:cs="Times New Roman" w:eastAsia="Times New Roman" w:hAnsi="Times New Roman"/>
          <w:sz w:val="30"/>
          <w:szCs w:val="30"/>
          <w:color w:val="auto"/>
          <w:vertAlign w:val="superscript"/>
        </w:rPr>
      </w:pPr>
    </w:p>
    <w:p>
      <w:pPr>
        <w:spacing w:after="0" w:line="213" w:lineRule="exact"/>
        <w:rPr>
          <w:rFonts w:ascii="Times New Roman" w:cs="Times New Roman" w:eastAsia="Times New Roman" w:hAnsi="Times New Roman"/>
          <w:sz w:val="30"/>
          <w:szCs w:val="30"/>
          <w:color w:val="auto"/>
          <w:vertAlign w:val="superscript"/>
        </w:rPr>
      </w:pPr>
    </w:p>
    <w:p>
      <w:pPr>
        <w:ind w:left="55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as of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594360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402"/>
        </w:trPr>
        <w:tc>
          <w:tcPr>
            <w:tcW w:w="1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35"/>
                <w:szCs w:val="35"/>
                <w:b w:val="1"/>
                <w:bCs w:val="1"/>
                <w:color w:val="auto"/>
                <w:vertAlign w:val="superscript"/>
              </w:rPr>
              <w:t>1</w:t>
            </w:r>
            <w:r>
              <w:rPr>
                <w:rFonts w:ascii="Times New Roman" w:cs="Times New Roman" w:eastAsia="Times New Roman" w:hAnsi="Times New Roman"/>
                <w:sz w:val="29"/>
                <w:szCs w:val="29"/>
                <w:b w:val="1"/>
                <w:bCs w:val="1"/>
                <w:color w:val="auto"/>
                <w:vertAlign w:val="superscript"/>
              </w:rPr>
              <w:t>)</w:t>
            </w:r>
          </w:p>
        </w:tc>
        <w:tc>
          <w:tcPr>
            <w:tcW w:w="1480" w:type="dxa"/>
            <w:vAlign w:val="bottom"/>
          </w:tcPr>
          <w:p>
            <w:pPr>
              <w:spacing w:after="0"/>
              <w:rPr>
                <w:sz w:val="24"/>
                <w:szCs w:val="24"/>
                <w:color w:val="auto"/>
              </w:rPr>
            </w:pPr>
          </w:p>
        </w:tc>
      </w:tr>
      <w:tr>
        <w:trPr>
          <w:trHeight w:val="45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94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9"/>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 of Terms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Temporary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Benefits of Indenture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Authenticating Agent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Global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Notice of Redemption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Payment Upon Redemption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4.03</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Paying Agents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4.05</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Reports by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Reports by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6.04</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 on Suits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6.05</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6.06</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6.07</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59"/>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41"/>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8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jc w:val="center"/>
        <w:ind w:left="5600" w:right="440" w:hanging="5592"/>
        <w:spacing w:after="0" w:line="623" w:lineRule="auto"/>
        <w:tabs>
          <w:tab w:leader="none" w:pos="121"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3" w:right="339" w:bottom="598"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Hold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Moneys Held in Trust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41"/>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41"/>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41"/>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41"/>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to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59"/>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Recourse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41"/>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Actions by Successor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13.08</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13.09</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13.10</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59"/>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SUBORDINATION OF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59"/>
        </w:trPr>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Subordination Terms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675"/>
        </w:trPr>
        <w:tc>
          <w:tcPr>
            <w:tcW w:w="14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4100"/>
              <w:spacing w:after="0"/>
              <w:rPr>
                <w:sz w:val="20"/>
                <w:szCs w:val="20"/>
                <w:color w:val="auto"/>
              </w:rPr>
            </w:pPr>
            <w:r>
              <w:rPr>
                <w:rFonts w:ascii="Times New Roman" w:cs="Times New Roman" w:eastAsia="Times New Roman" w:hAnsi="Times New Roman"/>
                <w:sz w:val="18"/>
                <w:szCs w:val="18"/>
                <w:color w:val="auto"/>
              </w:rPr>
              <w:t>ii</w:t>
            </w: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4" w:right="339" w:bottom="19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BLUEPRINT MEDICINES CORPORATION</w:t>
      </w:r>
      <w:r>
        <w:rPr>
          <w:rFonts w:ascii="Times New Roman" w:cs="Times New Roman" w:eastAsia="Times New Roman" w:hAnsi="Times New Roman"/>
          <w:sz w:val="18"/>
          <w:szCs w:val="18"/>
          <w:color w:val="auto"/>
        </w:rPr>
        <w:t>, a Delaware corporation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 “Trustee”):</w:t>
      </w:r>
    </w:p>
    <w:p>
      <w:pPr>
        <w:spacing w:after="0" w:line="155"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Definitions of Terms.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4" w:name="page85"/>
    <w:bookmarkEnd w:id="84"/>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Blueprint Medicines Corporation,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5" w:name="page86"/>
    <w:bookmarkEnd w:id="85"/>
    <w:p>
      <w:pPr>
        <w:jc w:val="both"/>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ind w:right="460" w:firstLine="648"/>
        <w:spacing w:after="0" w:line="317"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9" w:lineRule="exact"/>
        <w:rPr>
          <w:sz w:val="20"/>
          <w:szCs w:val="20"/>
          <w:color w:val="auto"/>
        </w:rPr>
      </w:pPr>
    </w:p>
    <w:p>
      <w:pPr>
        <w:jc w:val="both"/>
        <w:ind w:right="120" w:firstLine="656"/>
        <w:spacing w:after="0" w:line="266" w:lineRule="auto"/>
        <w:tabs>
          <w:tab w:leader="none" w:pos="13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1400" w:hanging="744"/>
        <w:spacing w:after="0"/>
        <w:tabs>
          <w:tab w:leader="none" w:pos="1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 partnership;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both"/>
        <w:ind w:right="80" w:firstLine="656"/>
        <w:spacing w:after="0" w:line="261" w:lineRule="auto"/>
        <w:tabs>
          <w:tab w:leader="none" w:pos="13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660" w:right="1520" w:firstLine="870"/>
        <w:spacing w:after="0" w:line="503"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ind w:right="100" w:firstLine="1304"/>
        <w:spacing w:after="0" w:line="261" w:lineRule="auto"/>
        <w:tabs>
          <w:tab w:leader="none" w:pos="2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ind w:left="660" w:right="180" w:firstLine="1292"/>
        <w:spacing w:after="0" w:line="266" w:lineRule="auto"/>
        <w:tabs>
          <w:tab w:leader="none" w:pos="27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left="660" w:firstLine="1292"/>
        <w:spacing w:after="0" w:line="261" w:lineRule="auto"/>
        <w:tabs>
          <w:tab w:leader="none" w:pos="270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if any;</w:t>
      </w:r>
    </w:p>
    <w:p>
      <w:pPr>
        <w:spacing w:after="0" w:line="206" w:lineRule="exact"/>
        <w:rPr>
          <w:rFonts w:ascii="Times New Roman" w:cs="Times New Roman" w:eastAsia="Times New Roman" w:hAnsi="Times New Roman"/>
          <w:sz w:val="18"/>
          <w:szCs w:val="18"/>
          <w:color w:val="auto"/>
        </w:rPr>
      </w:pPr>
    </w:p>
    <w:p>
      <w:pPr>
        <w:jc w:val="both"/>
        <w:ind w:left="660" w:right="440" w:firstLine="1292"/>
        <w:spacing w:after="0" w:line="289" w:lineRule="auto"/>
        <w:tabs>
          <w:tab w:leader="none" w:pos="2676"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57" w:lineRule="exact"/>
        <w:rPr>
          <w:rFonts w:ascii="Times New Roman" w:cs="Times New Roman" w:eastAsia="Times New Roman" w:hAnsi="Times New Roman"/>
          <w:sz w:val="17"/>
          <w:szCs w:val="17"/>
          <w:color w:val="auto"/>
        </w:rPr>
      </w:pPr>
    </w:p>
    <w:p>
      <w:pPr>
        <w:ind w:left="2700" w:hanging="748"/>
        <w:spacing w:after="0"/>
        <w:tabs>
          <w:tab w:leader="none" w:pos="2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460" w:right="40" w:firstLine="1292"/>
        <w:spacing w:after="0" w:line="282" w:lineRule="auto"/>
        <w:tabs>
          <w:tab w:leader="none" w:pos="15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460" w:right="80" w:firstLine="1292"/>
        <w:spacing w:after="0" w:line="282" w:lineRule="auto"/>
        <w:tabs>
          <w:tab w:leader="none" w:pos="15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left="-460" w:right="300" w:firstLine="1292"/>
        <w:spacing w:after="0" w:line="261" w:lineRule="auto"/>
        <w:tabs>
          <w:tab w:leader="none" w:pos="15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ind w:left="-460" w:right="140" w:firstLine="1292"/>
        <w:spacing w:after="0" w:line="266" w:lineRule="auto"/>
        <w:tabs>
          <w:tab w:leader="none" w:pos="16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460" w:right="160" w:firstLine="1292"/>
        <w:spacing w:after="0" w:line="261" w:lineRule="auto"/>
        <w:tabs>
          <w:tab w:leader="none" w:pos="15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460" w:right="300" w:firstLine="1292"/>
        <w:spacing w:after="0" w:line="282" w:lineRule="auto"/>
        <w:tabs>
          <w:tab w:leader="none" w:pos="15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left="1580" w:hanging="748"/>
        <w:spacing w:after="0"/>
        <w:tabs>
          <w:tab w:leader="none" w:pos="1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225" w:lineRule="exact"/>
        <w:rPr>
          <w:rFonts w:ascii="Times New Roman" w:cs="Times New Roman" w:eastAsia="Times New Roman" w:hAnsi="Times New Roman"/>
          <w:sz w:val="18"/>
          <w:szCs w:val="18"/>
          <w:color w:val="auto"/>
        </w:rPr>
      </w:pPr>
    </w:p>
    <w:p>
      <w:pPr>
        <w:ind w:left="-460" w:right="140" w:firstLine="1292"/>
        <w:spacing w:after="0" w:line="254" w:lineRule="auto"/>
        <w:tabs>
          <w:tab w:leader="none" w:pos="15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91" w:lineRule="exact"/>
        <w:rPr>
          <w:rFonts w:ascii="Times New Roman" w:cs="Times New Roman" w:eastAsia="Times New Roman" w:hAnsi="Times New Roman"/>
          <w:sz w:val="18"/>
          <w:szCs w:val="18"/>
          <w:color w:val="auto"/>
        </w:rPr>
      </w:pPr>
    </w:p>
    <w:p>
      <w:pPr>
        <w:ind w:left="-460" w:firstLine="1292"/>
        <w:spacing w:after="0" w:line="266" w:lineRule="auto"/>
        <w:tabs>
          <w:tab w:leader="none" w:pos="15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88" w:name="page89"/>
    <w:bookmarkEnd w:id="88"/>
    <w:p>
      <w:pPr>
        <w:ind w:left="660" w:right="160" w:firstLine="1292"/>
        <w:spacing w:after="0" w:line="266" w:lineRule="auto"/>
        <w:tabs>
          <w:tab w:leader="none" w:pos="2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660" w:right="200" w:firstLine="1292"/>
        <w:spacing w:after="0" w:line="282" w:lineRule="auto"/>
        <w:tabs>
          <w:tab w:leader="none" w:pos="2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660" w:right="420" w:firstLine="1292"/>
        <w:spacing w:after="0" w:line="266" w:lineRule="auto"/>
        <w:tabs>
          <w:tab w:leader="none" w:pos="27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7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225"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and</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2.03</w:t>
        <w:tab/>
        <w:t>Denominations: Provisions for Payment.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ind w:firstLine="1304"/>
        <w:spacing w:after="0" w:line="253" w:lineRule="auto"/>
        <w:tabs>
          <w:tab w:leader="none" w:pos="204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ind w:right="60" w:firstLine="1304"/>
        <w:spacing w:after="0" w:line="261" w:lineRule="auto"/>
        <w:tabs>
          <w:tab w:leader="none" w:pos="204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2.04</w:t>
        <w:tab/>
        <w:t>Execution and Authentications.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ind w:right="20" w:firstLine="1304"/>
        <w:spacing w:after="0" w:line="258" w:lineRule="auto"/>
        <w:tabs>
          <w:tab w:leader="none" w:pos="20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ind w:firstLine="1304"/>
        <w:spacing w:after="0" w:line="261" w:lineRule="auto"/>
        <w:tabs>
          <w:tab w:leader="none" w:pos="204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right="20" w:firstLine="1304"/>
        <w:spacing w:after="0" w:line="258" w:lineRule="auto"/>
        <w:tabs>
          <w:tab w:leader="none" w:pos="20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83" w:lineRule="exact"/>
        <w:rPr>
          <w:rFonts w:ascii="Times New Roman" w:cs="Times New Roman" w:eastAsia="Times New Roman" w:hAnsi="Times New Roman"/>
          <w:sz w:val="18"/>
          <w:szCs w:val="18"/>
          <w:color w:val="auto"/>
        </w:rPr>
      </w:pPr>
    </w:p>
    <w:p>
      <w:pPr>
        <w:ind w:right="80" w:firstLine="1304"/>
        <w:spacing w:after="0" w:line="258" w:lineRule="auto"/>
        <w:tabs>
          <w:tab w:leader="none" w:pos="20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2.08</w:t>
        <w:tab/>
        <w:t>Cancellation.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2.09</w:t>
        <w:tab/>
        <w:t>Benefits of Indenture.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9" w:lineRule="exact"/>
        <w:rPr>
          <w:sz w:val="20"/>
          <w:szCs w:val="20"/>
          <w:color w:val="auto"/>
        </w:rPr>
      </w:pPr>
    </w:p>
    <w:p>
      <w:pPr>
        <w:ind w:right="40" w:firstLine="1304"/>
        <w:spacing w:after="0" w:line="274" w:lineRule="auto"/>
        <w:tabs>
          <w:tab w:leader="none" w:pos="204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2" w:lineRule="exact"/>
        <w:rPr>
          <w:rFonts w:ascii="Times New Roman" w:cs="Times New Roman" w:eastAsia="Times New Roman" w:hAnsi="Times New Roman"/>
          <w:sz w:val="17"/>
          <w:szCs w:val="17"/>
          <w:color w:val="auto"/>
        </w:rPr>
      </w:pPr>
    </w:p>
    <w:p>
      <w:pPr>
        <w:ind w:right="60" w:firstLine="1304"/>
        <w:spacing w:after="0" w:line="266" w:lineRule="auto"/>
        <w:tabs>
          <w:tab w:leader="none" w:pos="20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firstLine="1304"/>
        <w:spacing w:after="0" w:line="252" w:lineRule="auto"/>
        <w:tabs>
          <w:tab w:leader="none" w:pos="20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3.01</w:t>
        <w:tab/>
        <w:t>Redemption.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3.02</w:t>
        <w:tab/>
        <w:t>Notice of Redemption.</w:t>
      </w:r>
    </w:p>
    <w:p>
      <w:pPr>
        <w:spacing w:after="0" w:line="229" w:lineRule="exact"/>
        <w:rPr>
          <w:sz w:val="20"/>
          <w:szCs w:val="20"/>
          <w:color w:val="auto"/>
        </w:rPr>
      </w:pPr>
    </w:p>
    <w:p>
      <w:pPr>
        <w:ind w:right="40" w:firstLine="1304"/>
        <w:spacing w:after="0" w:line="253" w:lineRule="auto"/>
        <w:tabs>
          <w:tab w:leader="none" w:pos="20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right="40" w:firstLine="1304"/>
        <w:spacing w:after="0" w:line="253" w:lineRule="auto"/>
        <w:tabs>
          <w:tab w:leader="none" w:pos="20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3.03</w:t>
        <w:tab/>
        <w:t>Payment Upon Redemption.</w:t>
      </w:r>
    </w:p>
    <w:p>
      <w:pPr>
        <w:spacing w:after="0" w:line="229" w:lineRule="exact"/>
        <w:rPr>
          <w:sz w:val="20"/>
          <w:szCs w:val="20"/>
          <w:color w:val="auto"/>
        </w:rPr>
      </w:pPr>
    </w:p>
    <w:p>
      <w:pPr>
        <w:ind w:right="40" w:firstLine="1304"/>
        <w:spacing w:after="0" w:line="254" w:lineRule="auto"/>
        <w:tabs>
          <w:tab w:leader="none" w:pos="20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3.04</w:t>
        <w:tab/>
        <w:t>Sinking Fund.</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Company will deliver to the Trustee an Officer’s Certificate specifying the amount of the next ensuing sinking fund payment for that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series, the portion thereof, if any, that is to be satisfied by delivering and crediting Securities of that series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 and the basis for such credit and will, together with such Officer’s Certificate, deliver to the Trustee any Securities to be so delivered.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30 days before each such sinking fund payment date the Trustee shall select the Securities to be redeemed upon such sinking fund payment date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specified in Section 3.02 and cause notice of the redemption thereof to be given in the name of and at the expense of the Company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Section 3.02. Such notice having been duly given, the redemption of such Securities shall be made upon the terms and in the manner stated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7"/>
          <w:szCs w:val="17"/>
          <w:b w:val="1"/>
          <w:bCs w:val="1"/>
          <w:color w:val="auto"/>
        </w:rPr>
        <w:t>Maintenance of Office or Agency.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4.03</w:t>
      </w:r>
      <w:r>
        <w:rPr>
          <w:sz w:val="20"/>
          <w:szCs w:val="20"/>
          <w:color w:val="auto"/>
        </w:rPr>
        <w:tab/>
      </w:r>
      <w:r>
        <w:rPr>
          <w:rFonts w:ascii="Times New Roman" w:cs="Times New Roman" w:eastAsia="Times New Roman" w:hAnsi="Times New Roman"/>
          <w:sz w:val="17"/>
          <w:szCs w:val="17"/>
          <w:b w:val="1"/>
          <w:bCs w:val="1"/>
          <w:color w:val="auto"/>
        </w:rPr>
        <w:t>Paying Agents.</w:t>
      </w:r>
    </w:p>
    <w:p>
      <w:pPr>
        <w:spacing w:after="0" w:line="229" w:lineRule="exact"/>
        <w:rPr>
          <w:sz w:val="20"/>
          <w:szCs w:val="20"/>
          <w:color w:val="auto"/>
        </w:rPr>
      </w:pPr>
    </w:p>
    <w:p>
      <w:pPr>
        <w:ind w:right="60" w:firstLine="1304"/>
        <w:spacing w:after="0" w:line="266" w:lineRule="auto"/>
        <w:tabs>
          <w:tab w:leader="none" w:pos="20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left="660" w:right="100" w:firstLine="1292"/>
        <w:spacing w:after="0" w:line="266" w:lineRule="auto"/>
        <w:tabs>
          <w:tab w:leader="none" w:pos="26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660" w:right="100" w:firstLine="1292"/>
        <w:spacing w:after="0" w:line="282" w:lineRule="auto"/>
        <w:tabs>
          <w:tab w:leader="none" w:pos="270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660" w:right="60" w:firstLine="1292"/>
        <w:spacing w:after="0" w:line="282" w:lineRule="auto"/>
        <w:tabs>
          <w:tab w:leader="none" w:pos="26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ind w:firstLine="1304"/>
        <w:spacing w:after="0" w:line="254" w:lineRule="auto"/>
        <w:tabs>
          <w:tab w:leader="none" w:pos="20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ind w:right="160" w:firstLine="1304"/>
        <w:spacing w:after="0" w:line="256" w:lineRule="auto"/>
        <w:tabs>
          <w:tab w:leader="none" w:pos="20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4.04</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4.05</w:t>
        <w:tab/>
        <w:t>Compliance with Consolidation Provisions.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Company to Furnish Trustee Names and Addresses of Securityholders.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ind w:right="240" w:firstLine="1304"/>
        <w:spacing w:after="0" w:line="266" w:lineRule="auto"/>
        <w:tabs>
          <w:tab w:leader="none" w:pos="20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20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ind w:right="60" w:firstLine="1304"/>
        <w:spacing w:after="0" w:line="253" w:lineRule="auto"/>
        <w:tabs>
          <w:tab w:leader="none" w:pos="20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left="-8" w:right="220" w:firstLine="1304"/>
        <w:spacing w:after="0" w:line="261" w:lineRule="auto"/>
        <w:tabs>
          <w:tab w:leader="none" w:pos="20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76" w:lineRule="exact"/>
        <w:rPr>
          <w:sz w:val="20"/>
          <w:szCs w:val="20"/>
          <w:color w:val="auto"/>
        </w:rPr>
      </w:pPr>
    </w:p>
    <w:p>
      <w:pPr>
        <w:ind w:left="652"/>
        <w:spacing w:after="0"/>
        <w:tabs>
          <w:tab w:leader="none" w:pos="1812"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ind w:left="-8" w:right="40" w:firstLine="1304"/>
        <w:spacing w:after="0" w:line="266" w:lineRule="auto"/>
        <w:tabs>
          <w:tab w:leader="none" w:pos="203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2052" w:hanging="756"/>
        <w:spacing w:after="0"/>
        <w:tabs>
          <w:tab w:leader="none" w:pos="205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8" w:right="120" w:firstLine="8"/>
        <w:spacing w:after="0" w:line="266" w:lineRule="auto"/>
        <w:tabs>
          <w:tab w:leader="none" w:pos="23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112"/>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652"/>
        <w:spacing w:after="0"/>
        <w:tabs>
          <w:tab w:leader="none" w:pos="1812" w:val="left"/>
        </w:tabs>
        <w:rPr>
          <w:sz w:val="20"/>
          <w:szCs w:val="20"/>
          <w:color w:val="auto"/>
        </w:rPr>
      </w:pPr>
      <w:r>
        <w:rPr>
          <w:rFonts w:ascii="Times New Roman" w:cs="Times New Roman" w:eastAsia="Times New Roman" w:hAnsi="Times New Roman"/>
          <w:sz w:val="18"/>
          <w:szCs w:val="18"/>
          <w:b w:val="1"/>
          <w:bCs w:val="1"/>
          <w:color w:val="auto"/>
        </w:rPr>
        <w:t>Section 6.01</w:t>
        <w:tab/>
        <w:t>Events of Default.</w:t>
      </w:r>
    </w:p>
    <w:p>
      <w:pPr>
        <w:spacing w:after="0" w:line="229" w:lineRule="exact"/>
        <w:rPr>
          <w:sz w:val="20"/>
          <w:szCs w:val="20"/>
          <w:color w:val="auto"/>
        </w:rPr>
      </w:pPr>
    </w:p>
    <w:p>
      <w:pPr>
        <w:ind w:left="-8" w:right="540" w:firstLine="1304"/>
        <w:spacing w:after="0" w:line="282" w:lineRule="auto"/>
        <w:tabs>
          <w:tab w:leader="none" w:pos="20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ind w:left="652" w:right="120" w:firstLine="1292"/>
        <w:spacing w:after="0" w:line="261" w:lineRule="auto"/>
        <w:tabs>
          <w:tab w:leader="none" w:pos="268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9" w:lineRule="exact"/>
        <w:rPr>
          <w:rFonts w:ascii="Times New Roman" w:cs="Times New Roman" w:eastAsia="Times New Roman" w:hAnsi="Times New Roman"/>
          <w:sz w:val="18"/>
          <w:szCs w:val="18"/>
          <w:color w:val="auto"/>
        </w:rPr>
      </w:pPr>
    </w:p>
    <w:p>
      <w:pPr>
        <w:ind w:left="652" w:firstLine="1292"/>
        <w:spacing w:after="0" w:line="258" w:lineRule="auto"/>
        <w:tabs>
          <w:tab w:leader="none" w:pos="269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3" w:lineRule="exact"/>
        <w:rPr>
          <w:rFonts w:ascii="Times New Roman" w:cs="Times New Roman" w:eastAsia="Times New Roman" w:hAnsi="Times New Roman"/>
          <w:sz w:val="18"/>
          <w:szCs w:val="18"/>
          <w:color w:val="auto"/>
        </w:rPr>
      </w:pPr>
    </w:p>
    <w:p>
      <w:pPr>
        <w:ind w:left="652" w:firstLine="1292"/>
        <w:spacing w:after="0" w:line="256" w:lineRule="auto"/>
        <w:tabs>
          <w:tab w:leader="none" w:pos="268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99" w:name="page100"/>
    <w:bookmarkEnd w:id="99"/>
    <w:p>
      <w:pPr>
        <w:jc w:val="both"/>
        <w:ind w:left="640" w:right="20" w:firstLine="1292"/>
        <w:spacing w:after="0" w:line="266" w:lineRule="auto"/>
        <w:tabs>
          <w:tab w:leader="none" w:pos="268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ind w:left="640" w:right="140" w:firstLine="1292"/>
        <w:spacing w:after="0" w:line="266" w:lineRule="auto"/>
        <w:tabs>
          <w:tab w:leader="none" w:pos="267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20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color w:val="auto"/>
        </w:rPr>
      </w:pPr>
    </w:p>
    <w:p>
      <w:pPr>
        <w:ind w:left="-20" w:firstLine="1304"/>
        <w:spacing w:after="0" w:line="253" w:lineRule="auto"/>
        <w:tabs>
          <w:tab w:leader="none" w:pos="201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20" w:right="20" w:firstLine="1304"/>
        <w:spacing w:after="0" w:line="258" w:lineRule="auto"/>
        <w:tabs>
          <w:tab w:leader="none" w:pos="20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ind w:left="-20" w:right="100" w:firstLine="1304"/>
        <w:spacing w:after="0" w:line="271" w:lineRule="auto"/>
        <w:tabs>
          <w:tab w:leader="none" w:pos="202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00" w:name="page101"/>
    <w:bookmarkEnd w:id="100"/>
    <w:p>
      <w:pPr>
        <w:ind w:right="20" w:firstLine="1304"/>
        <w:spacing w:after="0" w:line="258" w:lineRule="auto"/>
        <w:tabs>
          <w:tab w:leader="none" w:pos="20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firstLine="1304"/>
        <w:spacing w:after="0" w:line="271" w:lineRule="auto"/>
        <w:tabs>
          <w:tab w:leader="none" w:pos="204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3" w:lineRule="exact"/>
        <w:rPr>
          <w:rFonts w:ascii="Times New Roman" w:cs="Times New Roman" w:eastAsia="Times New Roman" w:hAnsi="Times New Roman"/>
          <w:sz w:val="17"/>
          <w:szCs w:val="17"/>
          <w:color w:val="auto"/>
        </w:rPr>
      </w:pPr>
    </w:p>
    <w:p>
      <w:pPr>
        <w:ind w:right="40" w:firstLine="1304"/>
        <w:spacing w:after="0" w:line="258" w:lineRule="auto"/>
        <w:tabs>
          <w:tab w:leader="none" w:pos="20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7"/>
          <w:szCs w:val="17"/>
          <w:b w:val="1"/>
          <w:bCs w:val="1"/>
          <w:color w:val="auto"/>
        </w:rPr>
        <w:t>Application of Moneys Collected.</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FIRST: To the payment of all indebtedness of the Company to which such series of Securities is subordinated to the extent required by Section 7.06 and any subordination terms of the series specified as contemplated by Article Fourteen;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6.04</w:t>
        <w:tab/>
        <w:t>Limitation on Suits.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ind w:right="80" w:firstLine="1304"/>
        <w:spacing w:after="0" w:line="261" w:lineRule="auto"/>
        <w:tabs>
          <w:tab w:leader="none" w:pos="20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20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6.06</w:t>
        <w:tab/>
        <w:t>Control by Securityholders.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ind w:firstLine="1304"/>
        <w:spacing w:after="0" w:line="256" w:lineRule="auto"/>
        <w:tabs>
          <w:tab w:leader="none" w:pos="204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left="-40" w:right="440" w:firstLine="1304"/>
        <w:spacing w:after="0" w:line="282" w:lineRule="auto"/>
        <w:tabs>
          <w:tab w:leader="none" w:pos="200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620" w:right="80" w:firstLine="1292"/>
        <w:spacing w:after="0" w:line="282" w:lineRule="auto"/>
        <w:tabs>
          <w:tab w:leader="none" w:pos="265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color w:val="auto"/>
        </w:rPr>
      </w:pPr>
    </w:p>
    <w:p>
      <w:pPr>
        <w:jc w:val="both"/>
        <w:ind w:left="620" w:right="20" w:firstLine="1940"/>
        <w:spacing w:after="0" w:line="261" w:lineRule="auto"/>
        <w:tabs>
          <w:tab w:leader="none" w:pos="3354"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color w:val="auto"/>
        </w:rPr>
      </w:pPr>
    </w:p>
    <w:p>
      <w:pPr>
        <w:ind w:left="620" w:right="160" w:firstLine="1940"/>
        <w:spacing w:after="0" w:line="258" w:lineRule="auto"/>
        <w:tabs>
          <w:tab w:leader="none" w:pos="3344"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left="620" w:right="180" w:firstLine="1292"/>
        <w:spacing w:after="0" w:line="282" w:lineRule="auto"/>
        <w:tabs>
          <w:tab w:leader="none" w:pos="266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620" w:right="40" w:firstLine="1292"/>
        <w:spacing w:after="0" w:line="261" w:lineRule="auto"/>
        <w:tabs>
          <w:tab w:leader="none" w:pos="265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ind w:left="620" w:right="300" w:firstLine="1292"/>
        <w:spacing w:after="0" w:line="261" w:lineRule="auto"/>
        <w:tabs>
          <w:tab w:leader="none" w:pos="266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ind w:left="-40" w:right="300" w:firstLine="1304"/>
        <w:spacing w:after="0" w:line="266" w:lineRule="auto"/>
        <w:tabs>
          <w:tab w:leader="none" w:pos="20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40" w:right="440" w:firstLine="1304"/>
        <w:spacing w:after="0" w:line="266" w:lineRule="auto"/>
        <w:tabs>
          <w:tab w:leader="none" w:pos="19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40" w:right="100" w:firstLine="1304"/>
        <w:spacing w:after="0" w:line="282" w:lineRule="auto"/>
        <w:tabs>
          <w:tab w:leader="none" w:pos="20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left="-40" w:firstLine="1304"/>
        <w:spacing w:after="0" w:line="256" w:lineRule="auto"/>
        <w:tabs>
          <w:tab w:leader="none" w:pos="20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04" w:name="page105"/>
    <w:bookmarkEnd w:id="104"/>
    <w:p>
      <w:pPr>
        <w:ind w:firstLine="1304"/>
        <w:spacing w:after="0" w:line="282" w:lineRule="auto"/>
        <w:tabs>
          <w:tab w:leader="none" w:pos="20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1304"/>
        <w:spacing w:after="0" w:line="255" w:lineRule="auto"/>
        <w:tabs>
          <w:tab w:leader="none" w:pos="20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88" w:lineRule="exact"/>
        <w:rPr>
          <w:rFonts w:ascii="Times New Roman" w:cs="Times New Roman" w:eastAsia="Times New Roman" w:hAnsi="Times New Roman"/>
          <w:sz w:val="18"/>
          <w:szCs w:val="18"/>
          <w:color w:val="auto"/>
        </w:rPr>
      </w:pPr>
    </w:p>
    <w:p>
      <w:pPr>
        <w:ind w:firstLine="1304"/>
        <w:spacing w:after="0" w:line="266" w:lineRule="auto"/>
        <w:tabs>
          <w:tab w:leader="none" w:pos="20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20" w:firstLine="1304"/>
        <w:spacing w:after="0" w:line="258" w:lineRule="auto"/>
        <w:tabs>
          <w:tab w:leader="none" w:pos="20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140" w:firstLine="1304"/>
        <w:spacing w:after="0" w:line="266" w:lineRule="auto"/>
        <w:tabs>
          <w:tab w:leader="none" w:pos="20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right="60" w:firstLine="1304"/>
        <w:spacing w:after="0" w:line="253" w:lineRule="auto"/>
        <w:tabs>
          <w:tab w:leader="none" w:pos="21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05" w:name="page106"/>
    <w:bookmarkEnd w:id="105"/>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229" w:lineRule="exact"/>
        <w:rPr>
          <w:sz w:val="20"/>
          <w:szCs w:val="20"/>
          <w:color w:val="auto"/>
        </w:rPr>
      </w:pPr>
    </w:p>
    <w:p>
      <w:pPr>
        <w:ind w:right="40" w:firstLine="1304"/>
        <w:spacing w:after="0" w:line="282" w:lineRule="auto"/>
        <w:tabs>
          <w:tab w:leader="none" w:pos="204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ind w:right="240" w:firstLine="1304"/>
        <w:spacing w:after="0" w:line="266" w:lineRule="auto"/>
        <w:tabs>
          <w:tab w:leader="none" w:pos="204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7.04</w:t>
        <w:tab/>
        <w:t>May Hold Securities.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ind w:firstLine="1304"/>
        <w:spacing w:after="0" w:line="253" w:lineRule="auto"/>
        <w:tabs>
          <w:tab w:leader="none" w:pos="20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ind w:right="100" w:firstLine="1304"/>
        <w:spacing w:after="0" w:line="261" w:lineRule="auto"/>
        <w:tabs>
          <w:tab w:leader="none" w:pos="20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9" w:lineRule="exact"/>
        <w:rPr>
          <w:rFonts w:ascii="Times New Roman" w:cs="Times New Roman" w:eastAsia="Times New Roman" w:hAnsi="Times New Roman"/>
          <w:sz w:val="18"/>
          <w:szCs w:val="18"/>
          <w:color w:val="auto"/>
        </w:rPr>
      </w:pPr>
    </w:p>
    <w:p>
      <w:pPr>
        <w:ind w:right="180" w:firstLine="1304"/>
        <w:spacing w:after="0" w:line="258" w:lineRule="auto"/>
        <w:tabs>
          <w:tab w:leader="none" w:pos="20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7.07</w:t>
        <w:tab/>
        <w:t>Reliance on Officer’s Certificate.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ind w:firstLine="1304"/>
        <w:spacing w:after="0" w:line="254" w:lineRule="auto"/>
        <w:tabs>
          <w:tab w:leader="none" w:pos="204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left="2060" w:hanging="756"/>
        <w:spacing w:after="0"/>
        <w:tabs>
          <w:tab w:leader="none" w:pos="2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left="660" w:right="160" w:firstLine="1292"/>
        <w:spacing w:after="0" w:line="282" w:lineRule="auto"/>
        <w:tabs>
          <w:tab w:leader="none" w:pos="269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660" w:right="260" w:firstLine="1292"/>
        <w:spacing w:after="0" w:line="282" w:lineRule="auto"/>
        <w:tabs>
          <w:tab w:leader="none" w:pos="270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left="660" w:right="80" w:firstLine="1292"/>
        <w:spacing w:after="0" w:line="266" w:lineRule="auto"/>
        <w:tabs>
          <w:tab w:leader="none" w:pos="269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20" w:firstLine="1296"/>
        <w:spacing w:after="0" w:line="277" w:lineRule="auto"/>
        <w:rPr>
          <w:sz w:val="20"/>
          <w:szCs w:val="20"/>
          <w:color w:val="auto"/>
        </w:rPr>
      </w:pPr>
      <w:r>
        <w:rPr>
          <w:rFonts w:ascii="Times New Roman" w:cs="Times New Roman" w:eastAsia="Times New Roman" w:hAnsi="Times New Roman"/>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8" w:lineRule="exact"/>
        <w:rPr>
          <w:sz w:val="20"/>
          <w:szCs w:val="20"/>
          <w:color w:val="auto"/>
        </w:rPr>
      </w:pPr>
    </w:p>
    <w:p>
      <w:pPr>
        <w:ind w:firstLine="1304"/>
        <w:spacing w:after="0" w:line="266" w:lineRule="auto"/>
        <w:tabs>
          <w:tab w:leader="none" w:pos="204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380" w:firstLine="1304"/>
        <w:spacing w:after="0" w:line="266"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ind w:firstLine="1304"/>
        <w:spacing w:after="0" w:line="256" w:lineRule="auto"/>
        <w:tabs>
          <w:tab w:leader="none" w:pos="20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8" w:name="page109"/>
    <w:bookmarkEnd w:id="108"/>
    <w:p>
      <w:pPr>
        <w:ind w:firstLine="1304"/>
        <w:spacing w:after="0" w:line="252" w:lineRule="auto"/>
        <w:tabs>
          <w:tab w:leader="none" w:pos="20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color w:val="auto"/>
        </w:rPr>
      </w:pPr>
    </w:p>
    <w:p>
      <w:pPr>
        <w:ind w:right="140" w:firstLine="1304"/>
        <w:spacing w:after="0" w:line="312" w:lineRule="auto"/>
        <w:tabs>
          <w:tab w:leader="none" w:pos="204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9" w:lineRule="exact"/>
        <w:rPr>
          <w:rFonts w:ascii="Times New Roman" w:cs="Times New Roman" w:eastAsia="Times New Roman" w:hAnsi="Times New Roman"/>
          <w:sz w:val="17"/>
          <w:szCs w:val="17"/>
          <w:color w:val="auto"/>
        </w:rPr>
      </w:pPr>
    </w:p>
    <w:p>
      <w:pPr>
        <w:ind w:right="20" w:firstLine="1304"/>
        <w:spacing w:after="0" w:line="282" w:lineRule="auto"/>
        <w:tabs>
          <w:tab w:leader="none" w:pos="20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180" w:firstLine="1304"/>
        <w:spacing w:after="0" w:line="261" w:lineRule="auto"/>
        <w:tabs>
          <w:tab w:leader="none" w:pos="20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7"/>
          <w:szCs w:val="17"/>
          <w:b w:val="1"/>
          <w:bCs w:val="1"/>
          <w:color w:val="auto"/>
        </w:rPr>
        <w:t>Evidence of Action by Securityholders.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8.02</w:t>
        <w:tab/>
        <w:t>Proof of Execution by Securityholders.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2060" w:hanging="756"/>
        <w:spacing w:after="0"/>
        <w:tabs>
          <w:tab w:leader="none" w:pos="2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w:t>
      </w:r>
    </w:p>
    <w:p>
      <w:pPr>
        <w:spacing w:after="0" w:line="207" w:lineRule="exact"/>
        <w:rPr>
          <w:sz w:val="20"/>
          <w:szCs w:val="20"/>
          <w:color w:val="auto"/>
        </w:rPr>
      </w:pPr>
    </w:p>
    <w:p>
      <w:pPr>
        <w:ind w:left="2060" w:hanging="756"/>
        <w:spacing w:after="0"/>
        <w:tabs>
          <w:tab w:leader="none" w:pos="2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Registrar 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0" w:name="page111"/>
    <w:bookmarkEnd w:id="110"/>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8.04</w:t>
        <w:tab/>
        <w:t>Certain Securities Owned by Company Disregarded.</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8.05</w:t>
      </w:r>
      <w:r>
        <w:rPr>
          <w:sz w:val="20"/>
          <w:szCs w:val="20"/>
          <w:color w:val="auto"/>
        </w:rPr>
        <w:tab/>
      </w:r>
      <w:r>
        <w:rPr>
          <w:rFonts w:ascii="Times New Roman" w:cs="Times New Roman" w:eastAsia="Times New Roman" w:hAnsi="Times New Roman"/>
          <w:sz w:val="17"/>
          <w:szCs w:val="17"/>
          <w:b w:val="1"/>
          <w:bCs w:val="1"/>
          <w:color w:val="auto"/>
        </w:rPr>
        <w:t>Actions Binding on Future Securityholders.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2060" w:hanging="756"/>
        <w:spacing w:after="0"/>
        <w:tabs>
          <w:tab w:leader="none" w:pos="2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firstLine="1304"/>
        <w:spacing w:after="0" w:line="258" w:lineRule="auto"/>
        <w:tabs>
          <w:tab w:leader="none" w:pos="20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right="320" w:firstLine="1304"/>
        <w:spacing w:after="0" w:line="282" w:lineRule="auto"/>
        <w:tabs>
          <w:tab w:leader="none" w:pos="20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right="80" w:firstLine="1304"/>
        <w:spacing w:after="0" w:line="266" w:lineRule="auto"/>
        <w:tabs>
          <w:tab w:leader="none" w:pos="20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320" w:firstLine="1304"/>
        <w:spacing w:after="0" w:line="282" w:lineRule="auto"/>
        <w:tabs>
          <w:tab w:leader="none" w:pos="20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7"/>
          <w:szCs w:val="17"/>
          <w:b w:val="1"/>
          <w:bCs w:val="1"/>
          <w:color w:val="auto"/>
        </w:rPr>
        <w:t>Supplemental Indentures With Consent of Securityholders.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9.03</w:t>
        <w:tab/>
        <w:t>Effect of Supplemental Indentures.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7"/>
          <w:szCs w:val="17"/>
          <w:b w:val="1"/>
          <w:bCs w:val="1"/>
          <w:color w:val="auto"/>
        </w:rPr>
        <w:t>Company May Consolidate, Etc.</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w:t>
      </w: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10.02</w:t>
      </w:r>
      <w:r>
        <w:rPr>
          <w:sz w:val="20"/>
          <w:szCs w:val="20"/>
          <w:color w:val="auto"/>
        </w:rPr>
        <w:tab/>
      </w:r>
      <w:r>
        <w:rPr>
          <w:rFonts w:ascii="Times New Roman" w:cs="Times New Roman" w:eastAsia="Times New Roman" w:hAnsi="Times New Roman"/>
          <w:sz w:val="17"/>
          <w:szCs w:val="17"/>
          <w:b w:val="1"/>
          <w:bCs w:val="1"/>
          <w:color w:val="auto"/>
        </w:rPr>
        <w:t>Successor Entity Substituted.</w:t>
      </w:r>
    </w:p>
    <w:p>
      <w:pPr>
        <w:spacing w:after="0" w:line="229" w:lineRule="exact"/>
        <w:rPr>
          <w:sz w:val="20"/>
          <w:szCs w:val="20"/>
          <w:color w:val="auto"/>
        </w:rPr>
      </w:pPr>
    </w:p>
    <w:p>
      <w:pPr>
        <w:ind w:right="100" w:firstLine="1304"/>
        <w:spacing w:after="0" w:line="258" w:lineRule="auto"/>
        <w:tabs>
          <w:tab w:leader="none" w:pos="20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right="340" w:firstLine="1304"/>
        <w:spacing w:after="0" w:line="282" w:lineRule="auto"/>
        <w:tabs>
          <w:tab w:leader="none" w:pos="20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firstLine="1304"/>
        <w:spacing w:after="0" w:line="266" w:lineRule="auto"/>
        <w:tabs>
          <w:tab w:leader="none" w:pos="20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7"/>
          <w:szCs w:val="17"/>
          <w:b w:val="1"/>
          <w:bCs w:val="1"/>
          <w:color w:val="auto"/>
        </w:rPr>
        <w:t>Discharge of Obligations.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7"/>
          <w:szCs w:val="17"/>
          <w:b w:val="1"/>
          <w:bCs w:val="1"/>
          <w:color w:val="auto"/>
        </w:rPr>
        <w:t>Deposited Moneys to be Held in Trust.</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7"/>
          <w:szCs w:val="17"/>
          <w:b w:val="1"/>
          <w:bCs w:val="1"/>
          <w:color w:val="auto"/>
        </w:rPr>
        <w:t>Payment of Moneys Held by Paying Agents.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7"/>
          <w:szCs w:val="17"/>
          <w:b w:val="1"/>
          <w:bCs w:val="1"/>
          <w:color w:val="auto"/>
        </w:rPr>
        <w:t>Repayment to Company.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13.01</w:t>
      </w:r>
      <w:r>
        <w:rPr>
          <w:sz w:val="20"/>
          <w:szCs w:val="20"/>
          <w:color w:val="auto"/>
        </w:rPr>
        <w:tab/>
      </w:r>
      <w:r>
        <w:rPr>
          <w:rFonts w:ascii="Times New Roman" w:cs="Times New Roman" w:eastAsia="Times New Roman" w:hAnsi="Times New Roman"/>
          <w:sz w:val="17"/>
          <w:szCs w:val="17"/>
          <w:b w:val="1"/>
          <w:bCs w:val="1"/>
          <w:color w:val="auto"/>
        </w:rPr>
        <w:t>Effect on Successors and Assigns.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Actions by Successor.</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13.07</w:t>
      </w:r>
      <w:r>
        <w:rPr>
          <w:sz w:val="20"/>
          <w:szCs w:val="20"/>
          <w:color w:val="auto"/>
        </w:rPr>
        <w:tab/>
      </w:r>
      <w:r>
        <w:rPr>
          <w:rFonts w:ascii="Times New Roman" w:cs="Times New Roman" w:eastAsia="Times New Roman" w:hAnsi="Times New Roman"/>
          <w:sz w:val="17"/>
          <w:szCs w:val="17"/>
          <w:b w:val="1"/>
          <w:bCs w:val="1"/>
          <w:color w:val="auto"/>
        </w:rPr>
        <w:t>Certificates and Opinions as to Conditions Precedent.</w:t>
      </w:r>
    </w:p>
    <w:p>
      <w:pPr>
        <w:spacing w:after="0" w:line="229" w:lineRule="exact"/>
        <w:rPr>
          <w:sz w:val="20"/>
          <w:szCs w:val="20"/>
          <w:color w:val="auto"/>
        </w:rPr>
      </w:pPr>
    </w:p>
    <w:p>
      <w:pPr>
        <w:ind w:firstLine="1304"/>
        <w:spacing w:after="0" w:line="256" w:lineRule="auto"/>
        <w:tabs>
          <w:tab w:leader="none" w:pos="20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6" w:name="page117"/>
    <w:bookmarkEnd w:id="116"/>
    <w:p>
      <w:pPr>
        <w:ind w:right="40" w:firstLine="1304"/>
        <w:spacing w:after="0" w:line="261" w:lineRule="auto"/>
        <w:tabs>
          <w:tab w:leader="none" w:pos="20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w:t>
      </w:r>
    </w:p>
    <w:p>
      <w:pPr>
        <w:ind w:right="80" w:firstLine="8"/>
        <w:spacing w:after="0" w:line="253" w:lineRule="auto"/>
        <w:tabs>
          <w:tab w:leader="none" w:pos="2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13.10</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13.11</w:t>
      </w:r>
      <w:r>
        <w:rPr>
          <w:sz w:val="20"/>
          <w:szCs w:val="20"/>
          <w:color w:val="auto"/>
        </w:rPr>
        <w:tab/>
      </w:r>
      <w:r>
        <w:rPr>
          <w:rFonts w:ascii="Times New Roman" w:cs="Times New Roman" w:eastAsia="Times New Roman" w:hAnsi="Times New Roman"/>
          <w:sz w:val="17"/>
          <w:szCs w:val="17"/>
          <w:b w:val="1"/>
          <w:bCs w:val="1"/>
          <w:color w:val="auto"/>
        </w:rPr>
        <w:t>Separability.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13.12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7" w:name="page118"/>
    <w:bookmarkEnd w:id="11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14.01</w:t>
      </w:r>
      <w:r>
        <w:rPr>
          <w:sz w:val="20"/>
          <w:szCs w:val="20"/>
          <w:color w:val="auto"/>
        </w:rPr>
        <w:tab/>
      </w:r>
      <w:r>
        <w:rPr>
          <w:rFonts w:ascii="Times New Roman" w:cs="Times New Roman" w:eastAsia="Times New Roman" w:hAnsi="Times New Roman"/>
          <w:sz w:val="17"/>
          <w:szCs w:val="17"/>
          <w:b w:val="1"/>
          <w:bCs w:val="1"/>
          <w:color w:val="auto"/>
        </w:rPr>
        <w:t>Subordination Terms.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8890</wp:posOffset>
            </wp:positionV>
            <wp:extent cx="3206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8890</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980" w:top="900" w:right="8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398"/>
        </w:trPr>
        <w:tc>
          <w:tcPr>
            <w:tcW w:w="4160" w:type="dxa"/>
            <w:vAlign w:val="bottom"/>
          </w:tcPr>
          <w:p>
            <w:pPr>
              <w:spacing w:after="0"/>
              <w:rPr>
                <w:sz w:val="24"/>
                <w:szCs w:val="24"/>
                <w:color w:val="auto"/>
              </w:rPr>
            </w:pPr>
          </w:p>
        </w:tc>
        <w:tc>
          <w:tcPr>
            <w:tcW w:w="70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9"/>
                <w:szCs w:val="29"/>
                <w:b w:val="1"/>
                <w:bCs w:val="1"/>
                <w:color w:val="auto"/>
                <w:vertAlign w:val="superscript"/>
              </w:rPr>
              <w:t>(2)</w:t>
            </w:r>
          </w:p>
        </w:tc>
      </w:tr>
      <w:tr>
        <w:trPr>
          <w:trHeight w:val="309"/>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3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310(a)</w:t>
            </w: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5.02(1)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13.07(1)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7.01(1)</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4160" w:type="dxa"/>
            <w:vAlign w:val="bottom"/>
          </w:tcPr>
          <w:p>
            <w:pPr>
              <w:spacing w:after="0"/>
              <w:rPr>
                <w:sz w:val="18"/>
                <w:szCs w:val="18"/>
                <w:color w:val="auto"/>
              </w:rPr>
            </w:pP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08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0" w:lineRule="exact"/>
        <w:rPr>
          <w:rFonts w:ascii="Times New Roman" w:cs="Times New Roman" w:eastAsia="Times New Roman" w:hAnsi="Times New Roman"/>
          <w:sz w:val="30"/>
          <w:szCs w:val="30"/>
          <w:color w:val="auto"/>
          <w:vertAlign w:val="superscript"/>
        </w:rPr>
      </w:pPr>
    </w:p>
    <w:p>
      <w:pPr>
        <w:spacing w:after="0" w:line="213" w:lineRule="exact"/>
        <w:rPr>
          <w:rFonts w:ascii="Times New Roman" w:cs="Times New Roman" w:eastAsia="Times New Roman" w:hAnsi="Times New Roman"/>
          <w:sz w:val="30"/>
          <w:szCs w:val="30"/>
          <w:color w:val="auto"/>
          <w:vertAlign w:val="superscript"/>
        </w:rPr>
      </w:pPr>
    </w:p>
    <w:p>
      <w:pPr>
        <w:ind w:left="55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S-3ASR (as amended or supplemented,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pursuant to the Securities Act of 1933, as amended (the “Securities Act”), relating to the offering by Blueprint Medicines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Delaware corporation (the “Company”), of an indeterminate amount of any combination of (i) the Company’s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per share (“Common Stock”), (ii) the Company’s preferred stock, par value $0.001 per share (“Preferred Stock”), (iii) the Company’s debt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(iv) warrants to purchase Common Stock, Preferred Stock, Debt Securities or Units (as defined below) (“Warrants”), (v)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 Common Stock, Preferred Stock, Debt Securities, Stock Purchase Contracts (as defined below), Warrants and other securities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(“Units”), and (vi) purchase contracts of the Company, obligating the holders thereof to purchase from or sell to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sell to or purchase from such holders, Common Stock, Preferred Stock or other securities at a future date or dates (“Stock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The Common Stock, Preferred Stock, Debt Securities, Warrants, Units and Stock Purchase Contracts are sometimes referred to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the “Securities.” Securities may be issued in an unspecified number (with respect to Common Stock, Preferred Stock, Warrants, Units and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Contracts) or in an unspecified principal amount (with respect to Debt Securities). The Registration Statement provides that the Securities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separately or together, in separate series, in amounts, at prices and on terms to be set forth in one or more prospectus supplements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to the prospectus contained in the Registration Statement.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and Units and Purchase Contract Agreements,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or Stock Purchase Contract), as the case may be, then outstanding, will not exceed the total number of authorized shares of Common Stock or Preferred Stock, as applicable, then available for issuance under the Company’s certificate of incorporation as then in effect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Approval and Issuance” of Securities:</w:t>
      </w:r>
    </w:p>
    <w:p>
      <w:pPr>
        <w:spacing w:after="0" w:line="225" w:lineRule="exact"/>
        <w:rPr>
          <w:sz w:val="20"/>
          <w:szCs w:val="20"/>
          <w:color w:val="auto"/>
        </w:rPr>
      </w:pPr>
    </w:p>
    <w:p>
      <w:pPr>
        <w:ind w:left="1300" w:right="120" w:hanging="320"/>
        <w:spacing w:after="0" w:line="261"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179"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79"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179" w:lineRule="exact"/>
        <w:rPr>
          <w:rFonts w:ascii="Times New Roman" w:cs="Times New Roman" w:eastAsia="Times New Roman" w:hAnsi="Times New Roman"/>
          <w:sz w:val="18"/>
          <w:szCs w:val="18"/>
          <w:color w:val="auto"/>
        </w:rPr>
      </w:pPr>
    </w:p>
    <w:p>
      <w:pPr>
        <w:ind w:left="1300" w:right="240" w:hanging="320"/>
        <w:spacing w:after="0" w:line="289" w:lineRule="auto"/>
        <w:tabs>
          <w:tab w:leader="none" w:pos="13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Warrants, Units or Stock Purchase Contracts,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225" w:lineRule="exact"/>
        <w:rPr>
          <w:sz w:val="20"/>
          <w:szCs w:val="20"/>
          <w:color w:val="auto"/>
        </w:rPr>
      </w:pPr>
    </w:p>
    <w:p>
      <w:pPr>
        <w:ind w:left="1340" w:hanging="684"/>
        <w:spacing w:after="0"/>
        <w:tabs>
          <w:tab w:leader="none" w:pos="1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shares of Common Stock, such shares of Common Stock will be validly issued, fully paid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1340" w:hanging="684"/>
        <w:spacing w:after="0"/>
        <w:tabs>
          <w:tab w:leader="none" w:pos="13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Future Approval and Issuance of shares of Preferred Stock, such shares of Preferred Stock will be validly issued, fully paid and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nonassessable.</w:t>
      </w:r>
    </w:p>
    <w:p>
      <w:pPr>
        <w:spacing w:after="0" w:line="9" w:lineRule="exact"/>
        <w:rPr>
          <w:rFonts w:ascii="Times New Roman" w:cs="Times New Roman" w:eastAsia="Times New Roman" w:hAnsi="Times New Roman"/>
          <w:sz w:val="17"/>
          <w:szCs w:val="17"/>
          <w:color w:val="auto"/>
        </w:rPr>
      </w:pPr>
    </w:p>
    <w:p>
      <w:pPr>
        <w:ind w:left="1340" w:hanging="684"/>
        <w:spacing w:after="0"/>
        <w:tabs>
          <w:tab w:leader="none" w:pos="1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Debt Securities, such Debt Securities will be valid and binding obligations of the Company.</w:t>
      </w:r>
    </w:p>
    <w:p>
      <w:pPr>
        <w:spacing w:after="0" w:line="20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Warrants, such Warrants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Units, such Units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right="760" w:firstLine="656"/>
        <w:spacing w:after="0" w:line="282" w:lineRule="auto"/>
        <w:tabs>
          <w:tab w:leader="none" w:pos="132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Approval and Issuance of Stock Purchase Contracts, such Stock Purchase Contracts will be valid and binding obligations of the Company.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Blueprint Medicines Corporation for the registration of common stock, preferred stock, debt securities, purchase contracts, purchase units, and warrants and to the incorporation by reference therein of our reports dated February 16, 2023 with respect to the consolidated financial statements of Blueprint Medicines Corporation, and the effectiveness of internal control over financial reporting of Blueprint Medicines Corporation, included in its Annual Report (Form 10-K) for the year ended December 31, 2022,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Filing Fee</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Connection</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with Unsold</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1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r>
      <w:tr>
        <w:trPr>
          <w:trHeight w:val="135"/>
        </w:trPr>
        <w:tc>
          <w:tcPr>
            <w:tcW w:w="136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620" w:type="dxa"/>
            <w:vAlign w:val="bottom"/>
          </w:tcPr>
          <w:p>
            <w:pPr>
              <w:jc w:val="right"/>
              <w:ind w:right="43"/>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960" w:type="dxa"/>
            <w:vAlign w:val="bottom"/>
            <w:gridSpan w:val="3"/>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Forward File</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be Carried</w:t>
            </w:r>
          </w:p>
        </w:tc>
      </w:tr>
      <w:tr>
        <w:trPr>
          <w:trHeight w:val="155"/>
        </w:trPr>
        <w:tc>
          <w:tcPr>
            <w:tcW w:w="13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Security Class Title</w:t>
            </w: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16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Unit</w:t>
            </w: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Form Type</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8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effective date</w:t>
            </w: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Forward</w:t>
            </w:r>
          </w:p>
        </w:tc>
      </w:tr>
      <w:tr>
        <w:trPr>
          <w:trHeight w:val="20"/>
        </w:trPr>
        <w:tc>
          <w:tcPr>
            <w:tcW w:w="1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28"/>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3"/>
              </w:rPr>
              <w:t>Newly Registered</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22"/>
              <w:spacing w:after="0" w:line="129" w:lineRule="exact"/>
              <w:rPr>
                <w:sz w:val="20"/>
                <w:szCs w:val="20"/>
                <w:color w:val="auto"/>
              </w:rPr>
            </w:pPr>
            <w:r>
              <w:rPr>
                <w:rFonts w:ascii="Times New Roman" w:cs="Times New Roman" w:eastAsia="Times New Roman" w:hAnsi="Times New Roman"/>
                <w:sz w:val="13"/>
                <w:szCs w:val="13"/>
                <w:color w:val="auto"/>
                <w:w w:val="85"/>
              </w:rPr>
              <w:t>Securities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7"/>
        </w:trPr>
        <w:tc>
          <w:tcPr>
            <w:tcW w:w="13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Fees to Be Paid</w:t>
            </w:r>
          </w:p>
        </w:tc>
        <w:tc>
          <w:tcPr>
            <w:tcW w:w="6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2"/>
              </w:rPr>
              <w:t>Equity</w:t>
            </w:r>
          </w:p>
        </w:tc>
        <w:tc>
          <w:tcPr>
            <w:tcW w:w="11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7"/>
              </w:rPr>
              <w:t>Common Stock, par</w:t>
            </w:r>
          </w:p>
        </w:tc>
        <w:tc>
          <w:tcPr>
            <w:tcW w:w="8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40" w:type="dxa"/>
            <w:vAlign w:val="bottom"/>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gridSpan w:val="2"/>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8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40" w:type="dxa"/>
            <w:vAlign w:val="bottom"/>
            <w:gridSpan w:val="2"/>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value $0.001 per</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share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13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2"/>
              </w:rPr>
              <w:t>Equity</w:t>
            </w:r>
          </w:p>
        </w:tc>
        <w:tc>
          <w:tcPr>
            <w:tcW w:w="114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7"/>
              </w:rPr>
              <w:t>Preferred Stock, par</w:t>
            </w:r>
          </w:p>
        </w:tc>
        <w:tc>
          <w:tcPr>
            <w:tcW w:w="8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Borders>
              <w:right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value $0.001 per</w:t>
            </w:r>
          </w:p>
        </w:tc>
        <w:tc>
          <w:tcPr>
            <w:tcW w:w="8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share</w:t>
            </w: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360" w:type="dxa"/>
            <w:vAlign w:val="bottom"/>
          </w:tcPr>
          <w:p>
            <w:pPr>
              <w:spacing w:after="0"/>
              <w:rPr>
                <w:sz w:val="10"/>
                <w:szCs w:val="10"/>
                <w:color w:val="auto"/>
              </w:rPr>
            </w:pPr>
          </w:p>
        </w:tc>
        <w:tc>
          <w:tcPr>
            <w:tcW w:w="6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4"/>
              </w:rPr>
              <w:t>Debt</w:t>
            </w:r>
          </w:p>
        </w:tc>
        <w:tc>
          <w:tcPr>
            <w:tcW w:w="11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7"/>
              </w:rPr>
              <w:t>Debt Securities</w:t>
            </w:r>
          </w:p>
        </w:tc>
        <w:tc>
          <w:tcPr>
            <w:tcW w:w="8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40" w:type="dxa"/>
            <w:vAlign w:val="bottom"/>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gridSpan w:val="2"/>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8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40" w:type="dxa"/>
            <w:vAlign w:val="bottom"/>
            <w:gridSpan w:val="2"/>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13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4"/>
              </w:rPr>
              <w:t>Other</w:t>
            </w:r>
          </w:p>
        </w:tc>
        <w:tc>
          <w:tcPr>
            <w:tcW w:w="114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7"/>
              </w:rPr>
              <w:t>Purchase Contracts</w:t>
            </w:r>
          </w:p>
        </w:tc>
        <w:tc>
          <w:tcPr>
            <w:tcW w:w="8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Borders>
              <w:right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360" w:type="dxa"/>
            <w:vAlign w:val="bottom"/>
          </w:tcPr>
          <w:p>
            <w:pPr>
              <w:spacing w:after="0"/>
              <w:rPr>
                <w:sz w:val="10"/>
                <w:szCs w:val="10"/>
                <w:color w:val="auto"/>
              </w:rPr>
            </w:pPr>
          </w:p>
        </w:tc>
        <w:tc>
          <w:tcPr>
            <w:tcW w:w="6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4"/>
              </w:rPr>
              <w:t>Other</w:t>
            </w:r>
          </w:p>
        </w:tc>
        <w:tc>
          <w:tcPr>
            <w:tcW w:w="11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3"/>
                <w:szCs w:val="13"/>
                <w:color w:val="auto"/>
                <w:w w:val="96"/>
              </w:rPr>
              <w:t>Purchase Units</w:t>
            </w:r>
          </w:p>
        </w:tc>
        <w:tc>
          <w:tcPr>
            <w:tcW w:w="8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10"/>
                <w:szCs w:val="10"/>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640" w:type="dxa"/>
            <w:vAlign w:val="bottom"/>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gridSpan w:val="2"/>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8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40" w:type="dxa"/>
            <w:vAlign w:val="bottom"/>
            <w:gridSpan w:val="2"/>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13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4"/>
              </w:rPr>
              <w:t>Other</w:t>
            </w:r>
          </w:p>
        </w:tc>
        <w:tc>
          <w:tcPr>
            <w:tcW w:w="114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3"/>
                <w:szCs w:val="13"/>
                <w:color w:val="auto"/>
                <w:w w:val="96"/>
              </w:rPr>
              <w:t>Warrants</w:t>
            </w:r>
          </w:p>
        </w:tc>
        <w:tc>
          <w:tcPr>
            <w:tcW w:w="82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5"/>
              </w:rPr>
              <w:t>Rule 456(b)</w:t>
            </w:r>
          </w:p>
        </w:tc>
        <w:tc>
          <w:tcPr>
            <w:tcW w:w="620" w:type="dxa"/>
            <w:vAlign w:val="bottom"/>
            <w:tcBorders>
              <w:right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0"/>
                <w:szCs w:val="10"/>
                <w:color w:val="auto"/>
              </w:rPr>
              <w:t>(1)</w:t>
            </w:r>
          </w:p>
        </w:tc>
        <w:tc>
          <w:tcPr>
            <w:tcW w:w="8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32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457(r)</w:t>
            </w: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5"/>
        </w:trPr>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Fees Previously Paid</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4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gridSpan w:val="4"/>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4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76"/>
        </w:trPr>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4"/>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3"/>
                <w:szCs w:val="13"/>
                <w:color w:val="auto"/>
                <w:w w:val="94"/>
              </w:rPr>
              <w:t>Total Offering Amount</w:t>
            </w:r>
            <w:r>
              <w:rPr>
                <w:rFonts w:ascii="Times New Roman" w:cs="Times New Roman" w:eastAsia="Times New Roman" w:hAnsi="Times New Roman"/>
                <w:sz w:val="20"/>
                <w:szCs w:val="20"/>
                <w:color w:val="auto"/>
                <w:w w:val="94"/>
                <w:vertAlign w:val="superscript"/>
              </w:rPr>
              <w:t>(3)</w:t>
            </w:r>
          </w:p>
        </w:tc>
        <w:tc>
          <w:tcPr>
            <w:tcW w:w="6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35"/>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5"/>
              </w:rPr>
              <w:t>Total Fees Previously Paid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gridSpan w:val="4"/>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Total Fee Offsets</w:t>
            </w: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4"/>
        </w:trPr>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color w:val="auto"/>
                <w:w w:val="94"/>
              </w:rPr>
              <w:t>Net Fee Due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82" w:lineRule="exact"/>
        <w:rPr>
          <w:sz w:val="20"/>
          <w:szCs w:val="20"/>
          <w:color w:val="auto"/>
        </w:rPr>
      </w:pPr>
    </w:p>
    <w:p>
      <w:pPr>
        <w:ind w:left="300" w:right="40" w:hanging="252"/>
        <w:spacing w:after="0" w:line="228" w:lineRule="auto"/>
        <w:tabs>
          <w:tab w:leader="none" w:pos="3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06" w:lineRule="exact"/>
        <w:rPr>
          <w:rFonts w:ascii="Times New Roman" w:cs="Times New Roman" w:eastAsia="Times New Roman" w:hAnsi="Times New Roman"/>
          <w:sz w:val="13"/>
          <w:szCs w:val="13"/>
          <w:color w:val="auto"/>
        </w:rPr>
      </w:pPr>
    </w:p>
    <w:p>
      <w:pPr>
        <w:ind w:left="300" w:hanging="252"/>
        <w:spacing w:after="0"/>
        <w:tabs>
          <w:tab w:leader="none" w:pos="30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Rules 456(b) and 457(r) under the Securities Act, the registrant is deferring payment of all registration fees and will pay the registration fees subsequently in advance or on a “pay-as-you-go” basis.</w:t>
      </w:r>
    </w:p>
    <w:p>
      <w:pPr>
        <w:spacing w:after="0" w:line="132" w:lineRule="exact"/>
        <w:rPr>
          <w:rFonts w:ascii="Times New Roman" w:cs="Times New Roman" w:eastAsia="Times New Roman" w:hAnsi="Times New Roman"/>
          <w:sz w:val="12"/>
          <w:szCs w:val="12"/>
          <w:color w:val="auto"/>
        </w:rPr>
      </w:pPr>
    </w:p>
    <w:p>
      <w:pPr>
        <w:ind w:left="300" w:hanging="252"/>
        <w:spacing w:after="0"/>
        <w:tabs>
          <w:tab w:leader="none" w:pos="3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1)"/>
      <w:numFmt w:val="decimal"/>
      <w:start w:val="1"/>
    </w:lvl>
  </w:abstractNum>
  <w:abstractNum w:abstractNumId="25">
    <w:nsid w:val="42963E5A"/>
    <w:multiLevelType w:val="hybridMultilevel"/>
    <w:lvl w:ilvl="0">
      <w:lvlJc w:val="left"/>
      <w:lvlText w:val="(%1)"/>
      <w:numFmt w:val="decimal"/>
      <w:start w:val="1"/>
    </w:lvl>
    <w:lvl w:ilvl="1">
      <w:lvlJc w:val="left"/>
      <w:lvlText w:val="(%2)"/>
      <w:numFmt w:val="lowerRoman"/>
      <w:start w:val="1"/>
    </w:lvl>
  </w:abstractNum>
  <w:abstractNum w:abstractNumId="26">
    <w:nsid w:val="A0382C5"/>
    <w:multiLevelType w:val="hybridMultilevel"/>
    <w:lvl w:ilvl="0">
      <w:lvlJc w:val="left"/>
      <w:lvlText w:val="(%1)"/>
      <w:numFmt w:val="decimal"/>
      <w:start w:val="2"/>
    </w:lvl>
    <w:lvl w:ilvl="1">
      <w:lvlJc w:val="left"/>
      <w:lvlText w:val="(%2)"/>
      <w:numFmt w:val="lowerRoman"/>
      <w:start w:val="1"/>
    </w:lvl>
  </w:abstractNum>
  <w:abstractNum w:abstractNumId="27">
    <w:nsid w:val="8F2B15E"/>
    <w:multiLevelType w:val="hybridMultilevel"/>
    <w:lvl w:ilvl="0">
      <w:lvlJc w:val="left"/>
      <w:lvlText w:val="(%1)"/>
      <w:numFmt w:val="decimal"/>
      <w:start w:val="5"/>
    </w:lvl>
    <w:lvl w:ilvl="1">
      <w:lvlJc w:val="left"/>
      <w:lvlText w:val="(%2)"/>
      <w:numFmt w:val="lowerRoman"/>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1"/>
      <w:numFmt w:val="bullet"/>
      <w:start w:val="1"/>
    </w:lvl>
  </w:abstractNum>
  <w:abstractNum w:abstractNumId="34">
    <w:nsid w:val="14330624"/>
    <w:multiLevelType w:val="hybridMultilevel"/>
    <w:lvl w:ilvl="0">
      <w:lvlJc w:val="left"/>
      <w:lvlText w:val="(%1)"/>
      <w:numFmt w:val="decimal"/>
      <w:start w:val="1"/>
    </w:lvl>
  </w:abstractNum>
  <w:abstractNum w:abstractNumId="35">
    <w:nsid w:val="7FFFCA11"/>
    <w:multiLevelType w:val="hybridMultilevel"/>
    <w:lvl w:ilvl="0">
      <w:lvlJc w:val="left"/>
      <w:lvlText w:val="(%1)"/>
      <w:numFmt w:val="decimal"/>
      <w:start w:val="2"/>
    </w:lvl>
  </w:abstractNum>
  <w:abstractNum w:abstractNumId="36">
    <w:nsid w:val="1A27709E"/>
    <w:multiLevelType w:val="hybridMultilevel"/>
    <w:lvl w:ilvl="0">
      <w:lvlJc w:val="left"/>
      <w:lvlText w:val="(%1)"/>
      <w:numFmt w:val="decimal"/>
      <w:start w:val="3"/>
    </w:lvl>
  </w:abstractNum>
  <w:abstractNum w:abstractNumId="37">
    <w:nsid w:val="71EA1109"/>
    <w:multiLevelType w:val="hybridMultilevel"/>
    <w:lvl w:ilvl="0">
      <w:lvlJc w:val="left"/>
      <w:lvlText w:val="(%1)"/>
      <w:numFmt w:val="decimal"/>
      <w:start w:val="1"/>
    </w:lvl>
    <w:lvl w:ilvl="1">
      <w:lvlJc w:val="left"/>
      <w:lvlText w:val="(%2)"/>
      <w:numFmt w:val="lowerLetter"/>
      <w:start w:val="1"/>
    </w:lvl>
  </w:abstractNum>
  <w:abstractNum w:abstractNumId="38">
    <w:nsid w:val="100F59DC"/>
    <w:multiLevelType w:val="hybridMultilevel"/>
    <w:lvl w:ilvl="0">
      <w:lvlJc w:val="left"/>
      <w:lvlText w:val="(%1)"/>
      <w:numFmt w:val="lowerLetter"/>
      <w:start w:val="8"/>
    </w:lvl>
  </w:abstractNum>
  <w:abstractNum w:abstractNumId="39">
    <w:nsid w:val="7FB7E0AA"/>
    <w:multiLevelType w:val="hybridMultilevel"/>
    <w:lvl w:ilvl="0">
      <w:lvlJc w:val="left"/>
      <w:lvlText w:val="(%1)"/>
      <w:numFmt w:val="lowerLetter"/>
      <w:start w:val="19"/>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decimal"/>
      <w:start w:val="1"/>
    </w:lvl>
  </w:abstractNum>
  <w:abstractNum w:abstractNumId="42">
    <w:nsid w:val="94211F2"/>
    <w:multiLevelType w:val="hybridMultilevel"/>
    <w:lvl w:ilvl="0">
      <w:lvlJc w:val="left"/>
      <w:lvlText w:val="(%1)"/>
      <w:numFmt w:val="decimal"/>
      <w:start w:val="3"/>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1)"/>
      <w:numFmt w:val="decimal"/>
      <w:start w:val="2"/>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1"/>
    </w:lvl>
    <w:lvl w:ilvl="1">
      <w:lvlJc w:val="left"/>
      <w:lvlText w:val="(%2)"/>
      <w:numFmt w:val="lowerLetter"/>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2"/>
    </w:lvl>
  </w:abstractNum>
  <w:abstractNum w:abstractNumId="51">
    <w:nsid w:val="2DF6D648"/>
    <w:multiLevelType w:val="hybridMultilevel"/>
    <w:lvl w:ilvl="0">
      <w:lvlJc w:val="left"/>
      <w:lvlText w:val="(%1)"/>
      <w:numFmt w:val="decimal"/>
      <w:start w:val="1"/>
    </w:lvl>
  </w:abstractNum>
  <w:abstractNum w:abstractNumId="52">
    <w:nsid w:val="46B7D447"/>
    <w:multiLevelType w:val="hybridMultilevel"/>
    <w:lvl w:ilvl="0">
      <w:lvlJc w:val="left"/>
      <w:lvlText w:val="(%1)"/>
      <w:numFmt w:val="decimal"/>
      <w:start w:val="1"/>
    </w:lvl>
    <w:lvl w:ilvl="1">
      <w:lvlJc w:val="left"/>
      <w:lvlText w:val="(%2)"/>
      <w:numFmt w:val="lowerLetter"/>
      <w:start w:val="1"/>
    </w:lvl>
  </w:abstractNum>
  <w:abstractNum w:abstractNumId="53">
    <w:nsid w:val="4A2AC315"/>
    <w:multiLevelType w:val="hybridMultilevel"/>
    <w:lvl w:ilvl="0">
      <w:lvlJc w:val="left"/>
      <w:lvlText w:val="%1"/>
      <w:numFmt w:val="decimal"/>
      <w:start w:val="1"/>
    </w:lvl>
    <w:lvl w:ilvl="1">
      <w:lvlJc w:val="left"/>
      <w:lvlText w:val="(%2)"/>
      <w:numFmt w:val="lowerLetter"/>
      <w:start w:val="4"/>
    </w:lvl>
  </w:abstractNum>
  <w:abstractNum w:abstractNumId="54">
    <w:nsid w:val="39EE015C"/>
    <w:multiLevelType w:val="hybridMultilevel"/>
    <w:lvl w:ilvl="0">
      <w:lvlJc w:val="left"/>
      <w:lvlText w:val="(%1)"/>
      <w:numFmt w:val="decimal"/>
      <w:start w:val="2"/>
    </w:lvl>
    <w:lvl w:ilvl="1">
      <w:lvlJc w:val="left"/>
      <w:lvlText w:val="%2"/>
      <w:numFmt w:val="lowerLetter"/>
      <w:start w:val="1"/>
    </w:lvl>
  </w:abstractNum>
  <w:abstractNum w:abstractNumId="55">
    <w:nsid w:val="57FC4FBB"/>
    <w:multiLevelType w:val="hybridMultilevel"/>
    <w:lvl w:ilvl="0">
      <w:lvlJc w:val="left"/>
      <w:lvlText w:val="(%1)"/>
      <w:numFmt w:val="decimal"/>
      <w:start w:val="4"/>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2"/>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1"/>
    </w:lvl>
  </w:abstractNum>
  <w:abstractNum w:abstractNumId="60">
    <w:nsid w:val="7F01579B"/>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5"/>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1"/>
    </w:lvl>
  </w:abstractNum>
  <w:abstractNum w:abstractNumId="66">
    <w:nsid w:val="5FB8011C"/>
    <w:multiLevelType w:val="hybridMultilevel"/>
    <w:lvl w:ilvl="0">
      <w:lvlJc w:val="left"/>
      <w:lvlText w:val="(%1)"/>
      <w:numFmt w:val="decimal"/>
      <w:start w:val="2"/>
    </w:lvl>
    <w:lvl w:ilvl="1">
      <w:lvlJc w:val="left"/>
      <w:lvlText w:val="(%2)"/>
      <w:numFmt w:val="lowerLetter"/>
      <w:start w:val="1"/>
    </w:lvl>
  </w:abstractNum>
  <w:abstractNum w:abstractNumId="67">
    <w:nsid w:val="6AA78F7F"/>
    <w:multiLevelType w:val="hybridMultilevel"/>
    <w:lvl w:ilvl="0">
      <w:lvlJc w:val="left"/>
      <w:lvlText w:val="(%1)"/>
      <w:numFmt w:val="decimal"/>
      <w:start w:val="1"/>
    </w:lvl>
  </w:abstractNum>
  <w:abstractNum w:abstractNumId="68">
    <w:nsid w:val="7672BD23"/>
    <w:multiLevelType w:val="hybridMultilevel"/>
    <w:lvl w:ilvl="0">
      <w:lvlJc w:val="left"/>
      <w:lvlText w:val="(%1)"/>
      <w:numFmt w:val="decimal"/>
      <w:start w:val="3"/>
    </w:lvl>
  </w:abstractNum>
  <w:abstractNum w:abstractNumId="69">
    <w:nsid w:val="6FC75AF8"/>
    <w:multiLevelType w:val="hybridMultilevel"/>
    <w:lvl w:ilvl="0">
      <w:lvlJc w:val="left"/>
      <w:lvlText w:val="(%1)"/>
      <w:numFmt w:val="decimal"/>
      <w:start w:val="1"/>
    </w:lvl>
  </w:abstractNum>
  <w:abstractNum w:abstractNumId="70">
    <w:nsid w:val="6A5F7029"/>
    <w:multiLevelType w:val="hybridMultilevel"/>
    <w:lvl w:ilvl="0">
      <w:lvlJc w:val="left"/>
      <w:lvlText w:val="(%1)"/>
      <w:numFmt w:val="decimal"/>
      <w:start w:val="2"/>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1)"/>
      <w:numFmt w:val="decimal"/>
      <w:start w:val="5"/>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lowerRoman"/>
      <w:start w:val="1"/>
    </w:lvl>
    <w:lvl w:ilvl="1">
      <w:lvlJc w:val="left"/>
      <w:lvlText w:val="(%2)"/>
      <w:numFmt w:val="decimal"/>
      <w:start w:val="2"/>
    </w:lvl>
  </w:abstractNum>
  <w:abstractNum w:abstractNumId="76">
    <w:nsid w:val="3FA62ACA"/>
    <w:multiLevelType w:val="hybridMultilevel"/>
    <w:lvl w:ilvl="0">
      <w:lvlJc w:val="left"/>
      <w:lvlText w:val="(%1)"/>
      <w:numFmt w:val="lowerRoman"/>
      <w:start w:val="2"/>
    </w:lvl>
    <w:lvl w:ilvl="1">
      <w:lvlJc w:val="left"/>
      <w:lvlText w:val="%2"/>
      <w:numFmt w:val="decimal"/>
      <w:start w:val="1"/>
    </w:lvl>
  </w:abstractNum>
  <w:abstractNum w:abstractNumId="77">
    <w:nsid w:val="14FCE74E"/>
    <w:multiLevelType w:val="hybridMultilevel"/>
    <w:lvl w:ilvl="0">
      <w:lvlJc w:val="left"/>
      <w:lvlText w:val="2"/>
      <w:numFmt w:val="bullet"/>
      <w:start w:val="1"/>
    </w:lvl>
  </w:abstractNum>
  <w:abstractNum w:abstractNumId="78">
    <w:nsid w:val="6A3DD3E8"/>
    <w:multiLevelType w:val="hybridMultilevel"/>
    <w:lvl w:ilvl="0">
      <w:lvlJc w:val="left"/>
      <w:lvlText w:val="1"/>
      <w:numFmt w:val="bullet"/>
      <w:start w:val="1"/>
    </w:lvl>
  </w:abstractNum>
  <w:abstractNum w:abstractNumId="79">
    <w:nsid w:val="71C91298"/>
    <w:multiLevelType w:val="hybridMultilevel"/>
    <w:lvl w:ilvl="0">
      <w:lvlJc w:val="left"/>
      <w:lvlText w:val="(%1)"/>
      <w:numFmt w:val="decimal"/>
      <w:start w:val="1"/>
    </w:lvl>
  </w:abstractNum>
  <w:abstractNum w:abstractNumId="80">
    <w:nsid w:val="9DAF632"/>
    <w:multiLevelType w:val="hybridMultilevel"/>
    <w:lvl w:ilvl="0">
      <w:lvlJc w:val="left"/>
      <w:lvlText w:val="(%1)"/>
      <w:numFmt w:val="decimal"/>
      <w:start w:val="2"/>
    </w:lvl>
  </w:abstractNum>
  <w:abstractNum w:abstractNumId="81">
    <w:nsid w:val="53299938"/>
    <w:multiLevelType w:val="hybridMultilevel"/>
    <w:lvl w:ilvl="0">
      <w:lvlJc w:val="left"/>
      <w:lvlText w:val="(%1)"/>
      <w:numFmt w:val="decimal"/>
      <w:start w:val="3"/>
    </w:lvl>
  </w:abstractNum>
  <w:abstractNum w:abstractNumId="82">
    <w:nsid w:val="1FBFE8E0"/>
    <w:multiLevelType w:val="hybridMultilevel"/>
    <w:lvl w:ilvl="0">
      <w:lvlJc w:val="left"/>
      <w:lvlText w:val="(%1)"/>
      <w:numFmt w:val="decimal"/>
      <w:start w:val="1"/>
    </w:lvl>
    <w:lvl w:ilvl="1">
      <w:lvlJc w:val="left"/>
      <w:lvlText w:val="(%2)"/>
      <w:numFmt w:val="lowerLetter"/>
      <w:start w:val="1"/>
    </w:lvl>
  </w:abstractNum>
  <w:abstractNum w:abstractNumId="83">
    <w:nsid w:val="5092CA79"/>
    <w:multiLevelType w:val="hybridMultilevel"/>
    <w:lvl w:ilvl="0">
      <w:lvlJc w:val="left"/>
      <w:lvlText w:val="(%1)"/>
      <w:numFmt w:val="lowerLetter"/>
      <w:start w:val="8"/>
    </w:lvl>
  </w:abstractNum>
  <w:abstractNum w:abstractNumId="84">
    <w:nsid w:val="1D545C4D"/>
    <w:multiLevelType w:val="hybridMultilevel"/>
    <w:lvl w:ilvl="0">
      <w:lvlJc w:val="left"/>
      <w:lvlText w:val="(%1)"/>
      <w:numFmt w:val="lowerLetter"/>
      <w:start w:val="19"/>
    </w:lvl>
  </w:abstractNum>
  <w:abstractNum w:abstractNumId="85">
    <w:nsid w:val="59ADEA3D"/>
    <w:multiLevelType w:val="hybridMultilevel"/>
    <w:lvl w:ilvl="0">
      <w:lvlJc w:val="left"/>
      <w:lvlText w:val="(%1)"/>
      <w:numFmt w:val="decimal"/>
      <w:start w:val="1"/>
    </w:lvl>
  </w:abstractNum>
  <w:abstractNum w:abstractNumId="86">
    <w:nsid w:val="288F1A34"/>
    <w:multiLevelType w:val="hybridMultilevel"/>
    <w:lvl w:ilvl="0">
      <w:lvlJc w:val="left"/>
      <w:lvlText w:val="(%1)"/>
      <w:numFmt w:val="decimal"/>
      <w:start w:val="1"/>
    </w:lvl>
  </w:abstractNum>
  <w:abstractNum w:abstractNumId="87">
    <w:nsid w:val="2A155DBC"/>
    <w:multiLevelType w:val="hybridMultilevel"/>
    <w:lvl w:ilvl="0">
      <w:lvlJc w:val="left"/>
      <w:lvlText w:val="(%1)"/>
      <w:numFmt w:val="decimal"/>
      <w:start w:val="3"/>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decimal"/>
      <w:start w:val="1"/>
    </w:lvl>
  </w:abstractNum>
  <w:abstractNum w:abstractNumId="90">
    <w:nsid w:val="51088277"/>
    <w:multiLevelType w:val="hybridMultilevel"/>
    <w:lvl w:ilvl="0">
      <w:lvlJc w:val="left"/>
      <w:lvlText w:val="(%1)"/>
      <w:numFmt w:val="decimal"/>
      <w:start w:val="2"/>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1"/>
    </w:lvl>
    <w:lvl w:ilvl="1">
      <w:lvlJc w:val="left"/>
      <w:lvlText w:val="(%2)"/>
      <w:numFmt w:val="lowerLetter"/>
      <w:start w:val="1"/>
    </w:lvl>
  </w:abstractNum>
  <w:abstractNum w:abstractNumId="93">
    <w:nsid w:val="415E286C"/>
    <w:multiLevelType w:val="hybridMultilevel"/>
    <w:lvl w:ilvl="0">
      <w:lvlJc w:val="left"/>
      <w:lvlText w:val="(%1)"/>
      <w:numFmt w:val="decimal"/>
      <w:start w:val="1"/>
    </w:lvl>
  </w:abstractNum>
  <w:abstractNum w:abstractNumId="94">
    <w:nsid w:val="7C58FD05"/>
    <w:multiLevelType w:val="hybridMultilevel"/>
    <w:lvl w:ilvl="0">
      <w:lvlJc w:val="left"/>
      <w:lvlText w:val="(%1)"/>
      <w:numFmt w:val="decimal"/>
      <w:start w:val="1"/>
    </w:lvl>
  </w:abstractNum>
  <w:abstractNum w:abstractNumId="95">
    <w:nsid w:val="23D86AAC"/>
    <w:multiLevelType w:val="hybridMultilevel"/>
    <w:lvl w:ilvl="0">
      <w:lvlJc w:val="left"/>
      <w:lvlText w:val="(%1)"/>
      <w:numFmt w:val="decimal"/>
      <w:start w:val="2"/>
    </w:lvl>
  </w:abstractNum>
  <w:abstractNum w:abstractNumId="96">
    <w:nsid w:val="45E6D486"/>
    <w:multiLevelType w:val="hybridMultilevel"/>
    <w:lvl w:ilvl="0">
      <w:lvlJc w:val="left"/>
      <w:lvlText w:val="%1"/>
      <w:numFmt w:val="decimal"/>
      <w:start w:val="1"/>
    </w:lvl>
    <w:lvl w:ilvl="1">
      <w:lvlJc w:val="left"/>
      <w:lvlText w:val="(%2)"/>
      <w:numFmt w:val="decimal"/>
      <w:start w:val="1"/>
    </w:lvl>
  </w:abstractNum>
  <w:abstractNum w:abstractNumId="97">
    <w:nsid w:val="5C10FE21"/>
    <w:multiLevelType w:val="hybridMultilevel"/>
    <w:lvl w:ilvl="0">
      <w:lvlJc w:val="left"/>
      <w:lvlText w:val="(%1)"/>
      <w:numFmt w:val="decimal"/>
      <w:start w:val="3"/>
    </w:lvl>
    <w:lvl w:ilvl="1">
      <w:lvlJc w:val="left"/>
      <w:lvlText w:val="%2"/>
      <w:numFmt w:val="decimal"/>
      <w:start w:val="1"/>
    </w:lvl>
  </w:abstractNum>
  <w:abstractNum w:abstractNumId="98">
    <w:nsid w:val="E7FFA2B"/>
    <w:multiLevelType w:val="hybridMultilevel"/>
    <w:lvl w:ilvl="0">
      <w:lvlJc w:val="left"/>
      <w:lvlText w:val="(%1)"/>
      <w:numFmt w:val="decimal"/>
      <w:start w:val="1"/>
    </w:lvl>
    <w:lvl w:ilvl="1">
      <w:lvlJc w:val="left"/>
      <w:lvlText w:val="(%2)"/>
      <w:numFmt w:val="lowerLetter"/>
      <w:start w:val="1"/>
    </w:lvl>
  </w:abstractNum>
  <w:abstractNum w:abstractNumId="99">
    <w:nsid w:val="3C5991AA"/>
    <w:multiLevelType w:val="hybridMultilevel"/>
    <w:lvl w:ilvl="0">
      <w:lvlJc w:val="left"/>
      <w:lvlText w:val="%1"/>
      <w:numFmt w:val="decimal"/>
      <w:start w:val="1"/>
    </w:lvl>
    <w:lvl w:ilvl="1">
      <w:lvlJc w:val="left"/>
      <w:lvlText w:val="(%2)"/>
      <w:numFmt w:val="lowerLetter"/>
      <w:start w:val="4"/>
    </w:lvl>
  </w:abstractNum>
  <w:abstractNum w:abstractNumId="100">
    <w:nsid w:val="4BD8591A"/>
    <w:multiLevelType w:val="hybridMultilevel"/>
    <w:lvl w:ilvl="0">
      <w:lvlJc w:val="left"/>
      <w:lvlText w:val="(%1)"/>
      <w:numFmt w:val="decimal"/>
      <w:start w:val="2"/>
    </w:lvl>
    <w:lvl w:ilvl="1">
      <w:lvlJc w:val="left"/>
      <w:lvlText w:val="%2"/>
      <w:numFmt w:val="lowerLetter"/>
      <w:start w:val="1"/>
    </w:lvl>
  </w:abstractNum>
  <w:abstractNum w:abstractNumId="101">
    <w:nsid w:val="78DF6A55"/>
    <w:multiLevelType w:val="hybridMultilevel"/>
    <w:lvl w:ilvl="0">
      <w:lvlJc w:val="left"/>
      <w:lvlText w:val="(%1)"/>
      <w:numFmt w:val="decimal"/>
      <w:start w:val="4"/>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2"/>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decimal"/>
      <w:start w:val="1"/>
    </w:lvl>
  </w:abstractNum>
  <w:abstractNum w:abstractNumId="106">
    <w:nsid w:val="69E373"/>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07">
    <w:nsid w:val="2C27173B"/>
    <w:multiLevelType w:val="hybridMultilevel"/>
    <w:lvl w:ilvl="0">
      <w:lvlJc w:val="left"/>
      <w:lvlText w:val="(%1)"/>
      <w:numFmt w:val="decimal"/>
      <w:start w:val="1"/>
    </w:lvl>
  </w:abstractNum>
  <w:abstractNum w:abstractNumId="108">
    <w:nsid w:val="4C9B0904"/>
    <w:multiLevelType w:val="hybridMultilevel"/>
    <w:lvl w:ilvl="0">
      <w:lvlJc w:val="left"/>
      <w:lvlText w:val="(%1)"/>
      <w:numFmt w:val="decimal"/>
      <w:start w:val="5"/>
    </w:lvl>
  </w:abstractNum>
  <w:abstractNum w:abstractNumId="109">
    <w:nsid w:val="6AA7B75C"/>
    <w:multiLevelType w:val="hybridMultilevel"/>
    <w:lvl w:ilvl="0">
      <w:lvlJc w:val="left"/>
      <w:lvlText w:val="(%1)"/>
      <w:numFmt w:val="decimal"/>
      <w:start w:val="1"/>
    </w:lvl>
  </w:abstractNum>
  <w:abstractNum w:abstractNumId="110">
    <w:nsid w:val="1DF029D3"/>
    <w:multiLevelType w:val="hybridMultilevel"/>
    <w:lvl w:ilvl="0">
      <w:lvlJc w:val="left"/>
      <w:lvlText w:val="(%1)"/>
      <w:numFmt w:val="decimal"/>
      <w:start w:val="1"/>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1)"/>
      <w:numFmt w:val="decimal"/>
      <w:start w:val="2"/>
    </w:lvl>
    <w:lvl w:ilvl="1">
      <w:lvlJc w:val="left"/>
      <w:lvlText w:val="(%2)"/>
      <w:numFmt w:val="lowerLetter"/>
      <w:start w:val="1"/>
    </w:lvl>
  </w:abstractNum>
  <w:abstractNum w:abstractNumId="113">
    <w:nsid w:val="3DB012B3"/>
    <w:multiLevelType w:val="hybridMultilevel"/>
    <w:lvl w:ilvl="0">
      <w:lvlJc w:val="left"/>
      <w:lvlText w:val="(%1)"/>
      <w:numFmt w:val="decimal"/>
      <w:start w:val="3"/>
    </w:lvl>
  </w:abstractNum>
  <w:abstractNum w:abstractNumId="114">
    <w:nsid w:val="2708C9AF"/>
    <w:multiLevelType w:val="hybridMultilevel"/>
    <w:lvl w:ilvl="0">
      <w:lvlJc w:val="left"/>
      <w:lvlText w:val="(%1)"/>
      <w:numFmt w:val="decimal"/>
      <w:start w:val="1"/>
    </w:lvl>
  </w:abstractNum>
  <w:abstractNum w:abstractNumId="115">
    <w:nsid w:val="5B25ACE2"/>
    <w:multiLevelType w:val="hybridMultilevel"/>
    <w:lvl w:ilvl="0">
      <w:lvlJc w:val="left"/>
      <w:lvlText w:val="(%1)"/>
      <w:numFmt w:val="decimal"/>
      <w:start w:val="2"/>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2"/>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5"/>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lowerRoman"/>
      <w:start w:val="1"/>
    </w:lvl>
    <w:lvl w:ilvl="1">
      <w:lvlJc w:val="left"/>
      <w:lvlText w:val="(%2)"/>
      <w:numFmt w:val="decimal"/>
      <w:start w:val="2"/>
    </w:lvl>
  </w:abstractNum>
  <w:abstractNum w:abstractNumId="123">
    <w:nsid w:val="2C6E4AFD"/>
    <w:multiLevelType w:val="hybridMultilevel"/>
    <w:lvl w:ilvl="0">
      <w:lvlJc w:val="left"/>
      <w:lvlText w:val="(%1)"/>
      <w:numFmt w:val="lowerRoman"/>
      <w:start w:val="2"/>
    </w:lvl>
    <w:lvl w:ilvl="1">
      <w:lvlJc w:val="left"/>
      <w:lvlText w:val="%2"/>
      <w:numFmt w:val="decimal"/>
      <w:start w:val="1"/>
    </w:lvl>
  </w:abstractNum>
  <w:abstractNum w:abstractNumId="124">
    <w:nsid w:val="17A1B582"/>
    <w:multiLevelType w:val="hybridMultilevel"/>
    <w:lvl w:ilvl="0">
      <w:lvlJc w:val="left"/>
      <w:lvlText w:val="2"/>
      <w:numFmt w:val="bullet"/>
      <w:start w:val="1"/>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2"/>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20" Type="http://schemas.openxmlformats.org/officeDocument/2006/relationships/hyperlink" Target="https://www.sec.gov/ix?doc=/Archives/edgar/data/1597264/000155837023001465/bpmc-20221231x10k.htm" TargetMode="External"/><Relationship Id="rId23" Type="http://schemas.openxmlformats.org/officeDocument/2006/relationships/hyperlink" Target="http://www.sec.gov/ix?doc=/Archives/edgar/data/1597264/000155837022001316/bpmc-20211231x10k.htm" TargetMode="External"/><Relationship Id="rId24" Type="http://schemas.openxmlformats.org/officeDocument/2006/relationships/hyperlink" Target="http://www.sec.gov/Archives/edgar/data/1597264/000155837022006381/tmb-20220621xdef14a.htm" TargetMode="External"/><Relationship Id="rId25" Type="http://schemas.openxmlformats.org/officeDocument/2006/relationships/hyperlink" Target="http://www.sec.gov/ix?doc=/Archives/edgar/data/1597264/000110465923017984/tm236270d1_8k.htm" TargetMode="External"/><Relationship Id="rId26" Type="http://schemas.openxmlformats.org/officeDocument/2006/relationships/hyperlink" Target="http://www.sec.gov/Archives/edgar/data/1597264/000110465915030565/a15-4342_98a12b.htm" TargetMode="External"/><Relationship Id="rId67" Type="http://schemas.openxmlformats.org/officeDocument/2006/relationships/hyperlink" Target="http://www.sec.gov/Archives/edgar/data/1597264/000155837022001316/bpmc-20211231xex1d1.htm" TargetMode="External"/><Relationship Id="rId68" Type="http://schemas.openxmlformats.org/officeDocument/2006/relationships/hyperlink" Target="http://www.sec.gov/Archives/edgar/data/1597264/000155837015002529/bpmc-20150930ex3100367a3.htm" TargetMode="External"/><Relationship Id="rId69" Type="http://schemas.openxmlformats.org/officeDocument/2006/relationships/hyperlink" Target="http://www.sec.gov/Archives/edgar/data/1597264/000110465922124884/tm2231954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2023-02-17T06:41:42Z</dcterms:created>
  <dcterms:modified xsi:type="dcterms:W3CDTF">2023-02-17T06:41:42Z</dcterms:modified>
</cp:coreProperties>
</file>