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
        <w:spacing w:after="0"/>
        <w:rPr>
          <w:sz w:val="20"/>
          <w:szCs w:val="20"/>
          <w:color w:val="auto"/>
        </w:rPr>
      </w:pPr>
      <w:r>
        <w:rPr>
          <w:rFonts w:ascii="Arial" w:cs="Arial" w:eastAsia="Arial" w:hAnsi="Arial"/>
          <w:sz w:val="32"/>
          <w:szCs w:val="32"/>
          <w:b w:val="1"/>
          <w:bCs w:val="1"/>
          <w:color w:val="auto"/>
        </w:rPr>
        <w:t>UNITED STATES</w:t>
      </w:r>
    </w:p>
    <w:p>
      <w:pPr>
        <w:spacing w:after="0" w:line="33" w:lineRule="exact"/>
        <w:rPr>
          <w:sz w:val="24"/>
          <w:szCs w:val="24"/>
          <w:color w:val="auto"/>
        </w:rPr>
      </w:pPr>
    </w:p>
    <w:p>
      <w:pPr>
        <w:jc w:val="center"/>
        <w:ind w:right="-79"/>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2394585</wp:posOffset>
            </wp:positionH>
            <wp:positionV relativeFrom="paragraph">
              <wp:posOffset>210820</wp:posOffset>
            </wp:positionV>
            <wp:extent cx="160337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60337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8" w:lineRule="exact"/>
        <w:rPr>
          <w:sz w:val="24"/>
          <w:szCs w:val="24"/>
          <w:color w:val="auto"/>
        </w:rPr>
      </w:pPr>
    </w:p>
    <w:p>
      <w:pPr>
        <w:jc w:val="center"/>
        <w:ind w:right="-7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2394585</wp:posOffset>
            </wp:positionH>
            <wp:positionV relativeFrom="paragraph">
              <wp:posOffset>229870</wp:posOffset>
            </wp:positionV>
            <wp:extent cx="1603375"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603375"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66" w:lineRule="exact"/>
        <w:rPr>
          <w:sz w:val="24"/>
          <w:szCs w:val="24"/>
          <w:color w:val="auto"/>
        </w:rPr>
      </w:pPr>
    </w:p>
    <w:p>
      <w:pPr>
        <w:ind w:left="4020"/>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ind w:left="3560"/>
        <w:spacing w:after="0"/>
        <w:rPr>
          <w:sz w:val="20"/>
          <w:szCs w:val="20"/>
          <w:color w:val="auto"/>
        </w:rPr>
      </w:pPr>
      <w:r>
        <w:rPr>
          <w:rFonts w:ascii="Arial" w:cs="Arial" w:eastAsia="Arial" w:hAnsi="Arial"/>
          <w:sz w:val="22"/>
          <w:szCs w:val="22"/>
          <w:b w:val="1"/>
          <w:bCs w:val="1"/>
          <w:color w:val="auto"/>
        </w:rPr>
        <w:t>Pursuant to Section 13 or 15(d)</w:t>
      </w:r>
    </w:p>
    <w:p>
      <w:pPr>
        <w:jc w:val="center"/>
        <w:ind w:right="-79"/>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91"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May 3, 2017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2394585</wp:posOffset>
            </wp:positionH>
            <wp:positionV relativeFrom="paragraph">
              <wp:posOffset>223520</wp:posOffset>
            </wp:positionV>
            <wp:extent cx="160337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60337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28" w:lineRule="exact"/>
        <w:rPr>
          <w:sz w:val="24"/>
          <w:szCs w:val="24"/>
          <w:color w:val="auto"/>
        </w:rPr>
      </w:pPr>
    </w:p>
    <w:p>
      <w:pPr>
        <w:jc w:val="center"/>
        <w:ind w:right="-79"/>
        <w:spacing w:after="0"/>
        <w:rPr>
          <w:sz w:val="20"/>
          <w:szCs w:val="20"/>
          <w:color w:val="auto"/>
        </w:rPr>
      </w:pPr>
      <w:r>
        <w:rPr>
          <w:rFonts w:ascii="Arial" w:cs="Arial" w:eastAsia="Arial" w:hAnsi="Arial"/>
          <w:sz w:val="32"/>
          <w:szCs w:val="32"/>
          <w:b w:val="1"/>
          <w:bCs w:val="1"/>
          <w:color w:val="auto"/>
        </w:rPr>
        <w:t>Blueprint Medicines Corporation</w:t>
      </w:r>
    </w:p>
    <w:p>
      <w:pPr>
        <w:spacing w:after="0" w:line="40"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2394585</wp:posOffset>
            </wp:positionH>
            <wp:positionV relativeFrom="paragraph">
              <wp:posOffset>210820</wp:posOffset>
            </wp:positionV>
            <wp:extent cx="160337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603375" cy="8890"/>
                    </a:xfrm>
                    <a:prstGeom prst="rect">
                      <a:avLst/>
                    </a:prstGeom>
                    <a:noFill/>
                  </pic:spPr>
                </pic:pic>
              </a:graphicData>
            </a:graphic>
          </wp:anchor>
        </w:drawing>
      </w:r>
    </w:p>
    <w:p>
      <w:pPr>
        <w:sectPr>
          <w:pgSz w:w="11900" w:h="16838" w:orient="portrait"/>
          <w:cols w:equalWidth="0" w:num="1">
            <w:col w:w="9980"/>
          </w:cols>
          <w:pgMar w:left="920" w:top="206" w:right="99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51" w:lineRule="exact"/>
        <w:rPr>
          <w:sz w:val="24"/>
          <w:szCs w:val="24"/>
          <w:color w:val="auto"/>
        </w:rPr>
      </w:pPr>
    </w:p>
    <w:p>
      <w:pPr>
        <w:ind w:left="126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ind w:left="660"/>
        <w:spacing w:after="0"/>
        <w:rPr>
          <w:sz w:val="20"/>
          <w:szCs w:val="20"/>
          <w:color w:val="auto"/>
        </w:rPr>
      </w:pPr>
      <w:r>
        <w:rPr>
          <w:rFonts w:ascii="Arial" w:cs="Arial" w:eastAsia="Arial" w:hAnsi="Arial"/>
          <w:sz w:val="16"/>
          <w:szCs w:val="16"/>
          <w:color w:val="auto"/>
        </w:rPr>
        <w:t>(State or other jurisdiction</w:t>
      </w:r>
    </w:p>
    <w:p>
      <w:pPr>
        <w:spacing w:after="0" w:line="32" w:lineRule="exact"/>
        <w:rPr>
          <w:sz w:val="24"/>
          <w:szCs w:val="24"/>
          <w:color w:val="auto"/>
        </w:rPr>
      </w:pPr>
    </w:p>
    <w:p>
      <w:pPr>
        <w:ind w:left="1000"/>
        <w:spacing w:after="0"/>
        <w:rPr>
          <w:sz w:val="20"/>
          <w:szCs w:val="20"/>
          <w:color w:val="auto"/>
        </w:rPr>
      </w:pPr>
      <w:r>
        <w:rPr>
          <w:rFonts w:ascii="Arial" w:cs="Arial" w:eastAsia="Arial" w:hAnsi="Arial"/>
          <w:sz w:val="18"/>
          <w:szCs w:val="18"/>
          <w:color w:val="auto"/>
        </w:rPr>
        <w:t>of incorporation)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31" w:lineRule="exact"/>
        <w:rPr>
          <w:sz w:val="24"/>
          <w:szCs w:val="24"/>
          <w:color w:val="auto"/>
        </w:rPr>
      </w:pPr>
    </w:p>
    <w:p>
      <w:pPr>
        <w:jc w:val="center"/>
        <w:ind w:right="1020"/>
        <w:spacing w:after="0"/>
        <w:rPr>
          <w:sz w:val="20"/>
          <w:szCs w:val="20"/>
          <w:color w:val="auto"/>
        </w:rPr>
      </w:pPr>
      <w:r>
        <w:rPr>
          <w:rFonts w:ascii="Arial" w:cs="Arial" w:eastAsia="Arial" w:hAnsi="Arial"/>
          <w:sz w:val="18"/>
          <w:szCs w:val="18"/>
          <w:b w:val="1"/>
          <w:bCs w:val="1"/>
          <w:color w:val="auto"/>
        </w:rPr>
        <w:t>001-37359</w:t>
      </w:r>
    </w:p>
    <w:p>
      <w:pPr>
        <w:spacing w:after="0" w:line="27" w:lineRule="exact"/>
        <w:rPr>
          <w:sz w:val="24"/>
          <w:szCs w:val="24"/>
          <w:color w:val="auto"/>
        </w:rPr>
      </w:pPr>
    </w:p>
    <w:p>
      <w:pPr>
        <w:jc w:val="center"/>
        <w:ind w:right="102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31" w:lineRule="exact"/>
        <w:rPr>
          <w:sz w:val="24"/>
          <w:szCs w:val="24"/>
          <w:color w:val="auto"/>
        </w:rPr>
      </w:pPr>
    </w:p>
    <w:p>
      <w:pPr>
        <w:jc w:val="center"/>
        <w:ind w:right="860"/>
        <w:spacing w:after="0"/>
        <w:rPr>
          <w:sz w:val="20"/>
          <w:szCs w:val="20"/>
          <w:color w:val="auto"/>
        </w:rPr>
      </w:pPr>
      <w:r>
        <w:rPr>
          <w:rFonts w:ascii="Arial" w:cs="Arial" w:eastAsia="Arial" w:hAnsi="Arial"/>
          <w:sz w:val="18"/>
          <w:szCs w:val="18"/>
          <w:b w:val="1"/>
          <w:bCs w:val="1"/>
          <w:color w:val="auto"/>
        </w:rPr>
        <w:t>26-3632015</w:t>
      </w:r>
    </w:p>
    <w:p>
      <w:pPr>
        <w:spacing w:after="0" w:line="27" w:lineRule="exact"/>
        <w:rPr>
          <w:sz w:val="24"/>
          <w:szCs w:val="24"/>
          <w:color w:val="auto"/>
        </w:rPr>
      </w:pPr>
    </w:p>
    <w:p>
      <w:pPr>
        <w:jc w:val="center"/>
        <w:ind w:right="860"/>
        <w:spacing w:after="0"/>
        <w:rPr>
          <w:sz w:val="20"/>
          <w:szCs w:val="20"/>
          <w:color w:val="auto"/>
        </w:rPr>
      </w:pPr>
      <w:r>
        <w:rPr>
          <w:rFonts w:ascii="Arial" w:cs="Arial" w:eastAsia="Arial" w:hAnsi="Arial"/>
          <w:sz w:val="18"/>
          <w:szCs w:val="18"/>
          <w:color w:val="auto"/>
        </w:rPr>
        <w:t>(I.R.S. Employer</w:t>
      </w:r>
    </w:p>
    <w:p>
      <w:pPr>
        <w:spacing w:after="0" w:line="9" w:lineRule="exact"/>
        <w:rPr>
          <w:sz w:val="24"/>
          <w:szCs w:val="24"/>
          <w:color w:val="auto"/>
        </w:rPr>
      </w:pPr>
    </w:p>
    <w:p>
      <w:pPr>
        <w:jc w:val="center"/>
        <w:ind w:right="860"/>
        <w:spacing w:after="0"/>
        <w:rPr>
          <w:sz w:val="20"/>
          <w:szCs w:val="20"/>
          <w:color w:val="auto"/>
        </w:rPr>
      </w:pPr>
      <w:r>
        <w:rPr>
          <w:rFonts w:ascii="Arial" w:cs="Arial" w:eastAsia="Arial" w:hAnsi="Arial"/>
          <w:sz w:val="17"/>
          <w:szCs w:val="17"/>
          <w:color w:val="auto"/>
        </w:rPr>
        <w:t>Identification No.)</w:t>
      </w:r>
    </w:p>
    <w:p>
      <w:pPr>
        <w:spacing w:after="0" w:line="211" w:lineRule="exact"/>
        <w:rPr>
          <w:sz w:val="24"/>
          <w:szCs w:val="24"/>
          <w:color w:val="auto"/>
        </w:rPr>
      </w:pPr>
    </w:p>
    <w:p>
      <w:pPr>
        <w:sectPr>
          <w:pgSz w:w="11900" w:h="16838" w:orient="portrait"/>
          <w:cols w:equalWidth="0" w:num="3">
            <w:col w:w="3320" w:space="720"/>
            <w:col w:w="3020" w:space="720"/>
            <w:col w:w="2200"/>
          </w:cols>
          <w:pgMar w:left="920" w:top="206" w:right="999" w:bottom="1440" w:gutter="0" w:footer="0" w:header="0"/>
          <w:type w:val="continuous"/>
        </w:sectPr>
      </w:pPr>
    </w:p>
    <w:p>
      <w:pPr>
        <w:spacing w:after="0" w:line="7" w:lineRule="exact"/>
        <w:rPr>
          <w:sz w:val="24"/>
          <w:szCs w:val="24"/>
          <w:color w:val="auto"/>
        </w:rPr>
      </w:pPr>
    </w:p>
    <w:p>
      <w:pPr>
        <w:jc w:val="center"/>
        <w:ind w:right="1540"/>
        <w:spacing w:after="0"/>
        <w:rPr>
          <w:sz w:val="20"/>
          <w:szCs w:val="20"/>
          <w:color w:val="auto"/>
        </w:rPr>
      </w:pPr>
      <w:r>
        <w:rPr>
          <w:rFonts w:ascii="Arial" w:cs="Arial" w:eastAsia="Arial" w:hAnsi="Arial"/>
          <w:sz w:val="18"/>
          <w:szCs w:val="18"/>
          <w:b w:val="1"/>
          <w:bCs w:val="1"/>
          <w:color w:val="auto"/>
        </w:rPr>
        <w:t>38 Sidney Street, Suite 200</w:t>
      </w:r>
    </w:p>
    <w:p>
      <w:pPr>
        <w:spacing w:after="0" w:line="27" w:lineRule="exact"/>
        <w:rPr>
          <w:sz w:val="24"/>
          <w:szCs w:val="24"/>
          <w:color w:val="auto"/>
        </w:rPr>
      </w:pPr>
    </w:p>
    <w:p>
      <w:pPr>
        <w:jc w:val="center"/>
        <w:ind w:right="1540"/>
        <w:spacing w:after="0"/>
        <w:rPr>
          <w:sz w:val="20"/>
          <w:szCs w:val="20"/>
          <w:color w:val="auto"/>
        </w:rPr>
      </w:pPr>
      <w:r>
        <w:rPr>
          <w:rFonts w:ascii="Arial" w:cs="Arial" w:eastAsia="Arial" w:hAnsi="Arial"/>
          <w:sz w:val="18"/>
          <w:szCs w:val="18"/>
          <w:b w:val="1"/>
          <w:bCs w:val="1"/>
          <w:color w:val="auto"/>
        </w:rPr>
        <w:t>Cambridge, Massachusetts</w:t>
      </w:r>
    </w:p>
    <w:p>
      <w:pPr>
        <w:spacing w:after="0" w:line="9" w:lineRule="exact"/>
        <w:rPr>
          <w:sz w:val="24"/>
          <w:szCs w:val="24"/>
          <w:color w:val="auto"/>
        </w:rPr>
      </w:pPr>
    </w:p>
    <w:p>
      <w:pPr>
        <w:jc w:val="center"/>
        <w:ind w:right="1540"/>
        <w:spacing w:after="0"/>
        <w:rPr>
          <w:sz w:val="20"/>
          <w:szCs w:val="20"/>
          <w:color w:val="auto"/>
        </w:rPr>
      </w:pPr>
      <w:r>
        <w:rPr>
          <w:rFonts w:ascii="Arial" w:cs="Arial" w:eastAsia="Arial" w:hAnsi="Arial"/>
          <w:sz w:val="16"/>
          <w:szCs w:val="16"/>
          <w:color w:val="auto"/>
        </w:rPr>
        <w:t>(Address of principal executive offices)</w:t>
      </w:r>
    </w:p>
    <w:p>
      <w:pPr>
        <w:spacing w:after="0" w:line="20" w:lineRule="exact"/>
        <w:rPr>
          <w:sz w:val="24"/>
          <w:szCs w:val="24"/>
          <w:color w:val="auto"/>
        </w:rPr>
      </w:pPr>
      <w:r>
        <w:rPr>
          <w:sz w:val="24"/>
          <w:szCs w:val="24"/>
          <w:color w:val="auto"/>
        </w:rPr>
        <w:br w:type="column"/>
      </w:r>
    </w:p>
    <w:p>
      <w:pPr>
        <w:spacing w:after="0" w:line="203" w:lineRule="exact"/>
        <w:rPr>
          <w:sz w:val="24"/>
          <w:szCs w:val="24"/>
          <w:color w:val="auto"/>
        </w:rPr>
      </w:pPr>
    </w:p>
    <w:p>
      <w:pPr>
        <w:jc w:val="center"/>
        <w:ind w:right="1980"/>
        <w:spacing w:after="0"/>
        <w:rPr>
          <w:sz w:val="20"/>
          <w:szCs w:val="20"/>
          <w:color w:val="auto"/>
        </w:rPr>
      </w:pPr>
      <w:r>
        <w:rPr>
          <w:rFonts w:ascii="Arial" w:cs="Arial" w:eastAsia="Arial" w:hAnsi="Arial"/>
          <w:sz w:val="18"/>
          <w:szCs w:val="18"/>
          <w:b w:val="1"/>
          <w:bCs w:val="1"/>
          <w:color w:val="auto"/>
        </w:rPr>
        <w:t>02139</w:t>
      </w:r>
    </w:p>
    <w:p>
      <w:pPr>
        <w:spacing w:after="0" w:line="27" w:lineRule="exact"/>
        <w:rPr>
          <w:sz w:val="24"/>
          <w:szCs w:val="24"/>
          <w:color w:val="auto"/>
        </w:rPr>
      </w:pPr>
    </w:p>
    <w:p>
      <w:pPr>
        <w:jc w:val="center"/>
        <w:ind w:right="1980"/>
        <w:spacing w:after="0"/>
        <w:rPr>
          <w:sz w:val="20"/>
          <w:szCs w:val="20"/>
          <w:color w:val="auto"/>
        </w:rPr>
      </w:pPr>
      <w:r>
        <w:rPr>
          <w:rFonts w:ascii="Arial" w:cs="Arial" w:eastAsia="Arial" w:hAnsi="Arial"/>
          <w:sz w:val="16"/>
          <w:szCs w:val="16"/>
          <w:color w:val="auto"/>
        </w:rPr>
        <w:t>(Zip Code)</w:t>
      </w:r>
    </w:p>
    <w:p>
      <w:pPr>
        <w:spacing w:after="0" w:line="200" w:lineRule="exact"/>
        <w:rPr>
          <w:sz w:val="24"/>
          <w:szCs w:val="24"/>
          <w:color w:val="auto"/>
        </w:rPr>
      </w:pPr>
    </w:p>
    <w:p>
      <w:pPr>
        <w:sectPr>
          <w:pgSz w:w="11900" w:h="16838" w:orient="portrait"/>
          <w:cols w:equalWidth="0" w:num="2">
            <w:col w:w="6480" w:space="720"/>
            <w:col w:w="2780"/>
          </w:cols>
          <w:pgMar w:left="920" w:top="206" w:right="999" w:bottom="1440" w:gutter="0" w:footer="0" w:header="0"/>
          <w:type w:val="continuous"/>
        </w:sectPr>
      </w:pPr>
    </w:p>
    <w:p>
      <w:pPr>
        <w:spacing w:after="0" w:line="30"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(617) 374-7580</w:t>
      </w:r>
    </w:p>
    <w:p>
      <w:pPr>
        <w:spacing w:after="0" w:line="229" w:lineRule="exact"/>
        <w:rPr>
          <w:sz w:val="24"/>
          <w:szCs w:val="24"/>
          <w:color w:val="auto"/>
        </w:rPr>
      </w:pPr>
    </w:p>
    <w:p>
      <w:pPr>
        <w:jc w:val="center"/>
        <w:ind w:right="-13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2394585</wp:posOffset>
            </wp:positionH>
            <wp:positionV relativeFrom="paragraph">
              <wp:posOffset>83185</wp:posOffset>
            </wp:positionV>
            <wp:extent cx="1603375"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603375" cy="17145"/>
                    </a:xfrm>
                    <a:prstGeom prst="rect">
                      <a:avLst/>
                    </a:prstGeom>
                    <a:noFill/>
                  </pic:spPr>
                </pic:pic>
              </a:graphicData>
            </a:graphic>
          </wp:anchor>
        </w:drawing>
      </w:r>
    </w:p>
    <w:p>
      <w:pPr>
        <w:spacing w:after="0" w:line="200" w:lineRule="exact"/>
        <w:rPr>
          <w:sz w:val="24"/>
          <w:szCs w:val="24"/>
          <w:color w:val="auto"/>
        </w:rPr>
      </w:pPr>
    </w:p>
    <w:p>
      <w:pPr>
        <w:spacing w:after="0" w:line="248" w:lineRule="exact"/>
        <w:rPr>
          <w:sz w:val="24"/>
          <w:szCs w:val="24"/>
          <w:color w:val="auto"/>
        </w:rPr>
      </w:pPr>
    </w:p>
    <w:p>
      <w:pPr>
        <w:ind w:firstLine="648"/>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800" w:hanging="152"/>
        <w:spacing w:after="0"/>
        <w:tabs>
          <w:tab w:leader="none" w:pos="80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3" w:lineRule="exact"/>
        <w:rPr>
          <w:rFonts w:ascii="Arial" w:cs="Arial" w:eastAsia="Arial" w:hAnsi="Arial"/>
          <w:sz w:val="18"/>
          <w:szCs w:val="18"/>
          <w:color w:val="auto"/>
        </w:rPr>
      </w:pPr>
    </w:p>
    <w:p>
      <w:pPr>
        <w:ind w:left="800" w:hanging="152"/>
        <w:spacing w:after="0"/>
        <w:tabs>
          <w:tab w:leader="none" w:pos="80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 w:lineRule="exact"/>
        <w:rPr>
          <w:rFonts w:ascii="Arial" w:cs="Arial" w:eastAsia="Arial" w:hAnsi="Arial"/>
          <w:sz w:val="18"/>
          <w:szCs w:val="18"/>
          <w:color w:val="auto"/>
        </w:rPr>
      </w:pPr>
    </w:p>
    <w:p>
      <w:pPr>
        <w:ind w:left="780" w:hanging="132"/>
        <w:spacing w:after="0"/>
        <w:tabs>
          <w:tab w:leader="none" w:pos="78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 w:lineRule="exact"/>
        <w:rPr>
          <w:rFonts w:ascii="Arial" w:cs="Arial" w:eastAsia="Arial" w:hAnsi="Arial"/>
          <w:sz w:val="18"/>
          <w:szCs w:val="18"/>
          <w:color w:val="auto"/>
        </w:rPr>
      </w:pPr>
    </w:p>
    <w:p>
      <w:pPr>
        <w:ind w:left="780" w:hanging="132"/>
        <w:spacing w:after="0"/>
        <w:tabs>
          <w:tab w:leader="none" w:pos="78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11" w:lineRule="exact"/>
        <w:rPr>
          <w:sz w:val="24"/>
          <w:szCs w:val="24"/>
          <w:color w:val="auto"/>
        </w:rPr>
      </w:pPr>
    </w:p>
    <w:p>
      <w:pPr>
        <w:ind w:right="300" w:firstLine="648"/>
        <w:spacing w:after="0" w:line="308" w:lineRule="auto"/>
        <w:rPr>
          <w:sz w:val="20"/>
          <w:szCs w:val="20"/>
          <w:color w:val="auto"/>
        </w:rPr>
      </w:pPr>
      <w:r>
        <w:rPr>
          <w:rFonts w:ascii="Arial" w:cs="Arial" w:eastAsia="Arial" w:hAnsi="Arial"/>
          <w:sz w:val="17"/>
          <w:szCs w:val="17"/>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14" w:lineRule="exact"/>
        <w:rPr>
          <w:sz w:val="24"/>
          <w:szCs w:val="24"/>
          <w:color w:val="auto"/>
        </w:rPr>
      </w:pPr>
    </w:p>
    <w:p>
      <w:pPr>
        <w:ind w:left="6760"/>
        <w:spacing w:after="0" w:line="207" w:lineRule="exact"/>
        <w:tabs>
          <w:tab w:leader="none" w:pos="8900" w:val="left"/>
        </w:tabs>
        <w:rPr>
          <w:sz w:val="20"/>
          <w:szCs w:val="20"/>
          <w:color w:val="auto"/>
        </w:rPr>
      </w:pPr>
      <w:r>
        <w:rPr>
          <w:rFonts w:ascii="Arial" w:cs="Arial" w:eastAsia="Arial" w:hAnsi="Arial"/>
          <w:sz w:val="18"/>
          <w:szCs w:val="18"/>
          <w:color w:val="auto"/>
        </w:rPr>
        <w:t>Emerging growth company</w:t>
      </w:r>
      <w:r>
        <w:rPr>
          <w:sz w:val="20"/>
          <w:szCs w:val="20"/>
          <w:color w:val="auto"/>
        </w:rPr>
        <w:tab/>
      </w:r>
      <w:r>
        <w:rPr>
          <w:rFonts w:ascii="MS PGothic" w:cs="MS PGothic" w:eastAsia="MS PGothic" w:hAnsi="MS PGothic"/>
          <w:sz w:val="16"/>
          <w:szCs w:val="16"/>
          <w:color w:val="auto"/>
        </w:rPr>
        <w:t>☑</w:t>
      </w:r>
    </w:p>
    <w:p>
      <w:pPr>
        <w:spacing w:after="0" w:line="258" w:lineRule="exact"/>
        <w:rPr>
          <w:sz w:val="24"/>
          <w:szCs w:val="24"/>
          <w:color w:val="auto"/>
        </w:rPr>
      </w:pPr>
    </w:p>
    <w:p>
      <w:pPr>
        <w:ind w:right="340" w:firstLine="648"/>
        <w:spacing w:after="0" w:line="234"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279400</wp:posOffset>
            </wp:positionV>
            <wp:extent cx="6388735"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388735" cy="17145"/>
                    </a:xfrm>
                    <a:prstGeom prst="rect">
                      <a:avLst/>
                    </a:prstGeom>
                    <a:noFill/>
                  </pic:spPr>
                </pic:pic>
              </a:graphicData>
            </a:graphic>
          </wp:anchor>
        </w:drawing>
      </w:r>
    </w:p>
    <w:p>
      <w:pPr>
        <w:sectPr>
          <w:pgSz w:w="11900" w:h="16838" w:orient="portrait"/>
          <w:cols w:equalWidth="0" w:num="1">
            <w:col w:w="9980"/>
          </w:cols>
          <w:pgMar w:left="920" w:top="206" w:right="999" w:bottom="1440" w:gutter="0" w:footer="0" w:header="0"/>
          <w:type w:val="continuous"/>
        </w:sectPr>
      </w:pPr>
    </w:p>
    <w:bookmarkStart w:id="1" w:name="page2"/>
    <w:bookmarkEnd w:id="1"/>
    <w:p>
      <w:pPr>
        <w:ind w:left="160"/>
        <w:spacing w:after="0"/>
        <w:tabs>
          <w:tab w:leader="none" w:pos="1040" w:val="left"/>
        </w:tabs>
        <w:rPr>
          <w:sz w:val="20"/>
          <w:szCs w:val="20"/>
          <w:color w:val="auto"/>
        </w:rPr>
      </w:pPr>
      <w:r>
        <w:rPr>
          <w:rFonts w:ascii="Arial" w:cs="Arial" w:eastAsia="Arial" w:hAnsi="Arial"/>
          <w:sz w:val="18"/>
          <w:szCs w:val="18"/>
          <w:b w:val="1"/>
          <w:bCs w:val="1"/>
          <w:color w:val="auto"/>
        </w:rPr>
        <w:t>Item 2.02</w:t>
      </w:r>
      <w:r>
        <w:rPr>
          <w:sz w:val="20"/>
          <w:szCs w:val="20"/>
          <w:color w:val="auto"/>
        </w:rPr>
        <w:tab/>
      </w:r>
      <w:r>
        <w:rPr>
          <w:rFonts w:ascii="Arial" w:cs="Arial" w:eastAsia="Arial" w:hAnsi="Arial"/>
          <w:sz w:val="16"/>
          <w:szCs w:val="16"/>
          <w:b w:val="1"/>
          <w:bCs w:val="1"/>
          <w:color w:val="auto"/>
        </w:rPr>
        <w:t>Results of Operations and Financial Condition.</w:t>
      </w:r>
    </w:p>
    <w:p>
      <w:pPr>
        <w:spacing w:after="0" w:line="229" w:lineRule="exact"/>
        <w:rPr>
          <w:sz w:val="20"/>
          <w:szCs w:val="20"/>
          <w:color w:val="auto"/>
        </w:rPr>
      </w:pPr>
    </w:p>
    <w:p>
      <w:pPr>
        <w:ind w:left="160" w:right="479" w:firstLine="648"/>
        <w:spacing w:after="0" w:line="312" w:lineRule="auto"/>
        <w:rPr>
          <w:sz w:val="20"/>
          <w:szCs w:val="20"/>
          <w:color w:val="auto"/>
        </w:rPr>
      </w:pPr>
      <w:r>
        <w:rPr>
          <w:rFonts w:ascii="Arial" w:cs="Arial" w:eastAsia="Arial" w:hAnsi="Arial"/>
          <w:sz w:val="16"/>
          <w:szCs w:val="16"/>
          <w:color w:val="auto"/>
        </w:rPr>
        <w:t>On May 3, 2017, Blueprint Medicines Corporation (the “Company”) announced its financial results for the quarter ended March 31, 2017. The full text of the press release issued in connection with the announcement is furnished as Exhibit 99.1 to this Current Report on Form 8-K and is incorporated by reference herein.</w:t>
      </w:r>
    </w:p>
    <w:p>
      <w:pPr>
        <w:spacing w:after="0" w:line="147" w:lineRule="exact"/>
        <w:rPr>
          <w:sz w:val="20"/>
          <w:szCs w:val="20"/>
          <w:color w:val="auto"/>
        </w:rPr>
      </w:pPr>
    </w:p>
    <w:p>
      <w:pPr>
        <w:ind w:left="160" w:right="219" w:firstLine="648"/>
        <w:spacing w:after="0" w:line="257" w:lineRule="auto"/>
        <w:rPr>
          <w:sz w:val="20"/>
          <w:szCs w:val="20"/>
          <w:color w:val="auto"/>
        </w:rPr>
      </w:pPr>
      <w:r>
        <w:rPr>
          <w:rFonts w:ascii="Arial" w:cs="Arial" w:eastAsia="Arial" w:hAnsi="Arial"/>
          <w:sz w:val="18"/>
          <w:szCs w:val="18"/>
          <w:color w:val="auto"/>
        </w:rPr>
        <w:t>The information in this Current Report on Form 8-K, including Exhibit 99.1 attached hereto, is intended to be furnished and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except as expressly set forth by specific reference in such filing.</w:t>
      </w:r>
    </w:p>
    <w:p>
      <w:pPr>
        <w:spacing w:after="0" w:line="184" w:lineRule="exact"/>
        <w:rPr>
          <w:sz w:val="20"/>
          <w:szCs w:val="20"/>
          <w:color w:val="auto"/>
        </w:rPr>
      </w:pPr>
    </w:p>
    <w:p>
      <w:pPr>
        <w:ind w:left="160"/>
        <w:spacing w:after="0"/>
        <w:tabs>
          <w:tab w:leader="none" w:pos="104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29" w:lineRule="exact"/>
        <w:rPr>
          <w:sz w:val="20"/>
          <w:szCs w:val="20"/>
          <w:color w:val="auto"/>
        </w:rPr>
      </w:pPr>
    </w:p>
    <w:p>
      <w:pPr>
        <w:ind w:left="160"/>
        <w:spacing w:after="0"/>
        <w:rPr>
          <w:sz w:val="20"/>
          <w:szCs w:val="20"/>
          <w:color w:val="auto"/>
        </w:rPr>
      </w:pPr>
      <w:r>
        <w:rPr>
          <w:rFonts w:ascii="Arial" w:cs="Arial" w:eastAsia="Arial" w:hAnsi="Arial"/>
          <w:sz w:val="18"/>
          <w:szCs w:val="18"/>
          <w:color w:val="auto"/>
        </w:rPr>
        <w:t>(d) Exhibits.</w:t>
      </w:r>
    </w:p>
    <w:p>
      <w:pPr>
        <w:spacing w:after="0" w:line="225" w:lineRule="exact"/>
        <w:rPr>
          <w:sz w:val="20"/>
          <w:szCs w:val="20"/>
          <w:color w:val="auto"/>
        </w:rPr>
      </w:pPr>
    </w:p>
    <w:p>
      <w:pPr>
        <w:ind w:left="160" w:right="919" w:firstLine="648"/>
        <w:spacing w:after="0" w:line="277" w:lineRule="auto"/>
        <w:rPr>
          <w:sz w:val="20"/>
          <w:szCs w:val="20"/>
          <w:color w:val="auto"/>
        </w:rPr>
      </w:pPr>
      <w:r>
        <w:rPr>
          <w:rFonts w:ascii="Arial" w:cs="Arial" w:eastAsia="Arial" w:hAnsi="Arial"/>
          <w:sz w:val="18"/>
          <w:szCs w:val="18"/>
          <w:color w:val="auto"/>
        </w:rPr>
        <w:t>The following exhibit relating to Item 2.02 of this Current Report on Form 8-K shall be deemed to be furnished and not filed:</w:t>
      </w:r>
    </w:p>
    <w:p>
      <w:pPr>
        <w:spacing w:after="0" w:line="180" w:lineRule="exact"/>
        <w:rPr>
          <w:sz w:val="20"/>
          <w:szCs w:val="20"/>
          <w:color w:val="auto"/>
        </w:rPr>
      </w:pPr>
    </w:p>
    <w:tbl>
      <w:tblPr>
        <w:tblLayout w:type="fixed"/>
        <w:tblInd w:w="140" w:type="dxa"/>
        <w:tblCellMar>
          <w:top w:w="0" w:type="dxa"/>
          <w:left w:w="0" w:type="dxa"/>
          <w:bottom w:w="0" w:type="dxa"/>
          <w:right w:w="0" w:type="dxa"/>
        </w:tblCellMar>
      </w:tblPr>
      <w:tr>
        <w:trPr>
          <w:trHeight w:val="234"/>
        </w:trPr>
        <w:tc>
          <w:tcPr>
            <w:tcW w:w="1540" w:type="dxa"/>
            <w:vAlign w:val="bottom"/>
            <w:gridSpan w:val="2"/>
          </w:tcPr>
          <w:p>
            <w:pPr>
              <w:ind w:left="120"/>
              <w:spacing w:after="0"/>
              <w:rPr>
                <w:sz w:val="20"/>
                <w:szCs w:val="20"/>
                <w:color w:val="auto"/>
              </w:rPr>
            </w:pPr>
            <w:r>
              <w:rPr>
                <w:rFonts w:ascii="Arial" w:cs="Arial" w:eastAsia="Arial" w:hAnsi="Arial"/>
                <w:sz w:val="18"/>
                <w:szCs w:val="18"/>
                <w:b w:val="1"/>
                <w:bCs w:val="1"/>
                <w:color w:val="auto"/>
              </w:rPr>
              <w:t>Exhibit No.</w:t>
            </w:r>
          </w:p>
        </w:tc>
        <w:tc>
          <w:tcPr>
            <w:tcW w:w="7180" w:type="dxa"/>
            <w:vAlign w:val="bottom"/>
          </w:tcPr>
          <w:p>
            <w:pPr>
              <w:ind w:left="120"/>
              <w:spacing w:after="0"/>
              <w:rPr>
                <w:sz w:val="20"/>
                <w:szCs w:val="20"/>
                <w:color w:val="auto"/>
              </w:rPr>
            </w:pPr>
            <w:r>
              <w:rPr>
                <w:rFonts w:ascii="Arial" w:cs="Arial" w:eastAsia="Arial" w:hAnsi="Arial"/>
                <w:sz w:val="18"/>
                <w:szCs w:val="18"/>
                <w:b w:val="1"/>
                <w:bCs w:val="1"/>
                <w:color w:val="auto"/>
              </w:rPr>
              <w:t>Description</w:t>
            </w:r>
          </w:p>
        </w:tc>
      </w:tr>
      <w:tr>
        <w:trPr>
          <w:trHeight w:val="224"/>
        </w:trPr>
        <w:tc>
          <w:tcPr>
            <w:tcW w:w="1240" w:type="dxa"/>
            <w:vAlign w:val="bottom"/>
            <w:tcBorders>
              <w:top w:val="single" w:sz="8" w:color="auto"/>
            </w:tcBorders>
          </w:tcPr>
          <w:p>
            <w:pPr>
              <w:ind w:left="120"/>
              <w:spacing w:after="0"/>
              <w:rPr>
                <w:sz w:val="20"/>
                <w:szCs w:val="20"/>
                <w:color w:val="auto"/>
              </w:rPr>
            </w:pPr>
            <w:r>
              <w:rPr>
                <w:rFonts w:ascii="Arial" w:cs="Arial" w:eastAsia="Arial" w:hAnsi="Arial"/>
                <w:sz w:val="18"/>
                <w:szCs w:val="18"/>
                <w:color w:val="auto"/>
              </w:rPr>
              <w:t>99.1</w:t>
            </w:r>
          </w:p>
        </w:tc>
        <w:tc>
          <w:tcPr>
            <w:tcW w:w="300" w:type="dxa"/>
            <w:vAlign w:val="bottom"/>
          </w:tcPr>
          <w:p>
            <w:pPr>
              <w:spacing w:after="0"/>
              <w:rPr>
                <w:sz w:val="19"/>
                <w:szCs w:val="19"/>
                <w:color w:val="auto"/>
              </w:rPr>
            </w:pPr>
          </w:p>
        </w:tc>
        <w:tc>
          <w:tcPr>
            <w:tcW w:w="7180" w:type="dxa"/>
            <w:vAlign w:val="bottom"/>
            <w:tcBorders>
              <w:top w:val="single" w:sz="8" w:color="auto"/>
            </w:tcBorders>
          </w:tcPr>
          <w:p>
            <w:pPr>
              <w:ind w:left="120"/>
              <w:spacing w:after="0"/>
              <w:rPr>
                <w:sz w:val="20"/>
                <w:szCs w:val="20"/>
                <w:color w:val="auto"/>
              </w:rPr>
            </w:pPr>
            <w:r>
              <w:rPr>
                <w:rFonts w:ascii="Arial" w:cs="Arial" w:eastAsia="Arial" w:hAnsi="Arial"/>
                <w:sz w:val="18"/>
                <w:szCs w:val="18"/>
                <w:color w:val="auto"/>
              </w:rPr>
              <w:t>Press release issued by Blueprint Medicines Corporation on May 3, 2017</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83185</wp:posOffset>
            </wp:positionV>
            <wp:extent cx="5548630" cy="260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548630" cy="26035"/>
                    </a:xfrm>
                    <a:prstGeom prst="rect">
                      <a:avLst/>
                    </a:prstGeom>
                    <a:noFill/>
                  </pic:spPr>
                </pic:pic>
              </a:graphicData>
            </a:graphic>
          </wp:anchor>
        </w:drawing>
      </w:r>
    </w:p>
    <w:p>
      <w:pPr>
        <w:sectPr>
          <w:pgSz w:w="11900" w:h="16838" w:orient="portrait"/>
          <w:cols w:equalWidth="0" w:num="1">
            <w:col w:w="9019"/>
          </w:cols>
          <w:pgMar w:left="1440" w:top="472" w:right="1440"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left="160" w:right="279"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396" w:lineRule="exact"/>
        <w:rPr>
          <w:sz w:val="20"/>
          <w:szCs w:val="20"/>
          <w:color w:val="auto"/>
        </w:rPr>
      </w:pPr>
    </w:p>
    <w:tbl>
      <w:tblPr>
        <w:tblLayout w:type="fixed"/>
        <w:tblInd w:w="140" w:type="dxa"/>
        <w:tblCellMar>
          <w:top w:w="0" w:type="dxa"/>
          <w:left w:w="0" w:type="dxa"/>
          <w:bottom w:w="0" w:type="dxa"/>
          <w:right w:w="0" w:type="dxa"/>
        </w:tblCellMar>
      </w:tblPr>
      <w:tr>
        <w:trPr>
          <w:trHeight w:val="234"/>
        </w:trPr>
        <w:tc>
          <w:tcPr>
            <w:tcW w:w="2840" w:type="dxa"/>
            <w:vAlign w:val="bottom"/>
          </w:tcPr>
          <w:p>
            <w:pPr>
              <w:spacing w:after="0"/>
              <w:rPr>
                <w:sz w:val="20"/>
                <w:szCs w:val="20"/>
                <w:color w:val="auto"/>
              </w:rPr>
            </w:pPr>
          </w:p>
        </w:tc>
        <w:tc>
          <w:tcPr>
            <w:tcW w:w="5500" w:type="dxa"/>
            <w:vAlign w:val="bottom"/>
            <w:gridSpan w:val="2"/>
          </w:tcPr>
          <w:p>
            <w:pPr>
              <w:ind w:left="1540"/>
              <w:spacing w:after="0"/>
              <w:rPr>
                <w:sz w:val="20"/>
                <w:szCs w:val="20"/>
                <w:color w:val="auto"/>
              </w:rPr>
            </w:pPr>
            <w:r>
              <w:rPr>
                <w:rFonts w:ascii="Arial" w:cs="Arial" w:eastAsia="Arial" w:hAnsi="Arial"/>
                <w:sz w:val="18"/>
                <w:szCs w:val="18"/>
                <w:b w:val="1"/>
                <w:bCs w:val="1"/>
                <w:color w:val="auto"/>
              </w:rPr>
              <w:t>BLUEPRINT MEDICINES CORPORATION</w:t>
            </w:r>
          </w:p>
        </w:tc>
        <w:tc>
          <w:tcPr>
            <w:tcW w:w="400" w:type="dxa"/>
            <w:vAlign w:val="bottom"/>
          </w:tcPr>
          <w:p>
            <w:pPr>
              <w:spacing w:after="0"/>
              <w:rPr>
                <w:sz w:val="20"/>
                <w:szCs w:val="20"/>
                <w:color w:val="auto"/>
              </w:rPr>
            </w:pPr>
          </w:p>
        </w:tc>
      </w:tr>
      <w:tr>
        <w:trPr>
          <w:trHeight w:val="661"/>
        </w:trPr>
        <w:tc>
          <w:tcPr>
            <w:tcW w:w="2840" w:type="dxa"/>
            <w:vAlign w:val="bottom"/>
          </w:tcPr>
          <w:p>
            <w:pPr>
              <w:ind w:left="20"/>
              <w:spacing w:after="0"/>
              <w:rPr>
                <w:sz w:val="20"/>
                <w:szCs w:val="20"/>
                <w:color w:val="auto"/>
              </w:rPr>
            </w:pPr>
            <w:r>
              <w:rPr>
                <w:rFonts w:ascii="Arial" w:cs="Arial" w:eastAsia="Arial" w:hAnsi="Arial"/>
                <w:sz w:val="18"/>
                <w:szCs w:val="18"/>
                <w:color w:val="auto"/>
              </w:rPr>
              <w:t>Date: May 3, 2017</w:t>
            </w:r>
          </w:p>
        </w:tc>
        <w:tc>
          <w:tcPr>
            <w:tcW w:w="5500" w:type="dxa"/>
            <w:vAlign w:val="bottom"/>
            <w:gridSpan w:val="2"/>
          </w:tcPr>
          <w:p>
            <w:pPr>
              <w:ind w:left="1540"/>
              <w:spacing w:after="0"/>
              <w:rPr>
                <w:sz w:val="20"/>
                <w:szCs w:val="20"/>
                <w:color w:val="auto"/>
              </w:rPr>
            </w:pPr>
            <w:r>
              <w:rPr>
                <w:rFonts w:ascii="Arial" w:cs="Arial" w:eastAsia="Arial" w:hAnsi="Arial"/>
                <w:sz w:val="18"/>
                <w:szCs w:val="18"/>
                <w:color w:val="auto"/>
              </w:rPr>
              <w:t>By: /s/ Jeffrey W.</w:t>
            </w:r>
          </w:p>
        </w:tc>
        <w:tc>
          <w:tcPr>
            <w:tcW w:w="400" w:type="dxa"/>
            <w:vAlign w:val="bottom"/>
          </w:tcPr>
          <w:p>
            <w:pPr>
              <w:spacing w:after="0"/>
              <w:rPr>
                <w:sz w:val="24"/>
                <w:szCs w:val="24"/>
                <w:color w:val="auto"/>
              </w:rPr>
            </w:pPr>
          </w:p>
        </w:tc>
      </w:tr>
      <w:tr>
        <w:trPr>
          <w:trHeight w:val="230"/>
        </w:trPr>
        <w:tc>
          <w:tcPr>
            <w:tcW w:w="284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36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Albers</w:t>
            </w:r>
          </w:p>
        </w:tc>
        <w:tc>
          <w:tcPr>
            <w:tcW w:w="400" w:type="dxa"/>
            <w:vAlign w:val="bottom"/>
          </w:tcPr>
          <w:p>
            <w:pPr>
              <w:spacing w:after="0"/>
              <w:rPr>
                <w:sz w:val="20"/>
                <w:szCs w:val="20"/>
                <w:color w:val="auto"/>
              </w:rPr>
            </w:pPr>
          </w:p>
        </w:tc>
      </w:tr>
      <w:tr>
        <w:trPr>
          <w:trHeight w:val="195"/>
        </w:trPr>
        <w:tc>
          <w:tcPr>
            <w:tcW w:w="284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3620" w:type="dxa"/>
            <w:vAlign w:val="bottom"/>
          </w:tcPr>
          <w:p>
            <w:pPr>
              <w:spacing w:after="0" w:line="195" w:lineRule="exact"/>
              <w:rPr>
                <w:sz w:val="20"/>
                <w:szCs w:val="20"/>
                <w:color w:val="auto"/>
              </w:rPr>
            </w:pPr>
            <w:r>
              <w:rPr>
                <w:rFonts w:ascii="Arial" w:cs="Arial" w:eastAsia="Arial" w:hAnsi="Arial"/>
                <w:sz w:val="18"/>
                <w:szCs w:val="18"/>
                <w:color w:val="auto"/>
              </w:rPr>
              <w:t>Jeffrey W. Albers</w:t>
            </w:r>
          </w:p>
        </w:tc>
        <w:tc>
          <w:tcPr>
            <w:tcW w:w="400" w:type="dxa"/>
            <w:vAlign w:val="bottom"/>
          </w:tcPr>
          <w:p>
            <w:pPr>
              <w:spacing w:after="0"/>
              <w:rPr>
                <w:sz w:val="16"/>
                <w:szCs w:val="16"/>
                <w:color w:val="auto"/>
              </w:rPr>
            </w:pPr>
          </w:p>
        </w:tc>
      </w:tr>
      <w:tr>
        <w:trPr>
          <w:trHeight w:val="230"/>
        </w:trPr>
        <w:tc>
          <w:tcPr>
            <w:tcW w:w="284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3620" w:type="dxa"/>
            <w:vAlign w:val="bottom"/>
          </w:tcPr>
          <w:p>
            <w:pPr>
              <w:spacing w:after="0"/>
              <w:rPr>
                <w:sz w:val="20"/>
                <w:szCs w:val="20"/>
                <w:color w:val="auto"/>
              </w:rPr>
            </w:pPr>
            <w:r>
              <w:rPr>
                <w:rFonts w:ascii="Arial" w:cs="Arial" w:eastAsia="Arial" w:hAnsi="Arial"/>
                <w:sz w:val="18"/>
                <w:szCs w:val="18"/>
                <w:color w:val="auto"/>
              </w:rPr>
              <w:t>Chief Executive Officer</w:t>
            </w:r>
          </w:p>
        </w:tc>
        <w:tc>
          <w:tcPr>
            <w:tcW w:w="400" w:type="dxa"/>
            <w:vAlign w:val="bottom"/>
          </w:tcPr>
          <w:p>
            <w:pPr>
              <w:spacing w:after="0"/>
              <w:rPr>
                <w:sz w:val="20"/>
                <w:szCs w:val="20"/>
                <w:color w:val="auto"/>
              </w:rPr>
            </w:pPr>
          </w:p>
        </w:tc>
      </w:tr>
      <w:tr>
        <w:trPr>
          <w:trHeight w:val="891"/>
        </w:trPr>
        <w:tc>
          <w:tcPr>
            <w:tcW w:w="2840" w:type="dxa"/>
            <w:vAlign w:val="bottom"/>
          </w:tcPr>
          <w:p>
            <w:pPr>
              <w:spacing w:after="0"/>
              <w:rPr>
                <w:sz w:val="24"/>
                <w:szCs w:val="24"/>
                <w:color w:val="auto"/>
              </w:rPr>
            </w:pPr>
          </w:p>
        </w:tc>
        <w:tc>
          <w:tcPr>
            <w:tcW w:w="1880" w:type="dxa"/>
            <w:vAlign w:val="bottom"/>
          </w:tcPr>
          <w:p>
            <w:pPr>
              <w:jc w:val="right"/>
              <w:ind w:right="210"/>
              <w:spacing w:after="0"/>
              <w:rPr>
                <w:sz w:val="20"/>
                <w:szCs w:val="20"/>
                <w:color w:val="auto"/>
              </w:rPr>
            </w:pPr>
            <w:r>
              <w:rPr>
                <w:rFonts w:ascii="Arial" w:cs="Arial" w:eastAsia="Arial" w:hAnsi="Arial"/>
                <w:sz w:val="18"/>
                <w:szCs w:val="18"/>
                <w:color w:val="auto"/>
              </w:rPr>
              <w:t>3</w:t>
            </w:r>
          </w:p>
        </w:tc>
        <w:tc>
          <w:tcPr>
            <w:tcW w:w="362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129"/>
        </w:trPr>
        <w:tc>
          <w:tcPr>
            <w:tcW w:w="2840" w:type="dxa"/>
            <w:vAlign w:val="bottom"/>
            <w:tcBorders>
              <w:bottom w:val="single" w:sz="8" w:color="auto"/>
            </w:tcBorders>
          </w:tcPr>
          <w:p>
            <w:pPr>
              <w:spacing w:after="0"/>
              <w:rPr>
                <w:sz w:val="11"/>
                <w:szCs w:val="11"/>
                <w:color w:val="auto"/>
              </w:rPr>
            </w:pPr>
          </w:p>
        </w:tc>
        <w:tc>
          <w:tcPr>
            <w:tcW w:w="1880" w:type="dxa"/>
            <w:vAlign w:val="bottom"/>
            <w:tcBorders>
              <w:bottom w:val="single" w:sz="8" w:color="auto"/>
            </w:tcBorders>
          </w:tcPr>
          <w:p>
            <w:pPr>
              <w:spacing w:after="0"/>
              <w:rPr>
                <w:sz w:val="11"/>
                <w:szCs w:val="11"/>
                <w:color w:val="auto"/>
              </w:rPr>
            </w:pPr>
          </w:p>
        </w:tc>
        <w:tc>
          <w:tcPr>
            <w:tcW w:w="362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r>
    </w:tbl>
    <w:p>
      <w:pPr>
        <w:sectPr>
          <w:pgSz w:w="11900" w:h="16838" w:orient="portrait"/>
          <w:cols w:equalWidth="0" w:num="1">
            <w:col w:w="9019"/>
          </w:cols>
          <w:pgMar w:left="1440" w:top="472" w:right="1440" w:bottom="1440" w:gutter="0" w:footer="0" w:header="0"/>
        </w:sectPr>
      </w:pPr>
    </w:p>
    <w:bookmarkStart w:id="3" w:name="page4"/>
    <w:bookmarkEnd w:id="3"/>
    <w:p>
      <w:pPr>
        <w:spacing w:after="0" w:line="1" w:lineRule="exact"/>
        <w:rPr>
          <w:sz w:val="20"/>
          <w:szCs w:val="20"/>
          <w:color w:val="auto"/>
        </w:rPr>
      </w:pPr>
    </w:p>
    <w:tbl>
      <w:tblPr>
        <w:tblLayout w:type="fixed"/>
        <w:tblInd w:w="140" w:type="dxa"/>
        <w:tblCellMar>
          <w:top w:w="0" w:type="dxa"/>
          <w:left w:w="0" w:type="dxa"/>
          <w:bottom w:w="0" w:type="dxa"/>
          <w:right w:w="0" w:type="dxa"/>
        </w:tblCellMar>
      </w:tblPr>
      <w:tr>
        <w:trPr>
          <w:trHeight w:val="234"/>
        </w:trPr>
        <w:tc>
          <w:tcPr>
            <w:tcW w:w="1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180" w:type="dxa"/>
            <w:vAlign w:val="bottom"/>
          </w:tcPr>
          <w:p>
            <w:pPr>
              <w:jc w:val="center"/>
              <w:ind w:right="1410"/>
              <w:spacing w:after="0"/>
              <w:rPr>
                <w:sz w:val="20"/>
                <w:szCs w:val="20"/>
                <w:color w:val="auto"/>
              </w:rPr>
            </w:pPr>
            <w:r>
              <w:rPr>
                <w:rFonts w:ascii="Arial" w:cs="Arial" w:eastAsia="Arial" w:hAnsi="Arial"/>
                <w:sz w:val="18"/>
                <w:szCs w:val="18"/>
                <w:b w:val="1"/>
                <w:bCs w:val="1"/>
                <w:color w:val="auto"/>
              </w:rPr>
              <w:t>EXHIBIT INDEX</w:t>
            </w:r>
          </w:p>
        </w:tc>
        <w:tc>
          <w:tcPr>
            <w:tcW w:w="20" w:type="dxa"/>
            <w:vAlign w:val="bottom"/>
          </w:tcPr>
          <w:p>
            <w:pPr>
              <w:spacing w:after="0"/>
              <w:rPr>
                <w:sz w:val="20"/>
                <w:szCs w:val="20"/>
                <w:color w:val="auto"/>
              </w:rPr>
            </w:pPr>
          </w:p>
        </w:tc>
      </w:tr>
      <w:tr>
        <w:trPr>
          <w:trHeight w:val="581"/>
        </w:trPr>
        <w:tc>
          <w:tcPr>
            <w:tcW w:w="1540" w:type="dxa"/>
            <w:vAlign w:val="bottom"/>
            <w:gridSpan w:val="2"/>
          </w:tcPr>
          <w:p>
            <w:pPr>
              <w:ind w:left="120"/>
              <w:spacing w:after="0"/>
              <w:rPr>
                <w:sz w:val="20"/>
                <w:szCs w:val="20"/>
                <w:color w:val="auto"/>
              </w:rPr>
            </w:pPr>
            <w:r>
              <w:rPr>
                <w:rFonts w:ascii="Arial" w:cs="Arial" w:eastAsia="Arial" w:hAnsi="Arial"/>
                <w:sz w:val="18"/>
                <w:szCs w:val="18"/>
                <w:b w:val="1"/>
                <w:bCs w:val="1"/>
                <w:color w:val="auto"/>
              </w:rPr>
              <w:t>Exhibit No.</w:t>
            </w:r>
          </w:p>
        </w:tc>
        <w:tc>
          <w:tcPr>
            <w:tcW w:w="7180" w:type="dxa"/>
            <w:vAlign w:val="bottom"/>
          </w:tcPr>
          <w:p>
            <w:pPr>
              <w:ind w:left="120"/>
              <w:spacing w:after="0"/>
              <w:rPr>
                <w:sz w:val="20"/>
                <w:szCs w:val="20"/>
                <w:color w:val="auto"/>
              </w:rPr>
            </w:pPr>
            <w:r>
              <w:rPr>
                <w:rFonts w:ascii="Arial" w:cs="Arial" w:eastAsia="Arial" w:hAnsi="Arial"/>
                <w:sz w:val="18"/>
                <w:szCs w:val="18"/>
                <w:b w:val="1"/>
                <w:bCs w:val="1"/>
                <w:color w:val="auto"/>
              </w:rPr>
              <w:t>Description</w:t>
            </w:r>
          </w:p>
        </w:tc>
        <w:tc>
          <w:tcPr>
            <w:tcW w:w="20" w:type="dxa"/>
            <w:vAlign w:val="bottom"/>
          </w:tcPr>
          <w:p>
            <w:pPr>
              <w:spacing w:after="0"/>
              <w:rPr>
                <w:sz w:val="24"/>
                <w:szCs w:val="24"/>
                <w:color w:val="auto"/>
              </w:rPr>
            </w:pPr>
          </w:p>
        </w:tc>
      </w:tr>
      <w:tr>
        <w:trPr>
          <w:trHeight w:val="224"/>
        </w:trPr>
        <w:tc>
          <w:tcPr>
            <w:tcW w:w="1240" w:type="dxa"/>
            <w:vAlign w:val="bottom"/>
            <w:tcBorders>
              <w:top w:val="single" w:sz="8" w:color="auto"/>
            </w:tcBorders>
          </w:tcPr>
          <w:p>
            <w:pPr>
              <w:ind w:left="120"/>
              <w:spacing w:after="0"/>
              <w:rPr>
                <w:sz w:val="20"/>
                <w:szCs w:val="20"/>
                <w:color w:val="auto"/>
              </w:rPr>
            </w:pPr>
            <w:r>
              <w:rPr>
                <w:rFonts w:ascii="Arial" w:cs="Arial" w:eastAsia="Arial" w:hAnsi="Arial"/>
                <w:sz w:val="18"/>
                <w:szCs w:val="18"/>
                <w:color w:val="auto"/>
              </w:rPr>
              <w:t>99.1</w:t>
            </w:r>
          </w:p>
        </w:tc>
        <w:tc>
          <w:tcPr>
            <w:tcW w:w="300" w:type="dxa"/>
            <w:vAlign w:val="bottom"/>
          </w:tcPr>
          <w:p>
            <w:pPr>
              <w:spacing w:after="0"/>
              <w:rPr>
                <w:sz w:val="19"/>
                <w:szCs w:val="19"/>
                <w:color w:val="auto"/>
              </w:rPr>
            </w:pPr>
          </w:p>
        </w:tc>
        <w:tc>
          <w:tcPr>
            <w:tcW w:w="7180" w:type="dxa"/>
            <w:vAlign w:val="bottom"/>
            <w:tcBorders>
              <w:top w:val="single" w:sz="8" w:color="auto"/>
            </w:tcBorders>
          </w:tcPr>
          <w:p>
            <w:pPr>
              <w:ind w:left="120"/>
              <w:spacing w:after="0"/>
              <w:rPr>
                <w:sz w:val="20"/>
                <w:szCs w:val="20"/>
                <w:color w:val="auto"/>
              </w:rPr>
            </w:pPr>
            <w:r>
              <w:rPr>
                <w:rFonts w:ascii="Arial" w:cs="Arial" w:eastAsia="Arial" w:hAnsi="Arial"/>
                <w:sz w:val="18"/>
                <w:szCs w:val="18"/>
                <w:color w:val="auto"/>
              </w:rPr>
              <w:t>Press release issued by Blueprint Medicines Corporation on May 3, 2017</w:t>
            </w:r>
          </w:p>
        </w:tc>
        <w:tc>
          <w:tcPr>
            <w:tcW w:w="20" w:type="dxa"/>
            <w:vAlign w:val="bottom"/>
          </w:tcPr>
          <w:p>
            <w:pPr>
              <w:spacing w:after="0"/>
              <w:rPr>
                <w:sz w:val="19"/>
                <w:szCs w:val="19"/>
                <w:color w:val="auto"/>
              </w:rPr>
            </w:pPr>
          </w:p>
        </w:tc>
      </w:tr>
      <w:tr>
        <w:trPr>
          <w:trHeight w:val="877"/>
        </w:trPr>
        <w:tc>
          <w:tcPr>
            <w:tcW w:w="1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180" w:type="dxa"/>
            <w:vAlign w:val="bottom"/>
          </w:tcPr>
          <w:p>
            <w:pPr>
              <w:jc w:val="right"/>
              <w:ind w:right="4210"/>
              <w:spacing w:after="0"/>
              <w:rPr>
                <w:sz w:val="20"/>
                <w:szCs w:val="20"/>
                <w:color w:val="auto"/>
              </w:rPr>
            </w:pPr>
            <w:r>
              <w:rPr>
                <w:rFonts w:ascii="Arial" w:cs="Arial" w:eastAsia="Arial" w:hAnsi="Arial"/>
                <w:sz w:val="18"/>
                <w:szCs w:val="18"/>
                <w:color w:val="auto"/>
              </w:rPr>
              <w:t>4</w:t>
            </w:r>
          </w:p>
        </w:tc>
        <w:tc>
          <w:tcPr>
            <w:tcW w:w="20" w:type="dxa"/>
            <w:vAlign w:val="bottom"/>
          </w:tcPr>
          <w:p>
            <w:pPr>
              <w:spacing w:after="0"/>
              <w:rPr>
                <w:sz w:val="24"/>
                <w:szCs w:val="24"/>
                <w:color w:val="auto"/>
              </w:rPr>
            </w:pPr>
          </w:p>
        </w:tc>
      </w:tr>
      <w:tr>
        <w:trPr>
          <w:trHeight w:val="129"/>
        </w:trPr>
        <w:tc>
          <w:tcPr>
            <w:tcW w:w="124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71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r>
    </w:tbl>
    <w:p>
      <w:pPr>
        <w:sectPr>
          <w:pgSz w:w="11900" w:h="16838" w:orient="portrait"/>
          <w:cols w:equalWidth="0" w:num="1">
            <w:col w:w="9019"/>
          </w:cols>
          <w:pgMar w:left="1440" w:top="472" w:right="1440" w:bottom="1440" w:gutter="0" w:footer="0" w:header="0"/>
        </w:sectPr>
      </w:pPr>
    </w:p>
    <w:bookmarkStart w:id="4" w:name="page5"/>
    <w:bookmarkEnd w:id="4"/>
    <w:p>
      <w:pPr>
        <w:jc w:val="right"/>
        <w:ind w:right="139"/>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635</wp:posOffset>
            </wp:positionV>
            <wp:extent cx="1724025" cy="58293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724025" cy="5829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20"/>
        <w:spacing w:after="0"/>
        <w:rPr>
          <w:sz w:val="20"/>
          <w:szCs w:val="20"/>
          <w:color w:val="auto"/>
        </w:rPr>
      </w:pPr>
      <w:r>
        <w:rPr>
          <w:rFonts w:ascii="Arial" w:cs="Arial" w:eastAsia="Arial" w:hAnsi="Arial"/>
          <w:sz w:val="20"/>
          <w:szCs w:val="20"/>
          <w:b w:val="1"/>
          <w:bCs w:val="1"/>
          <w:color w:val="auto"/>
        </w:rPr>
        <w:t>Blueprint Medicines Reports First Quarter 2017 Financial Results</w:t>
      </w:r>
    </w:p>
    <w:p>
      <w:pPr>
        <w:spacing w:after="0" w:line="129" w:lineRule="exact"/>
        <w:rPr>
          <w:sz w:val="20"/>
          <w:szCs w:val="20"/>
          <w:color w:val="auto"/>
        </w:rPr>
      </w:pPr>
    </w:p>
    <w:p>
      <w:pPr>
        <w:jc w:val="center"/>
        <w:ind w:right="-20"/>
        <w:spacing w:after="0"/>
        <w:rPr>
          <w:sz w:val="20"/>
          <w:szCs w:val="20"/>
          <w:color w:val="auto"/>
        </w:rPr>
      </w:pPr>
      <w:r>
        <w:rPr>
          <w:rFonts w:ascii="Arial" w:cs="Arial" w:eastAsia="Arial" w:hAnsi="Arial"/>
          <w:sz w:val="20"/>
          <w:szCs w:val="20"/>
          <w:i w:val="1"/>
          <w:iCs w:val="1"/>
          <w:color w:val="auto"/>
        </w:rPr>
        <w:t>– Dosed first patient in Phase 1 clinical trial of BLU-667 in RET-altered cancers –</w:t>
      </w:r>
    </w:p>
    <w:p>
      <w:pPr>
        <w:ind w:left="180"/>
        <w:spacing w:after="0" w:line="219" w:lineRule="auto"/>
        <w:rPr>
          <w:sz w:val="20"/>
          <w:szCs w:val="20"/>
          <w:color w:val="auto"/>
        </w:rPr>
      </w:pPr>
      <w:r>
        <w:rPr>
          <w:rFonts w:ascii="Arial" w:cs="Arial" w:eastAsia="Arial" w:hAnsi="Arial"/>
          <w:sz w:val="18"/>
          <w:szCs w:val="18"/>
          <w:i w:val="1"/>
          <w:iCs w:val="1"/>
          <w:color w:val="auto"/>
        </w:rPr>
        <w:t>– Updated BLU-285 data in gastrointestinal stromal tumors (GIST) to be presented at ASCO Annual Meeting</w:t>
      </w:r>
    </w:p>
    <w:p>
      <w:pPr>
        <w:ind w:left="4460"/>
        <w:spacing w:after="0" w:line="197" w:lineRule="auto"/>
        <w:rPr>
          <w:sz w:val="20"/>
          <w:szCs w:val="20"/>
          <w:color w:val="auto"/>
        </w:rPr>
      </w:pPr>
      <w:r>
        <w:rPr>
          <w:rFonts w:ascii="Arial" w:cs="Arial" w:eastAsia="Arial" w:hAnsi="Arial"/>
          <w:sz w:val="20"/>
          <w:szCs w:val="20"/>
          <w:i w:val="1"/>
          <w:iCs w:val="1"/>
          <w:color w:val="auto"/>
        </w:rPr>
        <w:t>–</w:t>
      </w:r>
    </w:p>
    <w:p>
      <w:pPr>
        <w:ind w:left="660"/>
        <w:spacing w:after="0" w:line="207" w:lineRule="auto"/>
        <w:rPr>
          <w:sz w:val="20"/>
          <w:szCs w:val="20"/>
          <w:color w:val="auto"/>
        </w:rPr>
      </w:pPr>
      <w:r>
        <w:rPr>
          <w:rFonts w:ascii="Arial" w:cs="Arial" w:eastAsia="Arial" w:hAnsi="Arial"/>
          <w:sz w:val="19"/>
          <w:szCs w:val="19"/>
          <w:i w:val="1"/>
          <w:iCs w:val="1"/>
          <w:color w:val="auto"/>
        </w:rPr>
        <w:t>– Completed successful follow-on offering in April 2017 and raised approximately $215 million –</w:t>
      </w:r>
    </w:p>
    <w:p>
      <w:pPr>
        <w:ind w:left="2300"/>
        <w:spacing w:after="0"/>
        <w:rPr>
          <w:sz w:val="20"/>
          <w:szCs w:val="20"/>
          <w:color w:val="auto"/>
        </w:rPr>
      </w:pPr>
      <w:r>
        <w:rPr>
          <w:rFonts w:ascii="Arial" w:cs="Arial" w:eastAsia="Arial" w:hAnsi="Arial"/>
          <w:sz w:val="20"/>
          <w:szCs w:val="20"/>
          <w:i w:val="1"/>
          <w:iCs w:val="1"/>
          <w:color w:val="auto"/>
        </w:rPr>
        <w:t>– Expect cash to be sufficient into second half of 2019 –</w:t>
      </w:r>
    </w:p>
    <w:p>
      <w:pPr>
        <w:spacing w:after="0" w:line="132" w:lineRule="exact"/>
        <w:rPr>
          <w:sz w:val="20"/>
          <w:szCs w:val="20"/>
          <w:color w:val="auto"/>
        </w:rPr>
      </w:pPr>
    </w:p>
    <w:p>
      <w:pPr>
        <w:jc w:val="both"/>
        <w:ind w:left="160" w:right="139"/>
        <w:spacing w:after="0" w:line="244" w:lineRule="auto"/>
        <w:rPr>
          <w:sz w:val="20"/>
          <w:szCs w:val="20"/>
          <w:color w:val="auto"/>
        </w:rPr>
      </w:pPr>
      <w:r>
        <w:rPr>
          <w:rFonts w:ascii="Arial" w:cs="Arial" w:eastAsia="Arial" w:hAnsi="Arial"/>
          <w:sz w:val="18"/>
          <w:szCs w:val="18"/>
          <w:color w:val="auto"/>
        </w:rPr>
        <w:t>CAMBRIDGE, Mass., May 3, 2017 – Blueprint Medicines Corporation (NASDAQ: BPMC), a leader in discovering and developing targeted kinase medicines for patients with genomically defined diseases, today reported financial results and provided a business update for the first quarter ended March 31, 2017.</w:t>
      </w:r>
    </w:p>
    <w:p>
      <w:pPr>
        <w:spacing w:after="0" w:line="125" w:lineRule="exact"/>
        <w:rPr>
          <w:sz w:val="20"/>
          <w:szCs w:val="20"/>
          <w:color w:val="auto"/>
        </w:rPr>
      </w:pPr>
    </w:p>
    <w:p>
      <w:pPr>
        <w:jc w:val="both"/>
        <w:ind w:left="160" w:right="139"/>
        <w:spacing w:after="0" w:line="215" w:lineRule="auto"/>
        <w:rPr>
          <w:sz w:val="20"/>
          <w:szCs w:val="20"/>
          <w:color w:val="auto"/>
        </w:rPr>
      </w:pPr>
      <w:r>
        <w:rPr>
          <w:rFonts w:ascii="Arial" w:cs="Arial" w:eastAsia="Arial" w:hAnsi="Arial"/>
          <w:sz w:val="19"/>
          <w:szCs w:val="19"/>
          <w:color w:val="auto"/>
        </w:rPr>
        <w:t>“In the first quarter of 2017, we expanded our clinical-stage portfolio of drug candidates with the dosing of the first patient in our Phase 1 trial of BLU-667, a selective RET inhibitor that addresses both primary and predicted resistance mutations, while also progressing our ongoing Phase 1 trials of BLU-554 and BLU-285,” said Jeff Albers, Chief Executive Officer of Blueprint Medicines. “Our recent financing in April further strengthened our balance sheet, and we believe that we are well positioned to continue advancing our robust pipeline, including three clinical-stage drug candidates and multiple discovery programs, through important milestones. We look forward to presenting updated Phase 1 data for BLU-285 in GIST and systemic mastocytosis and BLU-554 in hepatocellular carcinoma later this year, which will help inform and guide our future development efforts for these programs.”</w:t>
      </w:r>
    </w:p>
    <w:p>
      <w:pPr>
        <w:spacing w:after="0" w:line="123" w:lineRule="exact"/>
        <w:rPr>
          <w:sz w:val="20"/>
          <w:szCs w:val="20"/>
          <w:color w:val="auto"/>
        </w:rPr>
      </w:pPr>
    </w:p>
    <w:p>
      <w:pPr>
        <w:ind w:left="160"/>
        <w:spacing w:after="0"/>
        <w:rPr>
          <w:sz w:val="20"/>
          <w:szCs w:val="20"/>
          <w:color w:val="auto"/>
        </w:rPr>
      </w:pPr>
      <w:r>
        <w:rPr>
          <w:rFonts w:ascii="Arial" w:cs="Arial" w:eastAsia="Arial" w:hAnsi="Arial"/>
          <w:sz w:val="20"/>
          <w:szCs w:val="20"/>
          <w:b w:val="1"/>
          <w:bCs w:val="1"/>
          <w:color w:val="auto"/>
        </w:rPr>
        <w:t>Clinical Programs:</w:t>
      </w:r>
    </w:p>
    <w:p>
      <w:pPr>
        <w:spacing w:after="0" w:line="154" w:lineRule="exact"/>
        <w:rPr>
          <w:sz w:val="20"/>
          <w:szCs w:val="20"/>
          <w:color w:val="auto"/>
        </w:rPr>
      </w:pPr>
    </w:p>
    <w:p>
      <w:pPr>
        <w:ind w:left="160"/>
        <w:spacing w:after="0"/>
        <w:rPr>
          <w:sz w:val="20"/>
          <w:szCs w:val="20"/>
          <w:color w:val="auto"/>
        </w:rPr>
      </w:pPr>
      <w:r>
        <w:rPr>
          <w:rFonts w:ascii="Arial" w:cs="Arial" w:eastAsia="Arial" w:hAnsi="Arial"/>
          <w:sz w:val="20"/>
          <w:szCs w:val="20"/>
          <w:i w:val="1"/>
          <w:iCs w:val="1"/>
          <w:color w:val="auto"/>
        </w:rPr>
        <w:t>BLU-285: Gastrointestinal Stromal Tumors</w:t>
      </w:r>
    </w:p>
    <w:p>
      <w:pPr>
        <w:spacing w:after="0" w:line="148" w:lineRule="exact"/>
        <w:rPr>
          <w:sz w:val="20"/>
          <w:szCs w:val="20"/>
          <w:color w:val="auto"/>
        </w:rPr>
      </w:pPr>
    </w:p>
    <w:p>
      <w:pPr>
        <w:jc w:val="both"/>
        <w:ind w:left="520" w:right="139" w:hanging="53"/>
        <w:spacing w:after="0" w:line="237" w:lineRule="auto"/>
        <w:rPr>
          <w:sz w:val="20"/>
          <w:szCs w:val="20"/>
          <w:color w:val="auto"/>
        </w:rPr>
      </w:pPr>
      <w:r>
        <w:rPr>
          <w:rFonts w:ascii="Arial" w:cs="Arial" w:eastAsia="Arial" w:hAnsi="Arial"/>
          <w:sz w:val="18"/>
          <w:szCs w:val="18"/>
          <w:color w:val="auto"/>
        </w:rPr>
        <w:t>·Blueprint Medicines continues to enroll patients in the dose expansion stage of its ongoing Phase 1 clinical trial for BLU-285 in patients with advanced GIST and will present updated data from this clinical trial in an oral presentation, “Clinical activity of BLU-285 in advanced gastrointestinal stromal tumor (GIST),” at the 2017 ASCO Annual Meeting on Monday, June 5, 2017 in Chicago, Illinois.</w:t>
      </w:r>
    </w:p>
    <w:p>
      <w:pPr>
        <w:spacing w:after="0" w:line="128" w:lineRule="exact"/>
        <w:rPr>
          <w:sz w:val="20"/>
          <w:szCs w:val="20"/>
          <w:color w:val="auto"/>
        </w:rPr>
      </w:pPr>
    </w:p>
    <w:p>
      <w:pPr>
        <w:ind w:left="160"/>
        <w:spacing w:after="0"/>
        <w:rPr>
          <w:sz w:val="20"/>
          <w:szCs w:val="20"/>
          <w:color w:val="auto"/>
        </w:rPr>
      </w:pPr>
      <w:r>
        <w:rPr>
          <w:rFonts w:ascii="Arial" w:cs="Arial" w:eastAsia="Arial" w:hAnsi="Arial"/>
          <w:sz w:val="20"/>
          <w:szCs w:val="20"/>
          <w:i w:val="1"/>
          <w:iCs w:val="1"/>
          <w:color w:val="auto"/>
        </w:rPr>
        <w:t>BLU-285: Systemic Mastocytosis</w:t>
      </w:r>
    </w:p>
    <w:p>
      <w:pPr>
        <w:spacing w:after="0" w:line="148" w:lineRule="exact"/>
        <w:rPr>
          <w:sz w:val="20"/>
          <w:szCs w:val="20"/>
          <w:color w:val="auto"/>
        </w:rPr>
      </w:pPr>
    </w:p>
    <w:p>
      <w:pPr>
        <w:jc w:val="both"/>
        <w:ind w:left="520" w:right="139" w:hanging="53"/>
        <w:spacing w:after="0" w:line="230" w:lineRule="auto"/>
        <w:rPr>
          <w:sz w:val="20"/>
          <w:szCs w:val="20"/>
          <w:color w:val="auto"/>
        </w:rPr>
      </w:pPr>
      <w:r>
        <w:rPr>
          <w:rFonts w:ascii="Arial" w:cs="Arial" w:eastAsia="Arial" w:hAnsi="Arial"/>
          <w:sz w:val="19"/>
          <w:szCs w:val="19"/>
          <w:color w:val="auto"/>
        </w:rPr>
        <w:t>·Blueprint Medicines recently completed enrollment in the dose escalation stage of its ongoing Phase 1 clinical trial for BLU-285 in patients with advanced systemic mastocytosis. Blueprint Medicines anticipates initiating the dose expansion stage of this clinical trial by the middle of 2017.</w:t>
      </w:r>
    </w:p>
    <w:p>
      <w:pPr>
        <w:spacing w:after="0" w:line="128" w:lineRule="exact"/>
        <w:rPr>
          <w:sz w:val="20"/>
          <w:szCs w:val="20"/>
          <w:color w:val="auto"/>
        </w:rPr>
      </w:pPr>
    </w:p>
    <w:p>
      <w:pPr>
        <w:ind w:left="160"/>
        <w:spacing w:after="0"/>
        <w:rPr>
          <w:sz w:val="20"/>
          <w:szCs w:val="20"/>
          <w:color w:val="auto"/>
        </w:rPr>
      </w:pPr>
      <w:r>
        <w:rPr>
          <w:rFonts w:ascii="Arial" w:cs="Arial" w:eastAsia="Arial" w:hAnsi="Arial"/>
          <w:sz w:val="20"/>
          <w:szCs w:val="20"/>
          <w:i w:val="1"/>
          <w:iCs w:val="1"/>
          <w:color w:val="auto"/>
        </w:rPr>
        <w:t>BLU-285: Recent Scientific Presentations</w:t>
      </w:r>
    </w:p>
    <w:p>
      <w:pPr>
        <w:spacing w:after="0" w:line="148" w:lineRule="exact"/>
        <w:rPr>
          <w:sz w:val="20"/>
          <w:szCs w:val="20"/>
          <w:color w:val="auto"/>
        </w:rPr>
      </w:pPr>
    </w:p>
    <w:p>
      <w:pPr>
        <w:jc w:val="both"/>
        <w:ind w:left="520" w:right="139" w:hanging="53"/>
        <w:spacing w:after="0" w:line="230" w:lineRule="auto"/>
        <w:rPr>
          <w:sz w:val="20"/>
          <w:szCs w:val="20"/>
          <w:color w:val="auto"/>
        </w:rPr>
      </w:pPr>
      <w:r>
        <w:rPr>
          <w:rFonts w:ascii="Arial" w:cs="Arial" w:eastAsia="Arial" w:hAnsi="Arial"/>
          <w:sz w:val="19"/>
          <w:szCs w:val="19"/>
          <w:color w:val="auto"/>
        </w:rPr>
        <w:t>·In April 2017 at the Annual Meeting of the American Association for Cancer Research (AACR), Blueprint Medicines presented preclinical data demonstrating the ability of BLU-285 to potently and selectively inhibit KIT and PDGFRα activation loop mutants, which are key disease drivers for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117475</wp:posOffset>
            </wp:positionV>
            <wp:extent cx="5548630" cy="260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548630" cy="26035"/>
                    </a:xfrm>
                    <a:prstGeom prst="rect">
                      <a:avLst/>
                    </a:prstGeom>
                    <a:noFill/>
                  </pic:spPr>
                </pic:pic>
              </a:graphicData>
            </a:graphic>
          </wp:anchor>
        </w:drawing>
      </w:r>
    </w:p>
    <w:p>
      <w:pPr>
        <w:sectPr>
          <w:pgSz w:w="11900" w:h="16838" w:orient="portrait"/>
          <w:cols w:equalWidth="0" w:num="1">
            <w:col w:w="9019"/>
          </w:cols>
          <w:pgMar w:left="1440" w:top="108" w:right="1440" w:bottom="1440" w:gutter="0" w:footer="0" w:header="0"/>
        </w:sectPr>
      </w:pPr>
    </w:p>
    <w:bookmarkStart w:id="5" w:name="page6"/>
    <w:bookmarkEnd w:id="5"/>
    <w:p>
      <w:pPr>
        <w:ind w:left="800" w:right="139"/>
        <w:spacing w:after="0" w:line="206" w:lineRule="auto"/>
        <w:rPr>
          <w:sz w:val="20"/>
          <w:szCs w:val="20"/>
          <w:color w:val="auto"/>
        </w:rPr>
      </w:pPr>
      <w:r>
        <w:rPr>
          <w:rFonts w:ascii="Arial" w:cs="Arial" w:eastAsia="Arial" w:hAnsi="Arial"/>
          <w:sz w:val="20"/>
          <w:szCs w:val="20"/>
          <w:color w:val="auto"/>
        </w:rPr>
        <w:t xml:space="preserve">GIST and systemic mastocytosis. BLU-285 also showed dose-dependent tumor regression in multiple </w:t>
      </w:r>
      <w:r>
        <w:rPr>
          <w:rFonts w:ascii="Arial" w:cs="Arial" w:eastAsia="Arial" w:hAnsi="Arial"/>
          <w:sz w:val="20"/>
          <w:szCs w:val="20"/>
          <w:i w:val="1"/>
          <w:iCs w:val="1"/>
          <w:color w:val="auto"/>
        </w:rPr>
        <w:t xml:space="preserve">in vivo </w:t>
      </w:r>
      <w:r>
        <w:rPr>
          <w:rFonts w:ascii="Arial" w:cs="Arial" w:eastAsia="Arial" w:hAnsi="Arial"/>
          <w:sz w:val="20"/>
          <w:szCs w:val="20"/>
          <w:color w:val="auto"/>
        </w:rPr>
        <w:t>disease models.</w:t>
      </w:r>
    </w:p>
    <w:p>
      <w:pPr>
        <w:jc w:val="both"/>
        <w:ind w:left="520" w:right="139" w:hanging="53"/>
        <w:spacing w:after="0" w:line="232" w:lineRule="auto"/>
        <w:rPr>
          <w:sz w:val="20"/>
          <w:szCs w:val="20"/>
          <w:color w:val="auto"/>
        </w:rPr>
      </w:pPr>
      <w:r>
        <w:rPr>
          <w:rFonts w:ascii="Arial" w:cs="Arial" w:eastAsia="Arial" w:hAnsi="Arial"/>
          <w:sz w:val="18"/>
          <w:szCs w:val="18"/>
          <w:color w:val="auto"/>
        </w:rPr>
        <w:t>·In April 2017, Blueprint Medicines presented on the discovery and development of BLU-285 at the 253</w:t>
      </w:r>
      <w:r>
        <w:rPr>
          <w:rFonts w:ascii="Arial" w:cs="Arial" w:eastAsia="Arial" w:hAnsi="Arial"/>
          <w:sz w:val="18"/>
          <w:szCs w:val="18"/>
          <w:color w:val="auto"/>
          <w:vertAlign w:val="superscript"/>
        </w:rPr>
        <w:t>rd</w:t>
      </w:r>
      <w:r>
        <w:rPr>
          <w:rFonts w:ascii="Arial" w:cs="Arial" w:eastAsia="Arial" w:hAnsi="Arial"/>
          <w:sz w:val="18"/>
          <w:szCs w:val="18"/>
          <w:color w:val="auto"/>
        </w:rPr>
        <w:t xml:space="preserve"> American Chemical Society National Meeting and Exposition (ACS). The presentation included an in-depth mechanistic overview of kinase activation loop mutants, and a discussion of kinome-wide selectivity structure-activity relationship (SAR) and the optimization of overall drug properties.</w:t>
      </w:r>
    </w:p>
    <w:p>
      <w:pPr>
        <w:spacing w:after="0" w:line="130" w:lineRule="exact"/>
        <w:rPr>
          <w:sz w:val="20"/>
          <w:szCs w:val="20"/>
          <w:color w:val="auto"/>
        </w:rPr>
      </w:pPr>
    </w:p>
    <w:p>
      <w:pPr>
        <w:ind w:left="160"/>
        <w:spacing w:after="0"/>
        <w:rPr>
          <w:sz w:val="20"/>
          <w:szCs w:val="20"/>
          <w:color w:val="auto"/>
        </w:rPr>
      </w:pPr>
      <w:r>
        <w:rPr>
          <w:rFonts w:ascii="Arial" w:cs="Arial" w:eastAsia="Arial" w:hAnsi="Arial"/>
          <w:sz w:val="20"/>
          <w:szCs w:val="20"/>
          <w:i w:val="1"/>
          <w:iCs w:val="1"/>
          <w:color w:val="auto"/>
        </w:rPr>
        <w:t>BLU-554: Hepatocellular Carcinoma</w:t>
      </w:r>
    </w:p>
    <w:p>
      <w:pPr>
        <w:spacing w:after="0" w:line="148" w:lineRule="exact"/>
        <w:rPr>
          <w:sz w:val="20"/>
          <w:szCs w:val="20"/>
          <w:color w:val="auto"/>
        </w:rPr>
      </w:pPr>
    </w:p>
    <w:p>
      <w:pPr>
        <w:jc w:val="both"/>
        <w:ind w:left="520" w:right="159" w:hanging="53"/>
        <w:spacing w:after="0" w:line="218" w:lineRule="auto"/>
        <w:rPr>
          <w:sz w:val="20"/>
          <w:szCs w:val="20"/>
          <w:color w:val="auto"/>
        </w:rPr>
      </w:pPr>
      <w:r>
        <w:rPr>
          <w:rFonts w:ascii="Arial" w:cs="Arial" w:eastAsia="Arial" w:hAnsi="Arial"/>
          <w:sz w:val="20"/>
          <w:szCs w:val="20"/>
          <w:color w:val="auto"/>
        </w:rPr>
        <w:t>·In April 2017, Blueprint Medicines presented on the discovery and development of BLU-554 at ACS. The presentation detailed the discovery of BLU-554 using structure-based drug design and SAR development towards the optimization of overall drug properties for BLU-554.</w:t>
      </w:r>
    </w:p>
    <w:p>
      <w:pPr>
        <w:spacing w:after="0" w:line="130" w:lineRule="exact"/>
        <w:rPr>
          <w:sz w:val="20"/>
          <w:szCs w:val="20"/>
          <w:color w:val="auto"/>
        </w:rPr>
      </w:pPr>
    </w:p>
    <w:p>
      <w:pPr>
        <w:ind w:left="160" w:right="159"/>
        <w:spacing w:after="0" w:line="229" w:lineRule="auto"/>
        <w:rPr>
          <w:sz w:val="20"/>
          <w:szCs w:val="20"/>
          <w:color w:val="auto"/>
        </w:rPr>
      </w:pPr>
      <w:r>
        <w:rPr>
          <w:rFonts w:ascii="Arial" w:cs="Arial" w:eastAsia="Arial" w:hAnsi="Arial"/>
          <w:sz w:val="20"/>
          <w:szCs w:val="20"/>
          <w:i w:val="1"/>
          <w:iCs w:val="1"/>
          <w:color w:val="auto"/>
        </w:rPr>
        <w:t>BLU-667: Non-Small Cell Lung Cancer (NSCLC), Medullary Thyroid Carcinoma (MTC) and other advanced solid tumors with RET alterations</w:t>
      </w:r>
    </w:p>
    <w:p>
      <w:pPr>
        <w:spacing w:after="0" w:line="128" w:lineRule="exact"/>
        <w:rPr>
          <w:sz w:val="20"/>
          <w:szCs w:val="20"/>
          <w:color w:val="auto"/>
        </w:rPr>
      </w:pPr>
    </w:p>
    <w:p>
      <w:pPr>
        <w:jc w:val="both"/>
        <w:ind w:left="520" w:right="139" w:hanging="53"/>
        <w:spacing w:after="0" w:line="218" w:lineRule="auto"/>
        <w:rPr>
          <w:sz w:val="20"/>
          <w:szCs w:val="20"/>
          <w:color w:val="auto"/>
        </w:rPr>
      </w:pPr>
      <w:r>
        <w:rPr>
          <w:rFonts w:ascii="Arial" w:cs="Arial" w:eastAsia="Arial" w:hAnsi="Arial"/>
          <w:sz w:val="19"/>
          <w:szCs w:val="19"/>
          <w:color w:val="auto"/>
        </w:rPr>
        <w:t>·In March 2017, Blueprint Medicines dosed the first patient in its Phase 1 clinical trial for BLU-667. This clinical trial is designed to evaluate the safety and tolerability of BLU-667 in multiple ascending doses in patients with NSCLC, MTC and other advanced solid tumors with the goal of establishing a maximum tolerated dose or a recommended dose. Following the identification of a dose and schedule for BLU-667, Blueprint Medicines plans to open expansion cohorts for patients with NSCLC, MTC and other advanced solid tumors with RET alterations.</w:t>
      </w:r>
    </w:p>
    <w:p>
      <w:pPr>
        <w:spacing w:after="0" w:line="127" w:lineRule="exact"/>
        <w:rPr>
          <w:sz w:val="20"/>
          <w:szCs w:val="20"/>
          <w:color w:val="auto"/>
        </w:rPr>
      </w:pPr>
    </w:p>
    <w:p>
      <w:pPr>
        <w:ind w:left="160"/>
        <w:spacing w:after="0"/>
        <w:rPr>
          <w:sz w:val="20"/>
          <w:szCs w:val="20"/>
          <w:color w:val="auto"/>
        </w:rPr>
      </w:pPr>
      <w:r>
        <w:rPr>
          <w:rFonts w:ascii="Arial" w:cs="Arial" w:eastAsia="Arial" w:hAnsi="Arial"/>
          <w:sz w:val="20"/>
          <w:szCs w:val="20"/>
          <w:b w:val="1"/>
          <w:bCs w:val="1"/>
          <w:color w:val="auto"/>
        </w:rPr>
        <w:t>Corporate Highlights:</w:t>
      </w:r>
    </w:p>
    <w:p>
      <w:pPr>
        <w:spacing w:after="0" w:line="148" w:lineRule="exact"/>
        <w:rPr>
          <w:sz w:val="20"/>
          <w:szCs w:val="20"/>
          <w:color w:val="auto"/>
        </w:rPr>
      </w:pPr>
    </w:p>
    <w:p>
      <w:pPr>
        <w:jc w:val="both"/>
        <w:ind w:left="520" w:right="139" w:hanging="53"/>
        <w:spacing w:after="0" w:line="222"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Closed Public Offering:</w:t>
      </w:r>
      <w:r>
        <w:rPr>
          <w:rFonts w:ascii="Arial" w:cs="Arial" w:eastAsia="Arial" w:hAnsi="Arial"/>
          <w:sz w:val="19"/>
          <w:szCs w:val="19"/>
          <w:color w:val="auto"/>
        </w:rPr>
        <w:t xml:space="preserve"> In April 2017, Blueprint Medicines announced the closing of an underwritten public offering of 5,750,000 shares of its common stock at a public offering price of $40.00 per share, including the exercise in full by the underwriters of their option to purchase additional shares of common stock. Blueprint Medicines received net proceeds from the offering of $215.6 million, after deducting underwriting discounts and commissions and offering expenses.</w:t>
      </w:r>
    </w:p>
    <w:p>
      <w:pPr>
        <w:spacing w:after="0" w:line="124" w:lineRule="exact"/>
        <w:rPr>
          <w:sz w:val="20"/>
          <w:szCs w:val="20"/>
          <w:color w:val="auto"/>
        </w:rPr>
      </w:pPr>
    </w:p>
    <w:p>
      <w:pPr>
        <w:ind w:left="160"/>
        <w:spacing w:after="0"/>
        <w:rPr>
          <w:sz w:val="20"/>
          <w:szCs w:val="20"/>
          <w:color w:val="auto"/>
        </w:rPr>
      </w:pPr>
      <w:r>
        <w:rPr>
          <w:rFonts w:ascii="Arial" w:cs="Arial" w:eastAsia="Arial" w:hAnsi="Arial"/>
          <w:sz w:val="20"/>
          <w:szCs w:val="20"/>
          <w:b w:val="1"/>
          <w:bCs w:val="1"/>
          <w:color w:val="auto"/>
        </w:rPr>
        <w:t>First Quarter 2017 Financial Results:</w:t>
      </w:r>
    </w:p>
    <w:p>
      <w:pPr>
        <w:spacing w:after="0" w:line="148" w:lineRule="exact"/>
        <w:rPr>
          <w:sz w:val="20"/>
          <w:szCs w:val="20"/>
          <w:color w:val="auto"/>
        </w:rPr>
      </w:pPr>
    </w:p>
    <w:p>
      <w:pPr>
        <w:jc w:val="both"/>
        <w:ind w:left="520" w:right="139" w:hanging="53"/>
        <w:spacing w:after="0" w:line="204"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Cash Position:</w:t>
      </w:r>
      <w:r>
        <w:rPr>
          <w:rFonts w:ascii="Arial" w:cs="Arial" w:eastAsia="Arial" w:hAnsi="Arial"/>
          <w:sz w:val="20"/>
          <w:szCs w:val="20"/>
          <w:color w:val="auto"/>
        </w:rPr>
        <w:t xml:space="preserve"> As of March 31, 2017, cash, cash equivalents and investments were $236.3 million, as compared to $268.2 million as of December 31, 2016. This decrease was primarily related to cash used in operating activities.</w:t>
      </w:r>
    </w:p>
    <w:p>
      <w:pPr>
        <w:spacing w:after="0" w:line="3" w:lineRule="exact"/>
        <w:rPr>
          <w:sz w:val="20"/>
          <w:szCs w:val="20"/>
          <w:color w:val="auto"/>
        </w:rPr>
      </w:pPr>
    </w:p>
    <w:p>
      <w:pPr>
        <w:jc w:val="both"/>
        <w:ind w:left="520" w:right="139" w:hanging="53"/>
        <w:spacing w:after="0" w:line="207"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Collaboration Revenue:</w:t>
      </w:r>
      <w:r>
        <w:rPr>
          <w:rFonts w:ascii="Arial" w:cs="Arial" w:eastAsia="Arial" w:hAnsi="Arial"/>
          <w:sz w:val="19"/>
          <w:szCs w:val="19"/>
          <w:color w:val="auto"/>
        </w:rPr>
        <w:t xml:space="preserve"> Collaboration revenues were $5.8 million for the first quarter of 2017, as compared to $6.8 million for the first quarter of 2016. This decrease was primarily due to the recognition of a milestone under Blueprint Medicines’ collaboration with Alexion in the first quarter of 2016 as well as lower reimbursable research and development expenses under the Alexion collaboration due to the timing of certain research and development activities.</w:t>
      </w:r>
    </w:p>
    <w:p>
      <w:pPr>
        <w:spacing w:after="0" w:line="3" w:lineRule="exact"/>
        <w:rPr>
          <w:sz w:val="20"/>
          <w:szCs w:val="20"/>
          <w:color w:val="auto"/>
        </w:rPr>
      </w:pPr>
    </w:p>
    <w:p>
      <w:pPr>
        <w:jc w:val="both"/>
        <w:ind w:left="520" w:right="139" w:hanging="53"/>
        <w:spacing w:after="0" w:line="206"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R&amp;D Expenses:</w:t>
      </w:r>
      <w:r>
        <w:rPr>
          <w:rFonts w:ascii="Arial" w:cs="Arial" w:eastAsia="Arial" w:hAnsi="Arial"/>
          <w:sz w:val="20"/>
          <w:szCs w:val="20"/>
          <w:color w:val="auto"/>
        </w:rPr>
        <w:t xml:space="preserve"> Research and development expenses were $28.5 million for the first quarter of 2017, as compared to $17.6 million for the first quarter of 2016. This increase was primarily attributable to increased clinical and manufacturing expenses associated with advancing BLU-285, BLU-554 and BLU-667 into clinical trials and increased personnel-related expenses, including stock-based compensation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120015</wp:posOffset>
            </wp:positionV>
            <wp:extent cx="5548630"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548630" cy="26035"/>
                    </a:xfrm>
                    <a:prstGeom prst="rect">
                      <a:avLst/>
                    </a:prstGeom>
                    <a:noFill/>
                  </pic:spPr>
                </pic:pic>
              </a:graphicData>
            </a:graphic>
          </wp:anchor>
        </w:drawing>
      </w:r>
    </w:p>
    <w:p>
      <w:pPr>
        <w:sectPr>
          <w:pgSz w:w="11900" w:h="16838" w:orient="portrait"/>
          <w:cols w:equalWidth="0" w:num="1">
            <w:col w:w="9019"/>
          </w:cols>
          <w:pgMar w:left="1440" w:top="108" w:right="1440" w:bottom="1440" w:gutter="0" w:footer="0" w:header="0"/>
        </w:sectPr>
      </w:pPr>
    </w:p>
    <w:bookmarkStart w:id="6" w:name="page7"/>
    <w:bookmarkEnd w:id="6"/>
    <w:p>
      <w:pPr>
        <w:jc w:val="both"/>
        <w:ind w:left="520" w:right="159" w:hanging="53"/>
        <w:spacing w:after="0" w:line="22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G&amp;A Expenses:</w:t>
      </w:r>
      <w:r>
        <w:rPr>
          <w:rFonts w:ascii="Arial" w:cs="Arial" w:eastAsia="Arial" w:hAnsi="Arial"/>
          <w:sz w:val="18"/>
          <w:szCs w:val="18"/>
          <w:color w:val="auto"/>
        </w:rPr>
        <w:t xml:space="preserve"> General and administrative expenses were $5.6 million for the first quarter of 2017, as compared to $4.6 million for the first quarter of 2016. This increase was primarily attributable to increased personnel-related expenses, including stock-based compensation expense.</w:t>
      </w:r>
    </w:p>
    <w:p>
      <w:pPr>
        <w:spacing w:after="0" w:line="2" w:lineRule="exact"/>
        <w:rPr>
          <w:sz w:val="20"/>
          <w:szCs w:val="20"/>
          <w:color w:val="auto"/>
        </w:rPr>
      </w:pPr>
    </w:p>
    <w:p>
      <w:pPr>
        <w:ind w:left="520" w:right="519" w:hanging="53"/>
        <w:spacing w:after="0" w:line="312"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Net Loss:</w:t>
      </w:r>
      <w:r>
        <w:rPr>
          <w:rFonts w:ascii="Arial" w:cs="Arial" w:eastAsia="Arial" w:hAnsi="Arial"/>
          <w:sz w:val="16"/>
          <w:szCs w:val="16"/>
          <w:color w:val="auto"/>
        </w:rPr>
        <w:t xml:space="preserve"> Net loss was $28.0 million for the first quarter of 2017, or a net loss per share of $0.84, as compared to a net loss of $15.5 million for the first quarter of 2016, or a net loss per share of $0.57.</w:t>
      </w:r>
    </w:p>
    <w:p>
      <w:pPr>
        <w:spacing w:after="0" w:line="67" w:lineRule="exact"/>
        <w:rPr>
          <w:sz w:val="20"/>
          <w:szCs w:val="20"/>
          <w:color w:val="auto"/>
        </w:rPr>
      </w:pPr>
    </w:p>
    <w:p>
      <w:pPr>
        <w:ind w:left="160"/>
        <w:spacing w:after="0"/>
        <w:rPr>
          <w:sz w:val="20"/>
          <w:szCs w:val="20"/>
          <w:color w:val="auto"/>
        </w:rPr>
      </w:pPr>
      <w:r>
        <w:rPr>
          <w:rFonts w:ascii="Arial" w:cs="Arial" w:eastAsia="Arial" w:hAnsi="Arial"/>
          <w:sz w:val="20"/>
          <w:szCs w:val="20"/>
          <w:b w:val="1"/>
          <w:bCs w:val="1"/>
          <w:color w:val="auto"/>
        </w:rPr>
        <w:t>Financial Guidance:</w:t>
      </w:r>
    </w:p>
    <w:p>
      <w:pPr>
        <w:spacing w:after="0" w:line="154" w:lineRule="exact"/>
        <w:rPr>
          <w:sz w:val="20"/>
          <w:szCs w:val="20"/>
          <w:color w:val="auto"/>
        </w:rPr>
      </w:pPr>
    </w:p>
    <w:p>
      <w:pPr>
        <w:jc w:val="both"/>
        <w:ind w:left="160" w:right="139"/>
        <w:spacing w:after="0" w:line="213" w:lineRule="auto"/>
        <w:rPr>
          <w:sz w:val="20"/>
          <w:szCs w:val="20"/>
          <w:color w:val="auto"/>
        </w:rPr>
      </w:pPr>
      <w:r>
        <w:rPr>
          <w:rFonts w:ascii="Arial" w:cs="Arial" w:eastAsia="Arial" w:hAnsi="Arial"/>
          <w:sz w:val="20"/>
          <w:szCs w:val="20"/>
          <w:color w:val="auto"/>
        </w:rPr>
        <w:t>Based on its current plans, Blueprint Medicines expects its existing cash, cash equivalents and investments, including the net proceeds from its April 2017 offering, but excluding any potential option fees and milestone payments under its existing collaborations, will be sufficient to enable it to fund its operating expenses and capital expenditure requirements into the second half of 2019.</w:t>
      </w:r>
    </w:p>
    <w:p>
      <w:pPr>
        <w:spacing w:after="0" w:line="123" w:lineRule="exact"/>
        <w:rPr>
          <w:sz w:val="20"/>
          <w:szCs w:val="20"/>
          <w:color w:val="auto"/>
        </w:rPr>
      </w:pPr>
    </w:p>
    <w:p>
      <w:pPr>
        <w:ind w:left="160"/>
        <w:spacing w:after="0"/>
        <w:rPr>
          <w:sz w:val="20"/>
          <w:szCs w:val="20"/>
          <w:color w:val="auto"/>
        </w:rPr>
      </w:pPr>
      <w:r>
        <w:rPr>
          <w:rFonts w:ascii="Arial" w:cs="Arial" w:eastAsia="Arial" w:hAnsi="Arial"/>
          <w:sz w:val="20"/>
          <w:szCs w:val="20"/>
          <w:b w:val="1"/>
          <w:bCs w:val="1"/>
          <w:color w:val="auto"/>
        </w:rPr>
        <w:t>Conference Call Information</w:t>
      </w:r>
    </w:p>
    <w:p>
      <w:pPr>
        <w:spacing w:after="0" w:line="154" w:lineRule="exact"/>
        <w:rPr>
          <w:sz w:val="20"/>
          <w:szCs w:val="20"/>
          <w:color w:val="auto"/>
        </w:rPr>
      </w:pPr>
    </w:p>
    <w:p>
      <w:pPr>
        <w:jc w:val="both"/>
        <w:ind w:left="160" w:right="139"/>
        <w:spacing w:after="0" w:line="218" w:lineRule="auto"/>
        <w:rPr>
          <w:sz w:val="20"/>
          <w:szCs w:val="20"/>
          <w:color w:val="auto"/>
        </w:rPr>
      </w:pPr>
      <w:r>
        <w:rPr>
          <w:rFonts w:ascii="Arial" w:cs="Arial" w:eastAsia="Arial" w:hAnsi="Arial"/>
          <w:sz w:val="19"/>
          <w:szCs w:val="19"/>
          <w:color w:val="auto"/>
        </w:rPr>
        <w:t>Blueprint Medicines will host a live conference call and webcast today at 8:30 a.m. ET. The conference call may be accessed by dialing 855-728-4793 (domestic) or 503-343-6666 (international) and referring to conference ID 5771361. A webcast of the conference call will also be available in the Investors section of Blueprint Medicines’ website at http://ir.blueprintmedicines.com. The archived webcast will be available on Blueprint Medicines’ website approximately two hours after the conference call and will be available for 30 days following the call.</w:t>
      </w:r>
    </w:p>
    <w:p>
      <w:pPr>
        <w:spacing w:after="0" w:line="127" w:lineRule="exact"/>
        <w:rPr>
          <w:sz w:val="20"/>
          <w:szCs w:val="20"/>
          <w:color w:val="auto"/>
        </w:rPr>
      </w:pPr>
    </w:p>
    <w:p>
      <w:pPr>
        <w:ind w:left="160"/>
        <w:spacing w:after="0"/>
        <w:rPr>
          <w:sz w:val="20"/>
          <w:szCs w:val="20"/>
          <w:color w:val="auto"/>
        </w:rPr>
      </w:pPr>
      <w:r>
        <w:rPr>
          <w:rFonts w:ascii="Arial" w:cs="Arial" w:eastAsia="Arial" w:hAnsi="Arial"/>
          <w:sz w:val="20"/>
          <w:szCs w:val="20"/>
          <w:b w:val="1"/>
          <w:bCs w:val="1"/>
          <w:color w:val="auto"/>
        </w:rPr>
        <w:t>About Blueprint Medicines</w:t>
      </w:r>
    </w:p>
    <w:p>
      <w:pPr>
        <w:spacing w:after="0" w:line="154" w:lineRule="exact"/>
        <w:rPr>
          <w:sz w:val="20"/>
          <w:szCs w:val="20"/>
          <w:color w:val="auto"/>
        </w:rPr>
      </w:pPr>
    </w:p>
    <w:p>
      <w:pPr>
        <w:jc w:val="both"/>
        <w:ind w:left="160" w:right="139"/>
        <w:spacing w:after="0" w:line="217" w:lineRule="auto"/>
        <w:rPr>
          <w:sz w:val="20"/>
          <w:szCs w:val="20"/>
          <w:color w:val="auto"/>
        </w:rPr>
      </w:pPr>
      <w:r>
        <w:rPr>
          <w:rFonts w:ascii="Arial" w:cs="Arial" w:eastAsia="Arial" w:hAnsi="Arial"/>
          <w:sz w:val="19"/>
          <w:szCs w:val="19"/>
          <w:color w:val="auto"/>
        </w:rPr>
        <w:t>Blueprint Medicines is developing a new generation of targeted and potent kinase medicines to improve the lives of patients with genomically defined diseases. Its approach is rooted in a deep understanding of the genetic blueprint of cancer and other diseases driven by the abnormal activation of kinases. Blueprint Medicines is advancing four programs in clinical development for subsets of patients with gastrointestinal stromal tumors, hepatocellular carcinoma, systemic mastocytosis, non-small cell lung cancer, medullary thyroid cancer and other advanced solid tumors, as well as multiple programs in research and preclinical development. For more information, please visit www.blueprintmedicines.com.</w:t>
      </w:r>
    </w:p>
    <w:p>
      <w:pPr>
        <w:spacing w:after="0" w:line="124" w:lineRule="exact"/>
        <w:rPr>
          <w:sz w:val="20"/>
          <w:szCs w:val="20"/>
          <w:color w:val="auto"/>
        </w:rPr>
      </w:pPr>
    </w:p>
    <w:p>
      <w:pPr>
        <w:ind w:left="160"/>
        <w:spacing w:after="0"/>
        <w:rPr>
          <w:sz w:val="20"/>
          <w:szCs w:val="20"/>
          <w:color w:val="auto"/>
        </w:rPr>
      </w:pPr>
      <w:r>
        <w:rPr>
          <w:rFonts w:ascii="Arial" w:cs="Arial" w:eastAsia="Arial" w:hAnsi="Arial"/>
          <w:sz w:val="20"/>
          <w:szCs w:val="20"/>
          <w:b w:val="1"/>
          <w:bCs w:val="1"/>
          <w:color w:val="auto"/>
        </w:rPr>
        <w:t>Cautionary Note Regarding Forward-Looking Statements</w:t>
      </w:r>
    </w:p>
    <w:p>
      <w:pPr>
        <w:spacing w:after="0" w:line="154" w:lineRule="exact"/>
        <w:rPr>
          <w:sz w:val="20"/>
          <w:szCs w:val="20"/>
          <w:color w:val="auto"/>
        </w:rPr>
      </w:pPr>
    </w:p>
    <w:p>
      <w:pPr>
        <w:jc w:val="both"/>
        <w:ind w:left="160" w:right="139"/>
        <w:spacing w:after="0" w:line="224" w:lineRule="auto"/>
        <w:rPr>
          <w:sz w:val="20"/>
          <w:szCs w:val="20"/>
          <w:color w:val="auto"/>
        </w:rPr>
      </w:pPr>
      <w:r>
        <w:rPr>
          <w:rFonts w:ascii="Arial" w:cs="Arial" w:eastAsia="Arial" w:hAnsi="Arial"/>
          <w:sz w:val="18"/>
          <w:szCs w:val="18"/>
          <w:color w:val="auto"/>
        </w:rPr>
        <w:t>This press release contains forward-looking statements within the meaning of the Private Securities Litigation Reform Act of 1995, as amended, including, without limitation, statements regarding plans and timelines for the clinical development of BLU-285, BLU-554 and BLU-667; the timing of updated clinical data for Blueprint Medicines' Phase 1 clinical trials for BLU-285 and BLU-554; expectations regarding Blueprint Medicines' existing cash, cash equivalents and investments; and Blueprint Medicines' strategy, business plans and focus. The words "may," "will," "could," "would," "should," "expect," "plan," "anticipate," "intend," "believe," "estimate," "predict," "project," "potential," "continue," "target" and similar expressions are intended to identify forward-looking statements, although not all forward-looking statements contain these identifying words. Any forward-looking statements in this press release are based on management’s current expectations and beliefs and are subject to a number of risks, uncertainties and important factors that may cause actual events or results to differ materially from those expressed or implied by any forward-looking statements contained in this press release, including, without limitation, risks and uncertainties related to the delay of any current or planned clinical trials or the development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122555</wp:posOffset>
            </wp:positionV>
            <wp:extent cx="5548630" cy="260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548630" cy="260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7" w:name="page8"/>
    <w:bookmarkEnd w:id="7"/>
    <w:p>
      <w:pPr>
        <w:jc w:val="both"/>
        <w:ind w:left="160" w:right="139"/>
        <w:spacing w:after="0" w:line="223" w:lineRule="auto"/>
        <w:rPr>
          <w:sz w:val="20"/>
          <w:szCs w:val="20"/>
          <w:color w:val="auto"/>
        </w:rPr>
      </w:pPr>
      <w:r>
        <w:rPr>
          <w:rFonts w:ascii="Arial" w:cs="Arial" w:eastAsia="Arial" w:hAnsi="Arial"/>
          <w:sz w:val="18"/>
          <w:szCs w:val="18"/>
          <w:color w:val="auto"/>
        </w:rPr>
        <w:t>Blueprint Medicines’ drug candidates, including BLU-285, BLU-554 and BLU-667; Blueprint Medicines’ advancement of multiple early-stage efforts; Blueprint Medicines’ ability to successfully demonstrate the efficacy and safety of its drug product candidates; the preclinical and clinical results for Blueprint Medicines’ drug product candidates, which may not support further development of such drug product candidates; and actions of regulatory agencies, which may affect the initiation, timing and progress of clinical trials; Blueprint Medicines’ ability to develop and commercialize companion diagnostic tests for its current and future drug candidates, including companion diagnostic tests for BLU-554 with Ventana Medical Systems, Inc. and for BLU-285 with QIAGEN Manchester Limited; and the success of Blueprint Medicines’ rare genetic disease collaboration with Alexion Pharma Holding and its cancer immunotherapy collaboration with F. Hoffmann-La Roche Ltd and Hoffmann-La Roche Inc. These and other risks and uncertainties are described in greater detail in the section entitled "Risk Factors" in Blueprint Medicines' Annual Report on Form 10-K for the year ended December 31, 2016, as filed with the Securities and Exchange Commission (SEC) on March 9, 2017, and other filings that Blueprint Medicines may make with the SEC in the future. Any forward-looking statements contained in this press release represent Blueprint Medicines' views only as of the date hereof and should not be relied upon as representing its views as of any subsequent date. Blueprint Medicines explicitly disclaims any obligation to update any forward-looking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124460</wp:posOffset>
            </wp:positionV>
            <wp:extent cx="5548630"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548630" cy="26035"/>
                    </a:xfrm>
                    <a:prstGeom prst="rect">
                      <a:avLst/>
                    </a:prstGeom>
                    <a:noFill/>
                  </pic:spPr>
                </pic:pic>
              </a:graphicData>
            </a:graphic>
          </wp:anchor>
        </w:drawing>
      </w:r>
    </w:p>
    <w:p>
      <w:pPr>
        <w:sectPr>
          <w:pgSz w:w="11900" w:h="16838" w:orient="portrait"/>
          <w:cols w:equalWidth="0" w:num="1">
            <w:col w:w="9019"/>
          </w:cols>
          <w:pgMar w:left="1440" w:top="108" w:right="1440" w:bottom="1440" w:gutter="0" w:footer="0" w:header="0"/>
        </w:sectPr>
      </w:pPr>
    </w:p>
    <w:bookmarkStart w:id="8" w:name="page9"/>
    <w:bookmarkEnd w:id="8"/>
    <w:p>
      <w:pPr>
        <w:jc w:val="center"/>
        <w:spacing w:after="0"/>
        <w:rPr>
          <w:sz w:val="20"/>
          <w:szCs w:val="20"/>
          <w:color w:val="auto"/>
        </w:rPr>
      </w:pPr>
      <w:r>
        <w:rPr>
          <w:rFonts w:ascii="Arial" w:cs="Arial" w:eastAsia="Arial" w:hAnsi="Arial"/>
          <w:sz w:val="20"/>
          <w:szCs w:val="20"/>
          <w:b w:val="1"/>
          <w:bCs w:val="1"/>
          <w:color w:val="auto"/>
        </w:rPr>
        <w:t>Blueprint Medicines Corporation</w:t>
      </w:r>
    </w:p>
    <w:p>
      <w:pPr>
        <w:jc w:val="center"/>
        <w:spacing w:after="0" w:line="211" w:lineRule="auto"/>
        <w:rPr>
          <w:sz w:val="20"/>
          <w:szCs w:val="20"/>
          <w:color w:val="auto"/>
        </w:rPr>
      </w:pPr>
      <w:r>
        <w:rPr>
          <w:rFonts w:ascii="Arial" w:cs="Arial" w:eastAsia="Arial" w:hAnsi="Arial"/>
          <w:sz w:val="20"/>
          <w:szCs w:val="20"/>
          <w:b w:val="1"/>
          <w:bCs w:val="1"/>
          <w:color w:val="auto"/>
        </w:rPr>
        <w:t>Selected Condensed Consolidated Balance Sheet Data</w:t>
      </w:r>
    </w:p>
    <w:p>
      <w:pPr>
        <w:jc w:val="center"/>
        <w:spacing w:after="0" w:line="211" w:lineRule="auto"/>
        <w:rPr>
          <w:sz w:val="20"/>
          <w:szCs w:val="20"/>
          <w:color w:val="auto"/>
        </w:rPr>
      </w:pPr>
      <w:r>
        <w:rPr>
          <w:rFonts w:ascii="Arial" w:cs="Arial" w:eastAsia="Arial" w:hAnsi="Arial"/>
          <w:sz w:val="20"/>
          <w:szCs w:val="20"/>
          <w:b w:val="1"/>
          <w:bCs w:val="1"/>
          <w:color w:val="auto"/>
        </w:rPr>
        <w:t>(in thousands)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0"/>
          <w:szCs w:val="20"/>
          <w:b w:val="1"/>
          <w:bCs w:val="1"/>
          <w:i w:val="1"/>
          <w:iCs w:val="1"/>
          <w:color w:val="auto"/>
        </w:rPr>
        <w:t>(unaudited)</w:t>
      </w:r>
    </w:p>
    <w:p>
      <w:pPr>
        <w:spacing w:after="0" w:line="252" w:lineRule="exact"/>
        <w:rPr>
          <w:sz w:val="20"/>
          <w:szCs w:val="20"/>
          <w:color w:val="auto"/>
        </w:rPr>
      </w:pPr>
    </w:p>
    <w:tbl>
      <w:tblPr>
        <w:tblLayout w:type="fixed"/>
        <w:tblInd w:w="140" w:type="dxa"/>
        <w:tblCellMar>
          <w:top w:w="0" w:type="dxa"/>
          <w:left w:w="0" w:type="dxa"/>
          <w:bottom w:w="0" w:type="dxa"/>
          <w:right w:w="0" w:type="dxa"/>
        </w:tblCellMar>
      </w:tblPr>
      <w:tr>
        <w:trPr>
          <w:trHeight w:val="207"/>
        </w:trPr>
        <w:tc>
          <w:tcPr>
            <w:tcW w:w="4040" w:type="dxa"/>
            <w:vAlign w:val="bottom"/>
          </w:tcPr>
          <w:p>
            <w:pPr>
              <w:spacing w:after="0"/>
              <w:rPr>
                <w:sz w:val="18"/>
                <w:szCs w:val="18"/>
                <w:color w:val="auto"/>
              </w:rPr>
            </w:pPr>
          </w:p>
        </w:tc>
        <w:tc>
          <w:tcPr>
            <w:tcW w:w="1480" w:type="dxa"/>
            <w:vAlign w:val="bottom"/>
            <w:tcBorders>
              <w:bottom w:val="single" w:sz="8" w:color="auto"/>
            </w:tcBorders>
          </w:tcPr>
          <w:p>
            <w:pPr>
              <w:jc w:val="center"/>
              <w:ind w:left="570"/>
              <w:spacing w:after="0"/>
              <w:rPr>
                <w:sz w:val="20"/>
                <w:szCs w:val="20"/>
                <w:color w:val="auto"/>
              </w:rPr>
            </w:pPr>
            <w:r>
              <w:rPr>
                <w:rFonts w:ascii="Arial" w:cs="Arial" w:eastAsia="Arial" w:hAnsi="Arial"/>
                <w:sz w:val="18"/>
                <w:szCs w:val="18"/>
                <w:b w:val="1"/>
                <w:bCs w:val="1"/>
                <w:color w:val="auto"/>
                <w:w w:val="93"/>
              </w:rPr>
              <w:t>March 31,</w:t>
            </w:r>
          </w:p>
        </w:tc>
        <w:tc>
          <w:tcPr>
            <w:tcW w:w="660" w:type="dxa"/>
            <w:vAlign w:val="bottom"/>
            <w:tcBorders>
              <w:bottom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90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December 31,</w:t>
            </w:r>
          </w:p>
        </w:tc>
      </w:tr>
      <w:tr>
        <w:trPr>
          <w:trHeight w:val="237"/>
        </w:trPr>
        <w:tc>
          <w:tcPr>
            <w:tcW w:w="4040" w:type="dxa"/>
            <w:vAlign w:val="bottom"/>
            <w:tcBorders>
              <w:bottom w:val="single" w:sz="8" w:color="CCEEFF"/>
            </w:tcBorders>
          </w:tcPr>
          <w:p>
            <w:pPr>
              <w:spacing w:after="0"/>
              <w:rPr>
                <w:sz w:val="20"/>
                <w:szCs w:val="20"/>
                <w:color w:val="auto"/>
              </w:rPr>
            </w:pPr>
          </w:p>
        </w:tc>
        <w:tc>
          <w:tcPr>
            <w:tcW w:w="14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2017</w:t>
            </w:r>
          </w:p>
        </w:tc>
        <w:tc>
          <w:tcPr>
            <w:tcW w:w="660" w:type="dxa"/>
            <w:vAlign w:val="bottom"/>
            <w:tcBorders>
              <w:bottom w:val="single" w:sz="8" w:color="auto"/>
            </w:tcBorders>
          </w:tcPr>
          <w:p>
            <w:pPr>
              <w:spacing w:after="0"/>
              <w:rPr>
                <w:sz w:val="20"/>
                <w:szCs w:val="20"/>
                <w:color w:val="auto"/>
              </w:rPr>
            </w:pPr>
          </w:p>
        </w:tc>
        <w:tc>
          <w:tcPr>
            <w:tcW w:w="34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900" w:type="dxa"/>
            <w:vAlign w:val="bottom"/>
            <w:tcBorders>
              <w:bottom w:val="single" w:sz="8" w:color="auto"/>
            </w:tcBorders>
          </w:tcPr>
          <w:p>
            <w:pPr>
              <w:jc w:val="right"/>
              <w:ind w:right="850"/>
              <w:spacing w:after="0"/>
              <w:rPr>
                <w:sz w:val="20"/>
                <w:szCs w:val="20"/>
                <w:color w:val="auto"/>
              </w:rPr>
            </w:pPr>
            <w:r>
              <w:rPr>
                <w:rFonts w:ascii="Arial" w:cs="Arial" w:eastAsia="Arial" w:hAnsi="Arial"/>
                <w:sz w:val="18"/>
                <w:szCs w:val="18"/>
                <w:b w:val="1"/>
                <w:bCs w:val="1"/>
                <w:color w:val="auto"/>
              </w:rPr>
              <w:t>2016</w:t>
            </w:r>
          </w:p>
        </w:tc>
      </w:tr>
      <w:tr>
        <w:trPr>
          <w:trHeight w:val="237"/>
        </w:trPr>
        <w:tc>
          <w:tcPr>
            <w:tcW w:w="4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cash equivalents and investments</w:t>
            </w:r>
          </w:p>
        </w:tc>
        <w:tc>
          <w:tcPr>
            <w:tcW w:w="1480" w:type="dxa"/>
            <w:vAlign w:val="bottom"/>
            <w:shd w:val="clear" w:color="auto" w:fill="CCEEFF"/>
          </w:tcPr>
          <w:p>
            <w:pPr>
              <w:jc w:val="right"/>
              <w:ind w:right="1290"/>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236,325</w:t>
            </w:r>
          </w:p>
        </w:tc>
        <w:tc>
          <w:tcPr>
            <w:tcW w:w="34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268,218</w:t>
            </w:r>
          </w:p>
        </w:tc>
      </w:tr>
      <w:tr>
        <w:trPr>
          <w:trHeight w:val="230"/>
        </w:trPr>
        <w:tc>
          <w:tcPr>
            <w:tcW w:w="4040" w:type="dxa"/>
            <w:vAlign w:val="bottom"/>
          </w:tcPr>
          <w:p>
            <w:pPr>
              <w:ind w:left="20"/>
              <w:spacing w:after="0"/>
              <w:rPr>
                <w:sz w:val="20"/>
                <w:szCs w:val="20"/>
                <w:color w:val="auto"/>
              </w:rPr>
            </w:pPr>
            <w:r>
              <w:rPr>
                <w:rFonts w:ascii="Arial" w:cs="Arial" w:eastAsia="Arial" w:hAnsi="Arial"/>
                <w:sz w:val="18"/>
                <w:szCs w:val="18"/>
                <w:color w:val="auto"/>
              </w:rPr>
              <w:t>Unbilled accounts receivable</w:t>
            </w:r>
          </w:p>
        </w:tc>
        <w:tc>
          <w:tcPr>
            <w:tcW w:w="148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2,826</w:t>
            </w:r>
          </w:p>
        </w:tc>
        <w:tc>
          <w:tcPr>
            <w:tcW w:w="3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900" w:type="dxa"/>
            <w:vAlign w:val="bottom"/>
          </w:tcPr>
          <w:p>
            <w:pPr>
              <w:jc w:val="right"/>
              <w:spacing w:after="0"/>
              <w:rPr>
                <w:sz w:val="20"/>
                <w:szCs w:val="20"/>
                <w:color w:val="auto"/>
              </w:rPr>
            </w:pPr>
            <w:r>
              <w:rPr>
                <w:rFonts w:ascii="Arial" w:cs="Arial" w:eastAsia="Arial" w:hAnsi="Arial"/>
                <w:sz w:val="18"/>
                <w:szCs w:val="18"/>
                <w:color w:val="auto"/>
              </w:rPr>
              <w:t>3,577</w:t>
            </w:r>
          </w:p>
        </w:tc>
      </w:tr>
      <w:tr>
        <w:trPr>
          <w:trHeight w:val="26"/>
        </w:trPr>
        <w:tc>
          <w:tcPr>
            <w:tcW w:w="40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660" w:type="dxa"/>
            <w:vAlign w:val="bottom"/>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900" w:type="dxa"/>
            <w:vAlign w:val="bottom"/>
          </w:tcPr>
          <w:p>
            <w:pPr>
              <w:spacing w:after="0"/>
              <w:rPr>
                <w:sz w:val="2"/>
                <w:szCs w:val="2"/>
                <w:color w:val="auto"/>
              </w:rPr>
            </w:pPr>
          </w:p>
        </w:tc>
      </w:tr>
      <w:tr>
        <w:trPr>
          <w:trHeight w:val="237"/>
        </w:trPr>
        <w:tc>
          <w:tcPr>
            <w:tcW w:w="4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Working capital (1)</w:t>
            </w:r>
          </w:p>
        </w:tc>
        <w:tc>
          <w:tcPr>
            <w:tcW w:w="148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9"/>
              </w:rPr>
              <w:t>188,199</w:t>
            </w:r>
          </w:p>
        </w:tc>
        <w:tc>
          <w:tcPr>
            <w:tcW w:w="34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191,913</w:t>
            </w:r>
          </w:p>
        </w:tc>
      </w:tr>
      <w:tr>
        <w:trPr>
          <w:trHeight w:val="230"/>
        </w:trPr>
        <w:tc>
          <w:tcPr>
            <w:tcW w:w="4040" w:type="dxa"/>
            <w:vAlign w:val="bottom"/>
          </w:tcPr>
          <w:p>
            <w:pPr>
              <w:ind w:left="20"/>
              <w:spacing w:after="0"/>
              <w:rPr>
                <w:sz w:val="20"/>
                <w:szCs w:val="20"/>
                <w:color w:val="auto"/>
              </w:rPr>
            </w:pPr>
            <w:r>
              <w:rPr>
                <w:rFonts w:ascii="Arial" w:cs="Arial" w:eastAsia="Arial" w:hAnsi="Arial"/>
                <w:sz w:val="18"/>
                <w:szCs w:val="18"/>
                <w:color w:val="auto"/>
              </w:rPr>
              <w:t>Total assets</w:t>
            </w:r>
          </w:p>
        </w:tc>
        <w:tc>
          <w:tcPr>
            <w:tcW w:w="148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89"/>
              </w:rPr>
              <w:t>252,648</w:t>
            </w:r>
          </w:p>
        </w:tc>
        <w:tc>
          <w:tcPr>
            <w:tcW w:w="3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900" w:type="dxa"/>
            <w:vAlign w:val="bottom"/>
          </w:tcPr>
          <w:p>
            <w:pPr>
              <w:jc w:val="right"/>
              <w:spacing w:after="0"/>
              <w:rPr>
                <w:sz w:val="20"/>
                <w:szCs w:val="20"/>
                <w:color w:val="auto"/>
              </w:rPr>
            </w:pPr>
            <w:r>
              <w:rPr>
                <w:rFonts w:ascii="Arial" w:cs="Arial" w:eastAsia="Arial" w:hAnsi="Arial"/>
                <w:sz w:val="18"/>
                <w:szCs w:val="18"/>
                <w:color w:val="auto"/>
              </w:rPr>
              <w:t>282,795</w:t>
            </w:r>
          </w:p>
        </w:tc>
      </w:tr>
      <w:tr>
        <w:trPr>
          <w:trHeight w:val="26"/>
        </w:trPr>
        <w:tc>
          <w:tcPr>
            <w:tcW w:w="40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660" w:type="dxa"/>
            <w:vAlign w:val="bottom"/>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900" w:type="dxa"/>
            <w:vAlign w:val="bottom"/>
          </w:tcPr>
          <w:p>
            <w:pPr>
              <w:spacing w:after="0"/>
              <w:rPr>
                <w:sz w:val="2"/>
                <w:szCs w:val="2"/>
                <w:color w:val="auto"/>
              </w:rPr>
            </w:pPr>
          </w:p>
        </w:tc>
      </w:tr>
      <w:tr>
        <w:trPr>
          <w:trHeight w:val="237"/>
        </w:trPr>
        <w:tc>
          <w:tcPr>
            <w:tcW w:w="4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Deferred revenue</w:t>
            </w:r>
          </w:p>
        </w:tc>
        <w:tc>
          <w:tcPr>
            <w:tcW w:w="148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44,220</w:t>
            </w:r>
          </w:p>
        </w:tc>
        <w:tc>
          <w:tcPr>
            <w:tcW w:w="34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47,235</w:t>
            </w:r>
          </w:p>
        </w:tc>
      </w:tr>
      <w:tr>
        <w:trPr>
          <w:trHeight w:val="230"/>
        </w:trPr>
        <w:tc>
          <w:tcPr>
            <w:tcW w:w="4040" w:type="dxa"/>
            <w:vAlign w:val="bottom"/>
          </w:tcPr>
          <w:p>
            <w:pPr>
              <w:ind w:left="20"/>
              <w:spacing w:after="0"/>
              <w:rPr>
                <w:sz w:val="20"/>
                <w:szCs w:val="20"/>
                <w:color w:val="auto"/>
              </w:rPr>
            </w:pPr>
            <w:r>
              <w:rPr>
                <w:rFonts w:ascii="Arial" w:cs="Arial" w:eastAsia="Arial" w:hAnsi="Arial"/>
                <w:sz w:val="18"/>
                <w:szCs w:val="18"/>
                <w:color w:val="auto"/>
              </w:rPr>
              <w:t>Term loan payable</w:t>
            </w:r>
          </w:p>
        </w:tc>
        <w:tc>
          <w:tcPr>
            <w:tcW w:w="148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3,246</w:t>
            </w:r>
          </w:p>
        </w:tc>
        <w:tc>
          <w:tcPr>
            <w:tcW w:w="3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900" w:type="dxa"/>
            <w:vAlign w:val="bottom"/>
          </w:tcPr>
          <w:p>
            <w:pPr>
              <w:jc w:val="right"/>
              <w:spacing w:after="0"/>
              <w:rPr>
                <w:sz w:val="20"/>
                <w:szCs w:val="20"/>
                <w:color w:val="auto"/>
              </w:rPr>
            </w:pPr>
            <w:r>
              <w:rPr>
                <w:rFonts w:ascii="Arial" w:cs="Arial" w:eastAsia="Arial" w:hAnsi="Arial"/>
                <w:sz w:val="18"/>
                <w:szCs w:val="18"/>
                <w:color w:val="auto"/>
              </w:rPr>
              <w:t>4,069</w:t>
            </w:r>
          </w:p>
        </w:tc>
      </w:tr>
      <w:tr>
        <w:trPr>
          <w:trHeight w:val="26"/>
        </w:trPr>
        <w:tc>
          <w:tcPr>
            <w:tcW w:w="40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660" w:type="dxa"/>
            <w:vAlign w:val="bottom"/>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900" w:type="dxa"/>
            <w:vAlign w:val="bottom"/>
          </w:tcPr>
          <w:p>
            <w:pPr>
              <w:spacing w:after="0"/>
              <w:rPr>
                <w:sz w:val="2"/>
                <w:szCs w:val="2"/>
                <w:color w:val="auto"/>
              </w:rPr>
            </w:pPr>
          </w:p>
        </w:tc>
      </w:tr>
      <w:tr>
        <w:trPr>
          <w:trHeight w:val="237"/>
        </w:trPr>
        <w:tc>
          <w:tcPr>
            <w:tcW w:w="4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Lease incentive obligation</w:t>
            </w:r>
          </w:p>
        </w:tc>
        <w:tc>
          <w:tcPr>
            <w:tcW w:w="148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3,226</w:t>
            </w:r>
          </w:p>
        </w:tc>
        <w:tc>
          <w:tcPr>
            <w:tcW w:w="34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3,370</w:t>
            </w:r>
          </w:p>
        </w:tc>
      </w:tr>
      <w:tr>
        <w:trPr>
          <w:trHeight w:val="230"/>
        </w:trPr>
        <w:tc>
          <w:tcPr>
            <w:tcW w:w="4040" w:type="dxa"/>
            <w:vAlign w:val="bottom"/>
          </w:tcPr>
          <w:p>
            <w:pPr>
              <w:ind w:left="20"/>
              <w:spacing w:after="0"/>
              <w:rPr>
                <w:sz w:val="20"/>
                <w:szCs w:val="20"/>
                <w:color w:val="auto"/>
              </w:rPr>
            </w:pPr>
            <w:r>
              <w:rPr>
                <w:rFonts w:ascii="Arial" w:cs="Arial" w:eastAsia="Arial" w:hAnsi="Arial"/>
                <w:sz w:val="18"/>
                <w:szCs w:val="18"/>
                <w:color w:val="auto"/>
              </w:rPr>
              <w:t>Total stockholders’ equity</w:t>
            </w:r>
          </w:p>
        </w:tc>
        <w:tc>
          <w:tcPr>
            <w:tcW w:w="148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89"/>
              </w:rPr>
              <w:t>188,222</w:t>
            </w:r>
          </w:p>
        </w:tc>
        <w:tc>
          <w:tcPr>
            <w:tcW w:w="3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900" w:type="dxa"/>
            <w:vAlign w:val="bottom"/>
          </w:tcPr>
          <w:p>
            <w:pPr>
              <w:jc w:val="right"/>
              <w:spacing w:after="0"/>
              <w:rPr>
                <w:sz w:val="20"/>
                <w:szCs w:val="20"/>
                <w:color w:val="auto"/>
              </w:rPr>
            </w:pPr>
            <w:r>
              <w:rPr>
                <w:rFonts w:ascii="Arial" w:cs="Arial" w:eastAsia="Arial" w:hAnsi="Arial"/>
                <w:sz w:val="18"/>
                <w:szCs w:val="18"/>
                <w:color w:val="auto"/>
              </w:rPr>
              <w:t>213,078</w:t>
            </w:r>
          </w:p>
        </w:tc>
      </w:tr>
    </w:tbl>
    <w:p>
      <w:pPr>
        <w:spacing w:after="0" w:line="336" w:lineRule="exact"/>
        <w:rPr>
          <w:sz w:val="20"/>
          <w:szCs w:val="20"/>
          <w:color w:val="auto"/>
        </w:rPr>
      </w:pPr>
    </w:p>
    <w:p>
      <w:pPr>
        <w:ind w:left="160"/>
        <w:spacing w:after="0"/>
        <w:tabs>
          <w:tab w:leader="none" w:pos="520" w:val="left"/>
        </w:tabs>
        <w:rPr>
          <w:sz w:val="20"/>
          <w:szCs w:val="20"/>
          <w:color w:val="auto"/>
        </w:rPr>
      </w:pPr>
      <w:r>
        <w:rPr>
          <w:rFonts w:ascii="Arial" w:cs="Arial" w:eastAsia="Arial" w:hAnsi="Arial"/>
          <w:sz w:val="18"/>
          <w:szCs w:val="18"/>
          <w:color w:val="auto"/>
        </w:rPr>
        <w:t>(1)</w:t>
      </w:r>
      <w:r>
        <w:rPr>
          <w:sz w:val="20"/>
          <w:szCs w:val="20"/>
          <w:color w:val="auto"/>
        </w:rPr>
        <w:tab/>
      </w:r>
      <w:r>
        <w:rPr>
          <w:rFonts w:ascii="Arial" w:cs="Arial" w:eastAsia="Arial" w:hAnsi="Arial"/>
          <w:sz w:val="16"/>
          <w:szCs w:val="16"/>
          <w:color w:val="auto"/>
        </w:rPr>
        <w:t>Blueprint Medicines defines working capital as current assets less current liabilities.</w:t>
      </w:r>
    </w:p>
    <w:p>
      <w:pPr>
        <w:spacing w:after="0" w:line="365" w:lineRule="exact"/>
        <w:rPr>
          <w:sz w:val="20"/>
          <w:szCs w:val="20"/>
          <w:color w:val="auto"/>
        </w:rPr>
      </w:pPr>
    </w:p>
    <w:p>
      <w:pPr>
        <w:jc w:val="center"/>
        <w:ind w:left="140" w:right="139"/>
        <w:spacing w:after="0"/>
        <w:rPr>
          <w:sz w:val="20"/>
          <w:szCs w:val="20"/>
          <w:color w:val="auto"/>
        </w:rPr>
      </w:pPr>
      <w:r>
        <w:rPr>
          <w:rFonts w:ascii="Arial" w:cs="Arial" w:eastAsia="Arial" w:hAnsi="Arial"/>
          <w:sz w:val="20"/>
          <w:szCs w:val="20"/>
          <w:b w:val="1"/>
          <w:bCs w:val="1"/>
          <w:color w:val="auto"/>
        </w:rPr>
        <w:t xml:space="preserve">Blueprint Medicines Corporation Condensed Consolidated Statements of Operations Data (in thousands, except per share data) </w:t>
      </w:r>
      <w:r>
        <w:rPr>
          <w:rFonts w:ascii="Arial" w:cs="Arial" w:eastAsia="Arial" w:hAnsi="Arial"/>
          <w:sz w:val="20"/>
          <w:szCs w:val="20"/>
          <w:b w:val="1"/>
          <w:bCs w:val="1"/>
          <w:i w:val="1"/>
          <w:iCs w:val="1"/>
          <w:color w:val="auto"/>
        </w:rPr>
        <w:t>(unaudited)</w:t>
      </w:r>
    </w:p>
    <w:p>
      <w:pPr>
        <w:spacing w:after="0" w:line="330" w:lineRule="exact"/>
        <w:rPr>
          <w:sz w:val="20"/>
          <w:szCs w:val="20"/>
          <w:color w:val="auto"/>
        </w:rPr>
      </w:pPr>
    </w:p>
    <w:p>
      <w:pPr>
        <w:ind w:left="6720"/>
        <w:spacing w:after="0"/>
        <w:rPr>
          <w:sz w:val="20"/>
          <w:szCs w:val="20"/>
          <w:color w:val="auto"/>
        </w:rPr>
      </w:pPr>
      <w:r>
        <w:rPr>
          <w:rFonts w:ascii="Arial" w:cs="Arial" w:eastAsia="Arial" w:hAnsi="Arial"/>
          <w:sz w:val="18"/>
          <w:szCs w:val="18"/>
          <w:b w:val="1"/>
          <w:bCs w:val="1"/>
          <w:color w:val="auto"/>
        </w:rPr>
        <w:t>Three Months Ended</w:t>
      </w:r>
    </w:p>
    <w:p>
      <w:pPr>
        <w:ind w:left="7120"/>
        <w:spacing w:after="0" w:line="217" w:lineRule="auto"/>
        <w:rPr>
          <w:sz w:val="20"/>
          <w:szCs w:val="20"/>
          <w:color w:val="auto"/>
        </w:rPr>
      </w:pPr>
      <w:r>
        <w:rPr>
          <w:rFonts w:ascii="Arial" w:cs="Arial" w:eastAsia="Arial" w:hAnsi="Arial"/>
          <w:sz w:val="18"/>
          <w:szCs w:val="18"/>
          <w:b w:val="1"/>
          <w:bCs w:val="1"/>
          <w:color w:val="auto"/>
        </w:rPr>
        <w:t>March 31,</w:t>
      </w:r>
    </w:p>
    <w:tbl>
      <w:tblPr>
        <w:tblLayout w:type="fixed"/>
        <w:tblInd w:w="140" w:type="dxa"/>
        <w:tblCellMar>
          <w:top w:w="0" w:type="dxa"/>
          <w:left w:w="0" w:type="dxa"/>
          <w:bottom w:w="0" w:type="dxa"/>
          <w:right w:w="0" w:type="dxa"/>
        </w:tblCellMar>
      </w:tblPr>
      <w:tr>
        <w:trPr>
          <w:trHeight w:val="169"/>
        </w:trPr>
        <w:tc>
          <w:tcPr>
            <w:tcW w:w="6060" w:type="dxa"/>
            <w:vAlign w:val="bottom"/>
            <w:tcBorders>
              <w:bottom w:val="single" w:sz="8" w:color="CCEEFF"/>
            </w:tcBorders>
          </w:tcPr>
          <w:p>
            <w:pPr>
              <w:spacing w:after="0"/>
              <w:rPr>
                <w:sz w:val="14"/>
                <w:szCs w:val="14"/>
                <w:color w:val="auto"/>
              </w:rPr>
            </w:pPr>
          </w:p>
        </w:tc>
        <w:tc>
          <w:tcPr>
            <w:tcW w:w="260" w:type="dxa"/>
            <w:vAlign w:val="bottom"/>
            <w:tcBorders>
              <w:top w:val="single" w:sz="8" w:color="auto"/>
              <w:bottom w:val="single" w:sz="8" w:color="auto"/>
            </w:tcBorders>
          </w:tcPr>
          <w:p>
            <w:pPr>
              <w:spacing w:after="0"/>
              <w:rPr>
                <w:sz w:val="14"/>
                <w:szCs w:val="14"/>
                <w:color w:val="auto"/>
              </w:rPr>
            </w:pPr>
          </w:p>
        </w:tc>
        <w:tc>
          <w:tcPr>
            <w:tcW w:w="960" w:type="dxa"/>
            <w:vAlign w:val="bottom"/>
            <w:tcBorders>
              <w:top w:val="single" w:sz="8" w:color="auto"/>
              <w:bottom w:val="single" w:sz="8" w:color="auto"/>
            </w:tcBorders>
          </w:tcPr>
          <w:p>
            <w:pPr>
              <w:jc w:val="right"/>
              <w:ind w:right="330"/>
              <w:spacing w:after="0" w:line="170" w:lineRule="exact"/>
              <w:rPr>
                <w:sz w:val="20"/>
                <w:szCs w:val="20"/>
                <w:color w:val="auto"/>
              </w:rPr>
            </w:pPr>
            <w:r>
              <w:rPr>
                <w:rFonts w:ascii="Arial" w:cs="Arial" w:eastAsia="Arial" w:hAnsi="Arial"/>
                <w:sz w:val="18"/>
                <w:szCs w:val="18"/>
                <w:b w:val="1"/>
                <w:bCs w:val="1"/>
                <w:color w:val="auto"/>
              </w:rPr>
              <w:t>2017</w:t>
            </w:r>
          </w:p>
        </w:tc>
        <w:tc>
          <w:tcPr>
            <w:tcW w:w="200" w:type="dxa"/>
            <w:vAlign w:val="bottom"/>
            <w:tcBorders>
              <w:top w:val="single" w:sz="8" w:color="auto"/>
              <w:bottom w:val="single" w:sz="8" w:color="CCEEFF"/>
            </w:tcBorders>
          </w:tcPr>
          <w:p>
            <w:pPr>
              <w:spacing w:after="0"/>
              <w:rPr>
                <w:sz w:val="14"/>
                <w:szCs w:val="14"/>
                <w:color w:val="auto"/>
              </w:rPr>
            </w:pPr>
          </w:p>
        </w:tc>
        <w:tc>
          <w:tcPr>
            <w:tcW w:w="260" w:type="dxa"/>
            <w:vAlign w:val="bottom"/>
            <w:tcBorders>
              <w:top w:val="single" w:sz="8" w:color="auto"/>
              <w:bottom w:val="single" w:sz="8" w:color="auto"/>
            </w:tcBorders>
          </w:tcPr>
          <w:p>
            <w:pPr>
              <w:spacing w:after="0"/>
              <w:rPr>
                <w:sz w:val="14"/>
                <w:szCs w:val="14"/>
                <w:color w:val="auto"/>
              </w:rPr>
            </w:pPr>
          </w:p>
        </w:tc>
        <w:tc>
          <w:tcPr>
            <w:tcW w:w="980" w:type="dxa"/>
            <w:vAlign w:val="bottom"/>
            <w:tcBorders>
              <w:top w:val="single" w:sz="8" w:color="auto"/>
              <w:bottom w:val="single" w:sz="8" w:color="auto"/>
            </w:tcBorders>
          </w:tcPr>
          <w:p>
            <w:pPr>
              <w:jc w:val="right"/>
              <w:ind w:right="350"/>
              <w:spacing w:after="0" w:line="170" w:lineRule="exact"/>
              <w:rPr>
                <w:sz w:val="20"/>
                <w:szCs w:val="20"/>
                <w:color w:val="auto"/>
              </w:rPr>
            </w:pPr>
            <w:r>
              <w:rPr>
                <w:rFonts w:ascii="Arial" w:cs="Arial" w:eastAsia="Arial" w:hAnsi="Arial"/>
                <w:sz w:val="18"/>
                <w:szCs w:val="18"/>
                <w:b w:val="1"/>
                <w:bCs w:val="1"/>
                <w:color w:val="auto"/>
              </w:rPr>
              <w:t>2016</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6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Collaboration revenue</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5,840</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6,856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6060" w:type="dxa"/>
            <w:vAlign w:val="bottom"/>
          </w:tcPr>
          <w:p>
            <w:pPr>
              <w:ind w:left="20"/>
              <w:spacing w:after="0" w:line="176" w:lineRule="exact"/>
              <w:rPr>
                <w:sz w:val="20"/>
                <w:szCs w:val="20"/>
                <w:color w:val="auto"/>
              </w:rPr>
            </w:pPr>
            <w:r>
              <w:rPr>
                <w:rFonts w:ascii="Arial" w:cs="Arial" w:eastAsia="Arial" w:hAnsi="Arial"/>
                <w:sz w:val="18"/>
                <w:szCs w:val="18"/>
                <w:color w:val="auto"/>
              </w:rPr>
              <w:t>Operating expenses:</w:t>
            </w:r>
          </w:p>
        </w:tc>
        <w:tc>
          <w:tcPr>
            <w:tcW w:w="2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60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Research and development</w:t>
            </w: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28,487</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17,635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6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General and administrative</w:t>
            </w: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5,683</w:t>
            </w:r>
          </w:p>
        </w:tc>
        <w:tc>
          <w:tcPr>
            <w:tcW w:w="2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4,646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operating expenses</w:t>
            </w: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34,170</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22,281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6060" w:type="dxa"/>
            <w:vAlign w:val="bottom"/>
          </w:tcPr>
          <w:p>
            <w:pPr>
              <w:ind w:left="20"/>
              <w:spacing w:after="0" w:line="176" w:lineRule="exact"/>
              <w:rPr>
                <w:sz w:val="20"/>
                <w:szCs w:val="20"/>
                <w:color w:val="auto"/>
              </w:rPr>
            </w:pPr>
            <w:r>
              <w:rPr>
                <w:rFonts w:ascii="Arial" w:cs="Arial" w:eastAsia="Arial" w:hAnsi="Arial"/>
                <w:sz w:val="18"/>
                <w:szCs w:val="18"/>
                <w:color w:val="auto"/>
              </w:rPr>
              <w:t>Other income (expense):</w:t>
            </w:r>
          </w:p>
        </w:tc>
        <w:tc>
          <w:tcPr>
            <w:tcW w:w="2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60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 income (expense), net</w:t>
            </w: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425</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6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Interest expense</w:t>
            </w: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w:t>
            </w:r>
          </w:p>
        </w:tc>
        <w:tc>
          <w:tcPr>
            <w:tcW w:w="2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other income (expense)</w:t>
            </w:r>
          </w:p>
        </w:tc>
        <w:tc>
          <w:tcPr>
            <w:tcW w:w="2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353</w:t>
            </w:r>
          </w:p>
        </w:tc>
        <w:tc>
          <w:tcPr>
            <w:tcW w:w="2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0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Net loss</w:t>
            </w: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(27,977)</w:t>
            </w:r>
          </w:p>
        </w:tc>
        <w:tc>
          <w:tcPr>
            <w:tcW w:w="2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(15,504)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 per share applicable to common stockholders — basic and diluted</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(0.84)</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6060" w:type="dxa"/>
            <w:vAlign w:val="bottom"/>
          </w:tcPr>
          <w:p>
            <w:pPr>
              <w:ind w:left="20"/>
              <w:spacing w:after="0" w:line="149" w:lineRule="exact"/>
              <w:rPr>
                <w:sz w:val="20"/>
                <w:szCs w:val="20"/>
                <w:color w:val="auto"/>
              </w:rPr>
            </w:pPr>
            <w:r>
              <w:rPr>
                <w:rFonts w:ascii="Arial" w:cs="Arial" w:eastAsia="Arial" w:hAnsi="Arial"/>
                <w:sz w:val="17"/>
                <w:szCs w:val="17"/>
                <w:color w:val="auto"/>
              </w:rPr>
              <w:t>Weighted-average number of common shares used in net loss per share</w:t>
            </w:r>
          </w:p>
        </w:tc>
        <w:tc>
          <w:tcPr>
            <w:tcW w:w="260" w:type="dxa"/>
            <w:vAlign w:val="bottom"/>
          </w:tcPr>
          <w:p>
            <w:pPr>
              <w:spacing w:after="0"/>
              <w:rPr>
                <w:sz w:val="12"/>
                <w:szCs w:val="12"/>
                <w:color w:val="auto"/>
              </w:rPr>
            </w:pPr>
          </w:p>
        </w:tc>
        <w:tc>
          <w:tcPr>
            <w:tcW w:w="960" w:type="dxa"/>
            <w:vAlign w:val="bottom"/>
            <w:vMerge w:val="restart"/>
          </w:tcPr>
          <w:p>
            <w:pPr>
              <w:jc w:val="right"/>
              <w:spacing w:after="0"/>
              <w:rPr>
                <w:sz w:val="20"/>
                <w:szCs w:val="20"/>
                <w:color w:val="auto"/>
              </w:rPr>
            </w:pPr>
            <w:r>
              <w:rPr>
                <w:rFonts w:ascii="Arial" w:cs="Arial" w:eastAsia="Arial" w:hAnsi="Arial"/>
                <w:sz w:val="18"/>
                <w:szCs w:val="18"/>
                <w:color w:val="auto"/>
              </w:rPr>
              <w:t>33,190</w:t>
            </w: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80" w:type="dxa"/>
            <w:vAlign w:val="bottom"/>
            <w:vMerge w:val="restart"/>
          </w:tcPr>
          <w:p>
            <w:pPr>
              <w:jc w:val="right"/>
              <w:spacing w:after="0"/>
              <w:rPr>
                <w:sz w:val="20"/>
                <w:szCs w:val="20"/>
                <w:color w:val="auto"/>
              </w:rPr>
            </w:pPr>
            <w:r>
              <w:rPr>
                <w:rFonts w:ascii="Arial" w:cs="Arial" w:eastAsia="Arial" w:hAnsi="Arial"/>
                <w:sz w:val="18"/>
                <w:szCs w:val="18"/>
                <w:color w:val="auto"/>
              </w:rPr>
              <w:t>27,088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0"/>
        </w:trPr>
        <w:tc>
          <w:tcPr>
            <w:tcW w:w="6060" w:type="dxa"/>
            <w:vAlign w:val="bottom"/>
          </w:tcPr>
          <w:p>
            <w:pPr>
              <w:ind w:left="240"/>
              <w:spacing w:after="0"/>
              <w:rPr>
                <w:sz w:val="20"/>
                <w:szCs w:val="20"/>
                <w:color w:val="auto"/>
              </w:rPr>
            </w:pPr>
            <w:r>
              <w:rPr>
                <w:rFonts w:ascii="Arial" w:cs="Arial" w:eastAsia="Arial" w:hAnsi="Arial"/>
                <w:sz w:val="18"/>
                <w:szCs w:val="18"/>
                <w:color w:val="auto"/>
              </w:rPr>
              <w:t>applicable to common stockholders — basic and diluted</w:t>
            </w:r>
          </w:p>
        </w:tc>
        <w:tc>
          <w:tcPr>
            <w:tcW w:w="260" w:type="dxa"/>
            <w:vAlign w:val="bottom"/>
          </w:tcPr>
          <w:p>
            <w:pPr>
              <w:spacing w:after="0"/>
              <w:rPr>
                <w:sz w:val="20"/>
                <w:szCs w:val="20"/>
                <w:color w:val="auto"/>
              </w:rPr>
            </w:pPr>
          </w:p>
        </w:tc>
        <w:tc>
          <w:tcPr>
            <w:tcW w:w="960" w:type="dxa"/>
            <w:vAlign w:val="bottom"/>
            <w:vMerge w:val="continue"/>
          </w:tcPr>
          <w:p>
            <w:pPr>
              <w:spacing w:after="0"/>
              <w:rPr>
                <w:sz w:val="20"/>
                <w:szCs w:val="20"/>
                <w:color w:val="auto"/>
              </w:rPr>
            </w:pP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vMerge w:val="continue"/>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81"/>
        </w:trPr>
        <w:tc>
          <w:tcPr>
            <w:tcW w:w="60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98" w:right="1440" w:bottom="1440" w:gutter="0" w:footer="0" w:header="0"/>
        </w:sectPr>
      </w:pPr>
    </w:p>
    <w:bookmarkStart w:id="9" w:name="page10"/>
    <w:bookmarkEnd w:id="9"/>
    <w:p>
      <w:pPr>
        <w:ind w:left="160"/>
        <w:spacing w:after="0"/>
        <w:rPr>
          <w:sz w:val="20"/>
          <w:szCs w:val="20"/>
          <w:color w:val="auto"/>
        </w:rPr>
      </w:pPr>
      <w:r>
        <w:rPr>
          <w:rFonts w:ascii="Arial" w:cs="Arial" w:eastAsia="Arial" w:hAnsi="Arial"/>
          <w:sz w:val="20"/>
          <w:szCs w:val="20"/>
          <w:b w:val="1"/>
          <w:bCs w:val="1"/>
          <w:color w:val="auto"/>
        </w:rPr>
        <w:t>Contact:</w:t>
      </w:r>
    </w:p>
    <w:p>
      <w:pPr>
        <w:spacing w:after="0" w:line="129" w:lineRule="exact"/>
        <w:rPr>
          <w:sz w:val="20"/>
          <w:szCs w:val="20"/>
          <w:color w:val="auto"/>
        </w:rPr>
      </w:pPr>
    </w:p>
    <w:p>
      <w:pPr>
        <w:ind w:left="160"/>
        <w:spacing w:after="0"/>
        <w:rPr>
          <w:sz w:val="20"/>
          <w:szCs w:val="20"/>
          <w:color w:val="auto"/>
        </w:rPr>
      </w:pPr>
      <w:r>
        <w:rPr>
          <w:rFonts w:ascii="Arial" w:cs="Arial" w:eastAsia="Arial" w:hAnsi="Arial"/>
          <w:sz w:val="20"/>
          <w:szCs w:val="20"/>
          <w:b w:val="1"/>
          <w:bCs w:val="1"/>
          <w:color w:val="auto"/>
        </w:rPr>
        <w:t>Investor Relations:</w:t>
      </w:r>
    </w:p>
    <w:p>
      <w:pPr>
        <w:ind w:left="160"/>
        <w:spacing w:after="0" w:line="197" w:lineRule="auto"/>
        <w:rPr>
          <w:sz w:val="20"/>
          <w:szCs w:val="20"/>
          <w:color w:val="auto"/>
        </w:rPr>
      </w:pPr>
      <w:r>
        <w:rPr>
          <w:rFonts w:ascii="Arial" w:cs="Arial" w:eastAsia="Arial" w:hAnsi="Arial"/>
          <w:sz w:val="20"/>
          <w:szCs w:val="20"/>
          <w:color w:val="auto"/>
        </w:rPr>
        <w:t>Kristin Hodous</w:t>
      </w:r>
    </w:p>
    <w:p>
      <w:pPr>
        <w:ind w:left="160"/>
        <w:spacing w:after="0" w:line="208" w:lineRule="auto"/>
        <w:rPr>
          <w:sz w:val="20"/>
          <w:szCs w:val="20"/>
          <w:color w:val="auto"/>
        </w:rPr>
      </w:pPr>
      <w:r>
        <w:rPr>
          <w:rFonts w:ascii="Arial" w:cs="Arial" w:eastAsia="Arial" w:hAnsi="Arial"/>
          <w:sz w:val="19"/>
          <w:szCs w:val="19"/>
          <w:color w:val="auto"/>
        </w:rPr>
        <w:t>Blueprint Medicines Corporation</w:t>
      </w:r>
    </w:p>
    <w:p>
      <w:pPr>
        <w:ind w:left="160"/>
        <w:spacing w:after="0" w:line="197" w:lineRule="auto"/>
        <w:rPr>
          <w:sz w:val="20"/>
          <w:szCs w:val="20"/>
          <w:color w:val="auto"/>
        </w:rPr>
      </w:pPr>
      <w:r>
        <w:rPr>
          <w:rFonts w:ascii="Arial" w:cs="Arial" w:eastAsia="Arial" w:hAnsi="Arial"/>
          <w:sz w:val="20"/>
          <w:szCs w:val="20"/>
          <w:color w:val="auto"/>
        </w:rPr>
        <w:t>617-714-6674</w:t>
      </w:r>
    </w:p>
    <w:p>
      <w:pPr>
        <w:ind w:left="160"/>
        <w:spacing w:after="0"/>
        <w:rPr>
          <w:sz w:val="20"/>
          <w:szCs w:val="20"/>
          <w:color w:val="auto"/>
        </w:rPr>
      </w:pPr>
      <w:r>
        <w:rPr>
          <w:rFonts w:ascii="Arial" w:cs="Arial" w:eastAsia="Arial" w:hAnsi="Arial"/>
          <w:sz w:val="18"/>
          <w:szCs w:val="18"/>
          <w:color w:val="auto"/>
        </w:rPr>
        <w:t>khodous@blueprintmedicines.com</w:t>
      </w:r>
    </w:p>
    <w:p>
      <w:pPr>
        <w:spacing w:after="0" w:line="130" w:lineRule="exact"/>
        <w:rPr>
          <w:sz w:val="20"/>
          <w:szCs w:val="20"/>
          <w:color w:val="auto"/>
        </w:rPr>
      </w:pPr>
    </w:p>
    <w:p>
      <w:pPr>
        <w:ind w:left="160"/>
        <w:spacing w:after="0"/>
        <w:rPr>
          <w:sz w:val="20"/>
          <w:szCs w:val="20"/>
          <w:color w:val="auto"/>
        </w:rPr>
      </w:pPr>
      <w:r>
        <w:rPr>
          <w:rFonts w:ascii="Arial" w:cs="Arial" w:eastAsia="Arial" w:hAnsi="Arial"/>
          <w:sz w:val="20"/>
          <w:szCs w:val="20"/>
          <w:b w:val="1"/>
          <w:bCs w:val="1"/>
          <w:color w:val="auto"/>
        </w:rPr>
        <w:t>Media Relations:</w:t>
      </w:r>
    </w:p>
    <w:p>
      <w:pPr>
        <w:ind w:left="160"/>
        <w:spacing w:after="0" w:line="197" w:lineRule="auto"/>
        <w:rPr>
          <w:sz w:val="20"/>
          <w:szCs w:val="20"/>
          <w:color w:val="auto"/>
        </w:rPr>
      </w:pPr>
      <w:r>
        <w:rPr>
          <w:rFonts w:ascii="Arial" w:cs="Arial" w:eastAsia="Arial" w:hAnsi="Arial"/>
          <w:sz w:val="20"/>
          <w:szCs w:val="20"/>
          <w:color w:val="auto"/>
        </w:rPr>
        <w:t>Rachel Hutman</w:t>
      </w:r>
    </w:p>
    <w:p>
      <w:pPr>
        <w:ind w:left="160"/>
        <w:spacing w:after="0" w:line="197" w:lineRule="auto"/>
        <w:rPr>
          <w:sz w:val="20"/>
          <w:szCs w:val="20"/>
          <w:color w:val="auto"/>
        </w:rPr>
      </w:pPr>
      <w:r>
        <w:rPr>
          <w:rFonts w:ascii="Arial" w:cs="Arial" w:eastAsia="Arial" w:hAnsi="Arial"/>
          <w:sz w:val="20"/>
          <w:szCs w:val="20"/>
          <w:color w:val="auto"/>
        </w:rPr>
        <w:t>W20 Group</w:t>
      </w:r>
    </w:p>
    <w:p>
      <w:pPr>
        <w:ind w:left="160"/>
        <w:spacing w:after="0" w:line="197" w:lineRule="auto"/>
        <w:rPr>
          <w:sz w:val="20"/>
          <w:szCs w:val="20"/>
          <w:color w:val="auto"/>
        </w:rPr>
      </w:pPr>
      <w:r>
        <w:rPr>
          <w:rFonts w:ascii="Arial" w:cs="Arial" w:eastAsia="Arial" w:hAnsi="Arial"/>
          <w:sz w:val="20"/>
          <w:szCs w:val="20"/>
          <w:color w:val="auto"/>
        </w:rPr>
        <w:t>301-801-5540</w:t>
      </w:r>
    </w:p>
    <w:p>
      <w:pPr>
        <w:spacing w:after="0" w:line="1" w:lineRule="exact"/>
        <w:rPr>
          <w:sz w:val="20"/>
          <w:szCs w:val="20"/>
          <w:color w:val="auto"/>
        </w:rPr>
      </w:pPr>
    </w:p>
    <w:p>
      <w:pPr>
        <w:ind w:left="160"/>
        <w:spacing w:after="0"/>
        <w:rPr>
          <w:sz w:val="20"/>
          <w:szCs w:val="20"/>
          <w:color w:val="auto"/>
        </w:rPr>
      </w:pPr>
      <w:r>
        <w:rPr>
          <w:rFonts w:ascii="Arial" w:cs="Arial" w:eastAsia="Arial" w:hAnsi="Arial"/>
          <w:sz w:val="20"/>
          <w:szCs w:val="20"/>
          <w:color w:val="auto"/>
        </w:rPr>
        <w:t>rhutman@wcgworld.com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120650</wp:posOffset>
            </wp:positionV>
            <wp:extent cx="5548630"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548630" cy="26035"/>
                    </a:xfrm>
                    <a:prstGeom prst="rect">
                      <a:avLst/>
                    </a:prstGeom>
                    <a:noFill/>
                  </pic:spPr>
                </pic:pic>
              </a:graphicData>
            </a:graphic>
          </wp:anchor>
        </w:drawing>
      </w:r>
    </w:p>
    <w:sectPr>
      <w:pgSz w:w="11900" w:h="16838" w:orient="portrait"/>
      <w:cols w:equalWidth="0" w:num="1">
        <w:col w:w="9019"/>
      </w:cols>
      <w:pgMar w:left="1440" w:top="10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A1"/>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o"/>
      <w:numFmt w:val="bullet"/>
      <w:start w:val="1"/>
    </w:lvl>
  </w:abstractNum>
  <w:abstractNum w:abstractNumId="1">
    <w:nsid w:val="66334873"/>
    <w:multiLevelType w:val="hybridMultilevel"/>
    <w:lvl w:ilvl="0">
      <w:lvlJc w:val="left"/>
      <w:lvlText w:val="\endash "/>
      <w:numFmt w:val="bullet"/>
      <w:start w:val="1"/>
    </w:lvl>
    <w:lvl w:ilvl="1">
      <w:lvlJc w:val="left"/>
      <w:lvlText w:val="\endash "/>
      <w:numFmt w:val="bullet"/>
      <w:start w:val="1"/>
    </w:lvl>
    <w:lvl w:ilvl="2">
      <w:lvlJc w:val="left"/>
      <w:lvlText w:val="\endash "/>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2019-12-07T22:25:01Z</dcterms:created>
  <dcterms:modified xsi:type="dcterms:W3CDTF">2019-12-07T22:25:01Z</dcterms:modified>
</cp:coreProperties>
</file>