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229870</wp:posOffset>
            </wp:positionV>
            <wp:extent cx="15436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223520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73025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160" w:space="720"/>
            <w:col w:w="2840" w:space="720"/>
            <w:col w:w="2280"/>
          </w:cols>
          <w:pgMar w:left="760" w:top="206" w:right="1419" w:bottom="1440" w:gutter="0" w:footer="0" w:header="0"/>
          <w:type w:val="continuous"/>
        </w:sectPr>
      </w:pPr>
    </w:p>
    <w:p>
      <w:pPr>
        <w:spacing w:after="0" w:line="223"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180" w:space="720"/>
            <w:col w:w="2820"/>
          </w:cols>
          <w:pgMar w:left="760" w:top="206" w:right="14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220980</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Arial" w:cs="Arial" w:eastAsia="Arial" w:hAnsi="Arial"/>
          <w:sz w:val="17"/>
          <w:szCs w:val="17"/>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2" w:lineRule="exact"/>
        <w:rPr>
          <w:sz w:val="24"/>
          <w:szCs w:val="24"/>
          <w:color w:val="auto"/>
        </w:rPr>
      </w:pPr>
    </w:p>
    <w:p>
      <w:pPr>
        <w:ind w:right="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5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61829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17145"/>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type w:val="continuous"/>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Appointment of Chief Commercial Officer</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Effective October 29, 2018, Blueprint Medicines Corporation (the “Company”) appointed Christina Rossi as Chief Commercial Officer of the Company and entered into an employment agreement with Ms. Rossi that provides for “at will” employment.</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Prior to joining the Company, Ms. Rossi, age 43, served as the Multiple Sclerosis (“MS”) Business Unit Head, North America, at Sanofi Genzyme from January 2015 to October 2018. In this role, she was responsible for all aspects of the financial performance of Sanofi Genzyme’s MS franchise and increased market share for existing products, led the launch of new therapies and optimized operations to accelerate patient access. Previously, Ms. Rossi served as Vice President, MS Sales at Sanofi Genzyme form May 2014 to December 2015 and Vice President, MS Patient and Provider Services at Sanofi Genzyme from June 2012 to May 2014. Prior to joining Sanofi Genzyme, Ms. Rossi served in various roles at Biogen, Inc., including Head, Commercial Strategy for Eidetica Biopharma GmbH, Biogen’s biosimilar-focused venture, and U.S. Brand Leader for TYSABRI® (natalizumab). In addition, Ms. Rossi consulted in the healthcare practice at the Boston Consulting Group. Ms. Rossi holds a B.S. in biology, </w:t>
      </w:r>
      <w:r>
        <w:rPr>
          <w:rFonts w:ascii="Arial" w:cs="Arial" w:eastAsia="Arial" w:hAnsi="Arial"/>
          <w:sz w:val="16"/>
          <w:szCs w:val="16"/>
          <w:i w:val="1"/>
          <w:iCs w:val="1"/>
          <w:color w:val="auto"/>
        </w:rPr>
        <w:t>cum laude</w:t>
      </w:r>
      <w:r>
        <w:rPr>
          <w:rFonts w:ascii="Arial" w:cs="Arial" w:eastAsia="Arial" w:hAnsi="Arial"/>
          <w:sz w:val="16"/>
          <w:szCs w:val="16"/>
          <w:color w:val="auto"/>
        </w:rPr>
        <w:t>, from Duke University and an M.B.A. from Harvard Business School.</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Pursuant to the terms of her employment agreement, Ms. Rossi is entitled to an annual base salary of $390,000 and will receive an initial sign-on bonus of $100,000 upon the commencement of her employment with the Company. Ms. Rossi is also eligible for an annual performance bonus targeted at 40% of her base salary. For the year ended 2018, Ms. Rossi will be eligible to receive a pro-rated bonus based upon the period of time she was employed by the Company. Pursuant to the terms of her employment agreement, effective November 1, 2018, Ms. Rossi will also be granted (i) a stock option to purchase 80,000 shares of the Company’s common stock at an exercise price per share equal to the closing price of the Company’s common stock on the date of grant and (ii) 4,500 restricted stock units. Each restricted stock unit will entitle Ms. Rossi to one share of the Company’s common stock if and then the restricted stock unit vests. The stock option will have a ten-year term and will vest as to 25% of the shares underlying the stock option on the first anniversary of the date of grant and as to an additional 1/48th of the shares underlying the stock option monthly thereafter, subject to Ms. Rossi’s continued full employment with the Company through each applicable vesting date. The restricted stock unit award will vest in four equal annual installments beginning on the first anniversary of the date of grant, subject to Ms. Rossi’s continued full employment with the Company through each applicable vesting date. Ms. Rossi is eligible to participate in the employee benefit plans generally available to full-time employees, subject to the terms of those plans.</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the terms of her employment agreement, if Ms. Rossi’s employment is terminated by the Company without cause (as defined in her employment agreement) or by Ms. Rossi for good reason (as defined in her employment agreement), and subject to Ms. Rossi’s execution of a release of potential claims against the Company, Ms. Rossi will be entitled to receive: (i) a lump sum in cash in an amount equal to 12 months of base salary and (ii) a monthly cash payment for 12 months for medical and dental benefits or Ms. Rossi’s COBRA health continuation period, whichever ends earlier. However, in the event that Ms. Rossi’s employment is terminated by the Company without cause, or Ms. Rossi terminates her employment with the Company for good reason, in either case within 12 months following the occurrence of a sale event (as defined in her employment agreement), in lieu of the severance payments and benefits described in the preceding sentence and subject to Ms. Rossi’s execution of a release of potential claims against the Company, Ms. Rossi will be entitled to receive: (i) a lump sum in cash in an amount equal to the sum of 12 months of Ms. Rossi’s base salary then in effect plus Ms. Rossi’s target annual incentive compensation for the year in which the termination occurs, (ii) a monthly cash payment for 12 months for medical and dental benefits or Ms. Rossi’s COBRA health continuation period, whichever ends earlier, and (iii) full and immediate vesting and exercisability of all time-based stock options and other time-based stock-based awards held by Ms. Rossi.</w:t>
      </w:r>
    </w:p>
    <w:p>
      <w:pPr>
        <w:spacing w:after="0" w:line="18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connection with Ms. Rossi’s appointment as Chief Commercial Officer, Ms. Rossi entered into the Company’s standard form of indemnification agreement, a copy of which was filed as Exhibit 10.12 to the Company’s Registration Statement on Form S-1 (File No. 333-202938) filed with the Securities and Exchange Commission 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ind w:right="60"/>
        <w:spacing w:after="0" w:line="297" w:lineRule="auto"/>
        <w:rPr>
          <w:sz w:val="20"/>
          <w:szCs w:val="20"/>
          <w:color w:val="auto"/>
        </w:rPr>
      </w:pPr>
      <w:r>
        <w:rPr>
          <w:rFonts w:ascii="Arial" w:cs="Arial" w:eastAsia="Arial" w:hAnsi="Arial"/>
          <w:sz w:val="16"/>
          <w:szCs w:val="16"/>
          <w:color w:val="auto"/>
        </w:rPr>
        <w:t>March 23, 2015. Pursuant to the terms of the indemnification agreement, the Company may be required, among other things, to indemnify Ms. Rossi for some expenses, including attorneys’ fees, judgments, fines and settlement amounts incurred by her in any action or proceeding arising out of her service as one of our officers. Ms. Rossi has also previously entered into a confidentiality, assignment and non-competition agreement that contains, among other things, non-competition and non-solicitation provisions that apply during the term of Ms. Rossi’s employment and for 12 months thereafter.</w:t>
      </w:r>
    </w:p>
    <w:p>
      <w:pPr>
        <w:spacing w:after="0" w:line="15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Ms. Rossi has no family relationship with any of the executive officers or directors of the Company. There are no arrangements or understandings between Ms. Rossi and any other person pursuant to which she was appointed as an officer of the Company.</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foregoing description of the employment agreement with Ms. Rossi is qualified in its entirety by reference to the complete text of such agreement, a copy of which is attached as Exhibit 10.1 to this Current Report on Form 8-K. A copy of the Company’s press release announcing Ms. Rossi’s appointment as Chief Commercial Officer is attached as Exhibit 99.1 to this Current Report on Form 8-K.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0" w:type="dxa"/>
            <w:vAlign w:val="bottom"/>
          </w:tcPr>
          <w:p>
            <w:pPr>
              <w:spacing w:after="0"/>
              <w:rPr>
                <w:sz w:val="20"/>
                <w:szCs w:val="20"/>
                <w:color w:val="auto"/>
              </w:rPr>
            </w:pPr>
          </w:p>
        </w:tc>
        <w:tc>
          <w:tcPr>
            <w:tcW w:w="7900" w:type="dxa"/>
            <w:vAlign w:val="bottom"/>
            <w:gridSpan w:val="4"/>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76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Employment Agreement, effective October 29, 2018, by and between Blueprint Medicines Corporation and</w:t>
              </w:r>
            </w:hyperlink>
          </w:p>
        </w:tc>
        <w:tc>
          <w:tcPr>
            <w:tcW w:w="14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Christina Rossi</w:t>
              </w:r>
            </w:hyperlink>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99.1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gridSpan w:val="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Press release issued by Blueprint Medicines Corporation on October 29, 2018</w:t>
              </w:r>
            </w:hyperlink>
          </w:p>
        </w:tc>
      </w:tr>
      <w:tr>
        <w:trPr>
          <w:trHeight w:val="91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tcBorders>
              <w:top w:val="single" w:sz="8" w:color="0000EE"/>
            </w:tcBorders>
            <w:gridSpan w:val="2"/>
          </w:tcPr>
          <w:p>
            <w:pPr>
              <w:ind w:left="3320"/>
              <w:spacing w:after="0"/>
              <w:rPr>
                <w:sz w:val="20"/>
                <w:szCs w:val="20"/>
                <w:color w:val="auto"/>
              </w:rPr>
            </w:pPr>
            <w:r>
              <w:rPr>
                <w:rFonts w:ascii="Arial" w:cs="Arial" w:eastAsia="Arial" w:hAnsi="Arial"/>
                <w:sz w:val="18"/>
                <w:szCs w:val="18"/>
                <w:color w:val="auto"/>
              </w:rPr>
              <w:t>3</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860" w:type="dxa"/>
            <w:vAlign w:val="bottom"/>
            <w:gridSpan w:val="2"/>
          </w:tcPr>
          <w:p>
            <w:pPr>
              <w:ind w:left="148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200" w:type="dxa"/>
            <w:vAlign w:val="bottom"/>
          </w:tcPr>
          <w:p>
            <w:pPr>
              <w:spacing w:after="0"/>
              <w:rPr>
                <w:sz w:val="20"/>
                <w:szCs w:val="20"/>
                <w:color w:val="auto"/>
              </w:rPr>
            </w:pPr>
            <w:r>
              <w:rPr>
                <w:rFonts w:ascii="Arial" w:cs="Arial" w:eastAsia="Arial" w:hAnsi="Arial"/>
                <w:sz w:val="18"/>
                <w:szCs w:val="18"/>
                <w:color w:val="auto"/>
              </w:rPr>
              <w:t>Date: October 29, 2018</w:t>
            </w:r>
          </w:p>
        </w:tc>
        <w:tc>
          <w:tcPr>
            <w:tcW w:w="5860" w:type="dxa"/>
            <w:vAlign w:val="bottom"/>
            <w:gridSpan w:val="2"/>
          </w:tcPr>
          <w:p>
            <w:pPr>
              <w:ind w:left="1480"/>
              <w:spacing w:after="0"/>
              <w:rPr>
                <w:sz w:val="20"/>
                <w:szCs w:val="20"/>
                <w:color w:val="auto"/>
              </w:rPr>
            </w:pPr>
            <w:r>
              <w:rPr>
                <w:rFonts w:ascii="Arial" w:cs="Arial" w:eastAsia="Arial" w:hAnsi="Arial"/>
                <w:sz w:val="18"/>
                <w:szCs w:val="18"/>
                <w:color w:val="auto"/>
              </w:rPr>
              <w:t>By:/s/ Tracey L. McCain</w:t>
            </w:r>
          </w:p>
        </w:tc>
      </w:tr>
      <w:tr>
        <w:trPr>
          <w:trHeight w:val="195"/>
        </w:trPr>
        <w:tc>
          <w:tcPr>
            <w:tcW w:w="3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left="160" w:right="199" w:firstLine="648"/>
        <w:spacing w:after="0" w:line="297" w:lineRule="auto"/>
        <w:rPr>
          <w:sz w:val="20"/>
          <w:szCs w:val="20"/>
          <w:color w:val="auto"/>
        </w:rPr>
      </w:pPr>
      <w:r>
        <w:rPr>
          <w:rFonts w:ascii="Arial" w:cs="Arial" w:eastAsia="Arial" w:hAnsi="Arial"/>
          <w:sz w:val="19"/>
          <w:szCs w:val="19"/>
          <w:color w:val="auto"/>
        </w:rPr>
        <w:t>This Employment Agreement (“Agreement”) is between Blueprint Medicines Corporation, a Delaware corporation (the “Company”), and Christina Rossi (the “Executive”) and is effective on the first date of the Executive’s employment with the Company (the “Start Date”).</w:t>
      </w:r>
    </w:p>
    <w:p>
      <w:pPr>
        <w:spacing w:after="0" w:line="134" w:lineRule="exact"/>
        <w:rPr>
          <w:sz w:val="20"/>
          <w:szCs w:val="20"/>
          <w:color w:val="auto"/>
        </w:rPr>
      </w:pPr>
    </w:p>
    <w:p>
      <w:pPr>
        <w:ind w:left="160" w:right="359" w:firstLine="648"/>
        <w:spacing w:after="0" w:line="251" w:lineRule="auto"/>
        <w:rPr>
          <w:sz w:val="20"/>
          <w:szCs w:val="20"/>
          <w:color w:val="auto"/>
        </w:rPr>
      </w:pPr>
      <w:r>
        <w:rPr>
          <w:rFonts w:ascii="Arial" w:cs="Arial" w:eastAsia="Arial" w:hAnsi="Arial"/>
          <w:sz w:val="22"/>
          <w:szCs w:val="22"/>
          <w:color w:val="auto"/>
        </w:rPr>
        <w:t>WHEREAS, the Company desires to employ the Executive and the Executive desires to be employed by the Company on the terms and conditions contained herein.</w:t>
      </w:r>
    </w:p>
    <w:p>
      <w:pPr>
        <w:spacing w:after="0" w:line="173" w:lineRule="exact"/>
        <w:rPr>
          <w:sz w:val="20"/>
          <w:szCs w:val="20"/>
          <w:color w:val="auto"/>
        </w:rPr>
      </w:pPr>
    </w:p>
    <w:p>
      <w:pPr>
        <w:ind w:left="160" w:right="259"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6" w:lineRule="exact"/>
        <w:rPr>
          <w:sz w:val="20"/>
          <w:szCs w:val="20"/>
          <w:color w:val="auto"/>
        </w:rPr>
      </w:pPr>
    </w:p>
    <w:p>
      <w:pPr>
        <w:ind w:left="1440" w:hanging="64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319" w:firstLine="1287"/>
        <w:spacing w:after="0" w:line="279" w:lineRule="auto"/>
        <w:tabs>
          <w:tab w:leader="none" w:pos="2142"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Start Date and continue until terminated in accordance with the provisions of Section 3 (the “Term”). The Company and Executive anticipate that the Start Date will be October 29, 2018.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50" w:lineRule="exact"/>
        <w:rPr>
          <w:rFonts w:ascii="Arial" w:cs="Arial" w:eastAsia="Arial" w:hAnsi="Arial"/>
          <w:sz w:val="19"/>
          <w:szCs w:val="19"/>
          <w:color w:val="auto"/>
        </w:rPr>
      </w:pPr>
    </w:p>
    <w:p>
      <w:pPr>
        <w:ind w:left="160" w:right="159" w:firstLine="1287"/>
        <w:spacing w:after="0" w:line="245" w:lineRule="auto"/>
        <w:tabs>
          <w:tab w:leader="none" w:pos="2154"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Chief Commercial Officer of the Company, and shall have such duties as are consistent with such position. The Executive shall report to the Chief Executive Officer of the Company (the “CEO”) or another authorized executive.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85" w:lineRule="exact"/>
        <w:rPr>
          <w:rFonts w:ascii="Arial" w:cs="Arial" w:eastAsia="Arial" w:hAnsi="Arial"/>
          <w:sz w:val="21"/>
          <w:szCs w:val="21"/>
          <w:color w:val="auto"/>
        </w:rPr>
      </w:pPr>
    </w:p>
    <w:p>
      <w:pPr>
        <w:ind w:left="1440" w:hanging="64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93"/>
        <w:spacing w:after="0"/>
        <w:tabs>
          <w:tab w:leader="none" w:pos="2140"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annual base salary shall be</w:t>
      </w:r>
    </w:p>
    <w:p>
      <w:pPr>
        <w:spacing w:after="0" w:line="43" w:lineRule="exact"/>
        <w:rPr>
          <w:sz w:val="20"/>
          <w:szCs w:val="20"/>
          <w:color w:val="auto"/>
        </w:rPr>
      </w:pPr>
    </w:p>
    <w:p>
      <w:pPr>
        <w:ind w:left="160" w:right="279"/>
        <w:spacing w:after="0" w:line="277" w:lineRule="auto"/>
        <w:rPr>
          <w:sz w:val="20"/>
          <w:szCs w:val="20"/>
          <w:color w:val="auto"/>
        </w:rPr>
      </w:pPr>
      <w:r>
        <w:rPr>
          <w:rFonts w:ascii="Arial" w:cs="Arial" w:eastAsia="Arial" w:hAnsi="Arial"/>
          <w:sz w:val="19"/>
          <w:szCs w:val="19"/>
          <w:color w:val="auto"/>
        </w:rPr>
        <w:t>$390,000.00. The Executive’s base salary shall be re-determined annually by the Board or the Compensation Committee of the Board and shall be subject to increase but not decrease while Executive is serving in the Chief Commercial Officer role. The annual base salary in effect at any given time is referred to herein as “Base Salary.” The Base Salary shall be payable in a manner that is consistent with the Company’s usual payroll practices for senior executives.</w:t>
      </w:r>
    </w:p>
    <w:p>
      <w:pPr>
        <w:spacing w:after="0" w:line="153" w:lineRule="exact"/>
        <w:rPr>
          <w:sz w:val="20"/>
          <w:szCs w:val="20"/>
          <w:color w:val="auto"/>
        </w:rPr>
      </w:pPr>
    </w:p>
    <w:p>
      <w:pPr>
        <w:ind w:left="160" w:right="219" w:firstLine="1287"/>
        <w:spacing w:after="0" w:line="279" w:lineRule="auto"/>
        <w:tabs>
          <w:tab w:leader="none" w:pos="2154"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Sign On Bonus</w:t>
      </w:r>
      <w:r>
        <w:rPr>
          <w:rFonts w:ascii="Arial" w:cs="Arial" w:eastAsia="Arial" w:hAnsi="Arial"/>
          <w:sz w:val="19"/>
          <w:szCs w:val="19"/>
          <w:color w:val="auto"/>
        </w:rPr>
        <w:t>. Executive shall receive a one-time sign on bonus of $100,000.00 (the “Sign On Bonus”). This payment shall be subject to legally required tax withholdings. Executive agrees that if she terminates her employment within 12 months of the Effective Date, for any reason, and regardless of whether Executive has Good Reason (as defined in this Agreement) to terminate her employment, Executive shall repay the entire Sign On Bonus in accordance with the Company’s policies then in effect concerning such bonuses.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160" w:right="139" w:firstLine="1287"/>
        <w:spacing w:after="0" w:line="269" w:lineRule="auto"/>
        <w:tabs>
          <w:tab w:leader="none" w:pos="2155"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In connection with the commencement of the Executive’s employment, subject to the approval of the Board or the Compensation Committee of the Board, the Executive shall be granted (i) a stock option to purchase 80,000 shares of the Company’s common stock (the “Stock Option Award”) at an exercise price per share equal to the closing price of the Company’s common stock on the Nasdaq Global Select Market on the date of grant (or, or if no closing market price is reported for such date, the closing market price on the immediately preceding date for which a closing market price is reported) and (ii) 4,500 restricted stock units (the “RSU Award”). Subject to the approval by the Board or the Compensation Committee of the Board, the date of grant for the Stock Option Award and RSU Award is anticipated to be the first day of the month after the Effective Date. Each restricted stock unit will entitle the Executive to one share of the Company’s common stock if and when the restricted stock unit vests. The Stock Option Award will vest with respect to 25% of the shares of Company common stock underlying the Stock Option Award on the first anniversary of the date of grant (the “Vesting Commencement Date”), and the remaining 75% of the shares of Company common stock underlying the Stock Option Award shall vest in 36 equal monthly installments following the Vesting Commencement Date, subject to the Executive’s continued full-time employment with the Company through each applicable vesting date. The RSU Award shall vest in four equal annual installments following the Vesting Commencement Date, subject to the Executive’s continued full-time employment with the Company through each applicable vesting date. The Stock Option Award and the RSU Award will each be subject to all terms and conditions and other provisions set forth in the Company’s 2015 Stock Option and Incentive Plan (as amended and/or restated from time to time) and a separate agreement for the Stock Option Award and for the RSU Award, which the Executive will be required to sign as a condition to receiving the Stock Option Award and RSU Award (collectively the “Equity Documents”). The Executive may also be eligible to receive future equity awards, in the sole discretion of the Board or the Compensation Committee of the Board.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60" w:right="159" w:firstLine="1287"/>
        <w:spacing w:after="0" w:line="275" w:lineRule="auto"/>
        <w:tabs>
          <w:tab w:leader="none" w:pos="215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of the Board from time to time. Executive’s target annual incentive compensation shall be 40% of her Base Salary (the “Target Incentive Compensation”). The Board shall weigh its bonus determination as follows: 75% on Company performance and 25% on Executive’s individual performance. To earn incentive compensation, the Executive must be employed by the Company on the day such incentive compensation is paid. For the year 2018, the Executive shall be eligible to receive a pro-rated bonus based upon the period of time Executive is employed at the Company during the 2018 calendar year.</w:t>
      </w:r>
    </w:p>
    <w:p>
      <w:pPr>
        <w:spacing w:after="0" w:line="158" w:lineRule="exact"/>
        <w:rPr>
          <w:rFonts w:ascii="Arial" w:cs="Arial" w:eastAsia="Arial" w:hAnsi="Arial"/>
          <w:sz w:val="19"/>
          <w:szCs w:val="19"/>
          <w:color w:val="auto"/>
        </w:rPr>
      </w:pPr>
    </w:p>
    <w:p>
      <w:pPr>
        <w:ind w:left="160" w:right="359" w:firstLine="1287"/>
        <w:spacing w:after="0" w:line="238" w:lineRule="auto"/>
        <w:tabs>
          <w:tab w:leader="none" w:pos="214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85" w:lineRule="exact"/>
        <w:rPr>
          <w:rFonts w:ascii="Arial" w:cs="Arial" w:eastAsia="Arial" w:hAnsi="Arial"/>
          <w:sz w:val="22"/>
          <w:szCs w:val="22"/>
          <w:color w:val="auto"/>
        </w:rPr>
      </w:pPr>
    </w:p>
    <w:p>
      <w:pPr>
        <w:ind w:left="160" w:right="219" w:firstLine="1287"/>
        <w:spacing w:after="0"/>
        <w:tabs>
          <w:tab w:leader="none" w:pos="217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subject to the terms of such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 w:name="page7"/>
    <w:bookmarkEnd w:id="6"/>
    <w:p>
      <w:pPr>
        <w:ind w:left="160" w:right="519" w:firstLine="1287"/>
        <w:spacing w:after="0" w:line="251" w:lineRule="auto"/>
        <w:tabs>
          <w:tab w:leader="none" w:pos="2154" w:val="left"/>
        </w:tabs>
        <w:numPr>
          <w:ilvl w:val="2"/>
          <w:numId w:val="5"/>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3" w:lineRule="exact"/>
        <w:rPr>
          <w:rFonts w:ascii="Arial" w:cs="Arial" w:eastAsia="Arial" w:hAnsi="Arial"/>
          <w:sz w:val="22"/>
          <w:szCs w:val="22"/>
          <w:color w:val="auto"/>
        </w:rPr>
      </w:pPr>
    </w:p>
    <w:p>
      <w:pPr>
        <w:ind w:left="160" w:right="779" w:firstLine="639"/>
        <w:spacing w:after="0" w:line="328" w:lineRule="auto"/>
        <w:tabs>
          <w:tab w:leader="none" w:pos="1483"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5" w:lineRule="exact"/>
        <w:rPr>
          <w:rFonts w:ascii="Arial" w:cs="Arial" w:eastAsia="Arial" w:hAnsi="Arial"/>
          <w:sz w:val="19"/>
          <w:szCs w:val="19"/>
          <w:color w:val="auto"/>
        </w:rPr>
      </w:pPr>
    </w:p>
    <w:p>
      <w:pPr>
        <w:ind w:left="2140" w:hanging="693"/>
        <w:spacing w:after="0"/>
        <w:tabs>
          <w:tab w:leader="none" w:pos="2140"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hereunder shall terminate upon her</w:t>
      </w:r>
    </w:p>
    <w:p>
      <w:pPr>
        <w:spacing w:after="0" w:line="42"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2"/>
          <w:szCs w:val="22"/>
          <w:color w:val="auto"/>
        </w:rPr>
        <w:t>death.</w:t>
      </w:r>
    </w:p>
    <w:p>
      <w:pPr>
        <w:spacing w:after="0" w:line="188" w:lineRule="exact"/>
        <w:rPr>
          <w:rFonts w:ascii="Arial" w:cs="Arial" w:eastAsia="Arial" w:hAnsi="Arial"/>
          <w:sz w:val="19"/>
          <w:szCs w:val="19"/>
          <w:color w:val="auto"/>
        </w:rPr>
      </w:pPr>
    </w:p>
    <w:p>
      <w:pPr>
        <w:ind w:left="160" w:right="219" w:firstLine="1287"/>
        <w:spacing w:after="0" w:line="271" w:lineRule="auto"/>
        <w:tabs>
          <w:tab w:leader="none" w:pos="2154"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§260l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8" w:lineRule="exact"/>
        <w:rPr>
          <w:rFonts w:ascii="Arial" w:cs="Arial" w:eastAsia="Arial" w:hAnsi="Arial"/>
          <w:sz w:val="19"/>
          <w:szCs w:val="19"/>
          <w:color w:val="auto"/>
        </w:rPr>
      </w:pPr>
    </w:p>
    <w:p>
      <w:pPr>
        <w:ind w:left="160" w:right="199" w:firstLine="1287"/>
        <w:spacing w:after="0" w:line="276" w:lineRule="auto"/>
        <w:tabs>
          <w:tab w:leader="none" w:pos="2155"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w:t>
      </w:r>
    </w:p>
    <w:p>
      <w:pPr>
        <w:spacing w:after="0" w:line="1" w:lineRule="exact"/>
        <w:rPr>
          <w:rFonts w:ascii="Arial" w:cs="Arial" w:eastAsia="Arial" w:hAnsi="Arial"/>
          <w:sz w:val="19"/>
          <w:szCs w:val="19"/>
          <w:color w:val="auto"/>
        </w:rPr>
      </w:pPr>
    </w:p>
    <w:p>
      <w:pPr>
        <w:ind w:left="160" w:right="239" w:hanging="9"/>
        <w:spacing w:after="0" w:line="269" w:lineRule="auto"/>
        <w:tabs>
          <w:tab w:leader="none" w:pos="418" w:val="left"/>
        </w:tabs>
        <w:numPr>
          <w:ilvl w:val="0"/>
          <w:numId w:val="7"/>
        </w:numPr>
        <w:rPr>
          <w:rFonts w:ascii="Arial" w:cs="Arial" w:eastAsia="Arial" w:hAnsi="Arial"/>
          <w:sz w:val="19"/>
          <w:szCs w:val="19"/>
          <w:color w:val="auto"/>
        </w:rPr>
      </w:pPr>
      <w:r>
        <w:rPr>
          <w:rFonts w:ascii="Arial" w:cs="Arial" w:eastAsia="Arial" w:hAnsi="Arial"/>
          <w:sz w:val="19"/>
          <w:szCs w:val="19"/>
          <w:color w:val="auto"/>
        </w:rPr>
        <w:t>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 w:name="page8"/>
    <w:bookmarkEnd w:id="7"/>
    <w:p>
      <w:pPr>
        <w:ind w:left="160" w:right="779"/>
        <w:spacing w:after="0" w:line="251" w:lineRule="auto"/>
        <w:rPr>
          <w:sz w:val="20"/>
          <w:szCs w:val="20"/>
          <w:color w:val="auto"/>
        </w:rPr>
      </w:pPr>
      <w:r>
        <w:rPr>
          <w:rFonts w:ascii="Arial" w:cs="Arial" w:eastAsia="Arial" w:hAnsi="Arial"/>
          <w:sz w:val="22"/>
          <w:szCs w:val="22"/>
          <w:color w:val="auto"/>
        </w:rPr>
        <w:t>others to fail to cooperate or to produce documents or other materials in connection with such investigation.</w:t>
      </w:r>
    </w:p>
    <w:p>
      <w:pPr>
        <w:spacing w:after="0" w:line="173" w:lineRule="exact"/>
        <w:rPr>
          <w:sz w:val="20"/>
          <w:szCs w:val="20"/>
          <w:color w:val="auto"/>
        </w:rPr>
      </w:pPr>
    </w:p>
    <w:p>
      <w:pPr>
        <w:ind w:left="160" w:right="359" w:firstLine="1287"/>
        <w:spacing w:after="0" w:line="282" w:lineRule="auto"/>
        <w:tabs>
          <w:tab w:leader="none" w:pos="2154"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9"/>
          <w:szCs w:val="19"/>
          <w:color w:val="auto"/>
        </w:rPr>
      </w:pPr>
    </w:p>
    <w:p>
      <w:pPr>
        <w:ind w:left="160" w:right="159" w:firstLine="1287"/>
        <w:spacing w:after="0" w:line="270" w:lineRule="auto"/>
        <w:tabs>
          <w:tab w:leader="none" w:pos="2142"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 to remedy the condition; (iv) notwithstanding such efforts, the Good Reason condition continues to exist; and (v) the Executive terminates her employment within 60 days after the end of the Cure Period . If the Company cures the Good Reason condition during the Cure Period, Good Reason shall be deemed not to have occurred.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60" w:right="299" w:firstLine="1287"/>
        <w:spacing w:after="0" w:line="249" w:lineRule="auto"/>
        <w:tabs>
          <w:tab w:leader="none" w:pos="2172" w:val="left"/>
        </w:tabs>
        <w:numPr>
          <w:ilvl w:val="1"/>
          <w:numId w:val="8"/>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8" w:lineRule="exact"/>
        <w:rPr>
          <w:rFonts w:ascii="Arial" w:cs="Arial" w:eastAsia="Arial" w:hAnsi="Arial"/>
          <w:sz w:val="21"/>
          <w:szCs w:val="21"/>
          <w:color w:val="auto"/>
        </w:rPr>
      </w:pPr>
    </w:p>
    <w:p>
      <w:pPr>
        <w:ind w:left="160" w:right="199" w:firstLine="1287"/>
        <w:spacing w:after="0" w:line="270" w:lineRule="auto"/>
        <w:tabs>
          <w:tab w:leader="none" w:pos="2154"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w:t>
      </w:r>
    </w:p>
    <w:p>
      <w:pPr>
        <w:spacing w:after="0" w:line="4" w:lineRule="exact"/>
        <w:rPr>
          <w:rFonts w:ascii="Arial" w:cs="Arial" w:eastAsia="Arial" w:hAnsi="Arial"/>
          <w:sz w:val="19"/>
          <w:szCs w:val="19"/>
          <w:color w:val="auto"/>
        </w:rPr>
      </w:pPr>
    </w:p>
    <w:p>
      <w:pPr>
        <w:jc w:val="both"/>
        <w:ind w:left="160" w:right="159" w:hanging="9"/>
        <w:spacing w:after="0" w:line="233" w:lineRule="auto"/>
        <w:tabs>
          <w:tab w:leader="none" w:pos="526"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 w:name="page9"/>
    <w:bookmarkEnd w:id="8"/>
    <w:p>
      <w:pPr>
        <w:ind w:left="160" w:right="299"/>
        <w:spacing w:after="0" w:line="238" w:lineRule="auto"/>
        <w:rPr>
          <w:sz w:val="20"/>
          <w:szCs w:val="20"/>
          <w:color w:val="auto"/>
        </w:rPr>
      </w:pPr>
      <w:r>
        <w:rPr>
          <w:rFonts w:ascii="Arial" w:cs="Arial" w:eastAsia="Arial" w:hAnsi="Arial"/>
          <w:sz w:val="22"/>
          <w:szCs w:val="22"/>
          <w:color w:val="auto"/>
        </w:rPr>
        <w:t>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5" w:lineRule="exact"/>
        <w:rPr>
          <w:sz w:val="20"/>
          <w:szCs w:val="20"/>
          <w:color w:val="auto"/>
        </w:rPr>
      </w:pPr>
    </w:p>
    <w:p>
      <w:pPr>
        <w:ind w:left="1440" w:hanging="641"/>
        <w:spacing w:after="0"/>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79" w:firstLine="1287"/>
        <w:spacing w:after="0" w:line="274" w:lineRule="auto"/>
        <w:tabs>
          <w:tab w:leader="none" w:pos="2142"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2(d)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8" w:lineRule="exact"/>
        <w:rPr>
          <w:rFonts w:ascii="Arial" w:cs="Arial" w:eastAsia="Arial" w:hAnsi="Arial"/>
          <w:sz w:val="19"/>
          <w:szCs w:val="19"/>
          <w:color w:val="auto"/>
        </w:rPr>
      </w:pPr>
    </w:p>
    <w:p>
      <w:pPr>
        <w:ind w:left="160" w:right="199" w:firstLine="1287"/>
        <w:spacing w:after="0" w:line="273" w:lineRule="auto"/>
        <w:tabs>
          <w:tab w:leader="none" w:pos="2154"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and a noncompetition agreement with terms substantially similar to the Restrictive Covenants Agreement, such separation agreement to be in a form and manner satisfactory to the Company (the “Separation Agreement and Release”) and the Separation Agreement and Release becoming irrevocable, all within 60 days after the Date of Termination: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800" w:right="299" w:firstLine="1295"/>
        <w:spacing w:after="0" w:line="282" w:lineRule="auto"/>
        <w:tabs>
          <w:tab w:leader="none" w:pos="2814" w:val="left"/>
        </w:tabs>
        <w:numPr>
          <w:ilvl w:val="2"/>
          <w:numId w:val="10"/>
        </w:numPr>
        <w:rPr>
          <w:rFonts w:ascii="Arial" w:cs="Arial" w:eastAsia="Arial" w:hAnsi="Arial"/>
          <w:sz w:val="19"/>
          <w:szCs w:val="19"/>
          <w:color w:val="424242"/>
        </w:rPr>
      </w:pPr>
      <w:r>
        <w:rPr>
          <w:rFonts w:ascii="Arial" w:cs="Arial" w:eastAsia="Arial" w:hAnsi="Arial"/>
          <w:sz w:val="19"/>
          <w:szCs w:val="19"/>
          <w:color w:val="auto"/>
        </w:rPr>
        <w:t>the Company shall pay the Executive an amount equal to one (1) times the Executive’s Base Salary (the “Severance Amount”) provided in the event the Executive is entitled to any payments pursuant to the Restrictive Covenants Agreement, the Severance Amount will be reduced by the amount the Executive is paid pursuant to the Restrictive Covenants Agreement (the “Restrictive Covenants Agreement Setoff”); and</w:t>
      </w:r>
    </w:p>
    <w:p>
      <w:pPr>
        <w:spacing w:after="0" w:line="147" w:lineRule="exact"/>
        <w:rPr>
          <w:rFonts w:ascii="Arial" w:cs="Arial" w:eastAsia="Arial" w:hAnsi="Arial"/>
          <w:sz w:val="19"/>
          <w:szCs w:val="19"/>
          <w:color w:val="424242"/>
        </w:rPr>
      </w:pPr>
    </w:p>
    <w:p>
      <w:pPr>
        <w:ind w:left="800" w:right="139" w:firstLine="1295"/>
        <w:spacing w:after="0" w:line="279" w:lineRule="auto"/>
        <w:tabs>
          <w:tab w:leader="none" w:pos="2847" w:val="left"/>
        </w:tabs>
        <w:numPr>
          <w:ilvl w:val="2"/>
          <w:numId w:val="10"/>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 w:name="page10"/>
    <w:bookmarkEnd w:id="9"/>
    <w:p>
      <w:pPr>
        <w:ind w:left="160" w:right="139"/>
        <w:spacing w:after="0" w:line="275"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58" w:lineRule="exact"/>
        <w:rPr>
          <w:sz w:val="20"/>
          <w:szCs w:val="20"/>
          <w:color w:val="auto"/>
        </w:rPr>
      </w:pPr>
    </w:p>
    <w:p>
      <w:pPr>
        <w:ind w:left="160" w:right="199"/>
        <w:spacing w:after="0" w:line="275" w:lineRule="auto"/>
        <w:rPr>
          <w:sz w:val="20"/>
          <w:szCs w:val="20"/>
          <w:color w:val="auto"/>
        </w:rPr>
      </w:pPr>
      <w:r>
        <w:rPr>
          <w:rFonts w:ascii="Arial" w:cs="Arial" w:eastAsia="Arial" w:hAnsi="Arial"/>
          <w:sz w:val="19"/>
          <w:szCs w:val="19"/>
          <w:color w:val="auto"/>
        </w:rPr>
        <w:t>The receipt of any severance payments or benefits pursuant to Section 4 will be subject to Executive not violating the Restrictive Covenants Agreement, the terms of which are hereby incorporated by reference. In the event Executive breaches any of the provisions contained in Section 7 of this Agreement, including any breach of the Restrictive Covenants Agreement, in addition to all other legal and equitable remedies, the Company shall have the right to terminate or suspend all continuing payments and benefits to which Executive may otherwise be entitled pursuant to Section 4 (including without limitation the Severance Amount) without affecting the Executive’s release or Executive’s obligations under the Separation Agreement and Release.</w:t>
      </w:r>
    </w:p>
    <w:p>
      <w:pPr>
        <w:spacing w:after="0" w:line="158" w:lineRule="exact"/>
        <w:rPr>
          <w:sz w:val="20"/>
          <w:szCs w:val="20"/>
          <w:color w:val="auto"/>
        </w:rPr>
      </w:pPr>
    </w:p>
    <w:p>
      <w:pPr>
        <w:ind w:left="160" w:right="139" w:firstLine="639"/>
        <w:spacing w:after="0" w:line="270" w:lineRule="auto"/>
        <w:tabs>
          <w:tab w:leader="none" w:pos="1483"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These provisions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w:t>
      </w:r>
    </w:p>
    <w:p>
      <w:pPr>
        <w:spacing w:after="0" w:line="4" w:lineRule="exact"/>
        <w:rPr>
          <w:rFonts w:ascii="Arial" w:cs="Arial" w:eastAsia="Arial" w:hAnsi="Arial"/>
          <w:sz w:val="19"/>
          <w:szCs w:val="19"/>
          <w:color w:val="auto"/>
        </w:rPr>
      </w:pPr>
    </w:p>
    <w:p>
      <w:pPr>
        <w:ind w:left="160" w:right="199" w:hanging="9"/>
        <w:spacing w:after="0" w:line="234" w:lineRule="auto"/>
        <w:tabs>
          <w:tab w:leader="none" w:pos="574" w:val="left"/>
        </w:tabs>
        <w:numPr>
          <w:ilvl w:val="0"/>
          <w:numId w:val="12"/>
        </w:numPr>
        <w:rPr>
          <w:rFonts w:ascii="Arial" w:cs="Arial" w:eastAsia="Arial" w:hAnsi="Arial"/>
          <w:sz w:val="22"/>
          <w:szCs w:val="22"/>
          <w:color w:val="auto"/>
        </w:rPr>
      </w:pPr>
      <w:r>
        <w:rPr>
          <w:rFonts w:ascii="Arial" w:cs="Arial" w:eastAsia="Arial" w:hAnsi="Arial"/>
          <w:sz w:val="22"/>
          <w:szCs w:val="22"/>
          <w:color w:val="auto"/>
        </w:rPr>
        <w:t>months after the occurrence of the first event constituting a Sale Event. These provisions shall terminate and be of no further force or effect beginning twelve (12) months after the occurrence of a Sale Event.</w:t>
      </w:r>
    </w:p>
    <w:p>
      <w:pPr>
        <w:spacing w:after="0" w:line="187" w:lineRule="exact"/>
        <w:rPr>
          <w:rFonts w:ascii="Arial" w:cs="Arial" w:eastAsia="Arial" w:hAnsi="Arial"/>
          <w:sz w:val="22"/>
          <w:szCs w:val="22"/>
          <w:color w:val="auto"/>
        </w:rPr>
      </w:pPr>
    </w:p>
    <w:p>
      <w:pPr>
        <w:ind w:left="160" w:right="179" w:firstLine="1287"/>
        <w:spacing w:after="0" w:line="282" w:lineRule="auto"/>
        <w:tabs>
          <w:tab w:leader="none" w:pos="2142" w:val="left"/>
        </w:tabs>
        <w:numPr>
          <w:ilvl w:val="2"/>
          <w:numId w:val="12"/>
        </w:numPr>
        <w:rPr>
          <w:rFonts w:ascii="Arial" w:cs="Arial" w:eastAsia="Arial" w:hAnsi="Arial"/>
          <w:sz w:val="19"/>
          <w:szCs w:val="19"/>
          <w:color w:val="auto"/>
        </w:rPr>
      </w:pPr>
      <w:r>
        <w:rPr>
          <w:rFonts w:ascii="Arial" w:cs="Arial" w:eastAsia="Arial" w:hAnsi="Arial"/>
          <w:sz w:val="19"/>
          <w:szCs w:val="19"/>
          <w:u w:val="single" w:color="auto"/>
          <w:color w:val="auto"/>
        </w:rPr>
        <w:t>Sale Event</w:t>
      </w:r>
      <w:r>
        <w:rPr>
          <w:rFonts w:ascii="Arial" w:cs="Arial" w:eastAsia="Arial" w:hAnsi="Arial"/>
          <w:sz w:val="19"/>
          <w:szCs w:val="19"/>
          <w:color w:val="auto"/>
        </w:rPr>
        <w:t>. During the Term, if within twelve (12) months after a Sale Event,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7" w:lineRule="exact"/>
        <w:rPr>
          <w:rFonts w:ascii="Arial" w:cs="Arial" w:eastAsia="Arial" w:hAnsi="Arial"/>
          <w:sz w:val="19"/>
          <w:szCs w:val="19"/>
          <w:color w:val="auto"/>
        </w:rPr>
      </w:pPr>
    </w:p>
    <w:p>
      <w:pPr>
        <w:ind w:left="800" w:right="199" w:firstLine="1295"/>
        <w:spacing w:after="0" w:line="273" w:lineRule="auto"/>
        <w:tabs>
          <w:tab w:leader="none" w:pos="2814" w:val="left"/>
        </w:tabs>
        <w:numPr>
          <w:ilvl w:val="3"/>
          <w:numId w:val="12"/>
        </w:numPr>
        <w:rPr>
          <w:rFonts w:ascii="Arial" w:cs="Arial" w:eastAsia="Arial" w:hAnsi="Arial"/>
          <w:sz w:val="19"/>
          <w:szCs w:val="19"/>
          <w:color w:val="424242"/>
        </w:rPr>
      </w:pPr>
      <w:r>
        <w:rPr>
          <w:rFonts w:ascii="Arial" w:cs="Arial" w:eastAsia="Arial" w:hAnsi="Arial"/>
          <w:sz w:val="19"/>
          <w:szCs w:val="19"/>
          <w:color w:val="auto"/>
        </w:rPr>
        <w:t>the Company shall pay the Executive a lump sum in cash in an amount equal to the sum of (A) one (1) times the Executive’s current Base Salary (or the Executive’s Base Salary in effect immediately prior to the Sale Event, if higher) plus (B) one</w:t>
      </w:r>
    </w:p>
    <w:p>
      <w:pPr>
        <w:spacing w:after="0" w:line="1" w:lineRule="exact"/>
        <w:rPr>
          <w:rFonts w:ascii="Arial" w:cs="Arial" w:eastAsia="Arial" w:hAnsi="Arial"/>
          <w:sz w:val="19"/>
          <w:szCs w:val="19"/>
          <w:color w:val="424242"/>
        </w:rPr>
      </w:pPr>
    </w:p>
    <w:p>
      <w:pPr>
        <w:ind w:left="800" w:right="219"/>
        <w:spacing w:after="0" w:line="234" w:lineRule="auto"/>
        <w:rPr>
          <w:rFonts w:ascii="Arial" w:cs="Arial" w:eastAsia="Arial" w:hAnsi="Arial"/>
          <w:sz w:val="19"/>
          <w:szCs w:val="19"/>
          <w:color w:val="424242"/>
        </w:rPr>
      </w:pPr>
      <w:r>
        <w:rPr>
          <w:rFonts w:ascii="Arial" w:cs="Arial" w:eastAsia="Arial" w:hAnsi="Arial"/>
          <w:sz w:val="22"/>
          <w:szCs w:val="22"/>
          <w:color w:val="auto"/>
        </w:rPr>
        <w:t>(1) times the Executive’s Target Incentive Compensation (the “Change in Control Payment”), provided any Change in Control Payment shall be less the Restrictive Covenants Agreement Setoff, if applicable; and</w:t>
      </w:r>
    </w:p>
    <w:p>
      <w:pPr>
        <w:spacing w:after="0" w:line="187" w:lineRule="exact"/>
        <w:rPr>
          <w:rFonts w:ascii="Arial" w:cs="Arial" w:eastAsia="Arial" w:hAnsi="Arial"/>
          <w:sz w:val="19"/>
          <w:szCs w:val="19"/>
          <w:color w:val="424242"/>
        </w:rPr>
      </w:pPr>
    </w:p>
    <w:p>
      <w:pPr>
        <w:ind w:left="800" w:right="139" w:firstLine="1295"/>
        <w:spacing w:after="0" w:line="282" w:lineRule="auto"/>
        <w:tabs>
          <w:tab w:leader="none" w:pos="2847" w:val="left"/>
        </w:tabs>
        <w:numPr>
          <w:ilvl w:val="3"/>
          <w:numId w:val="12"/>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0" w:name="page11"/>
    <w:bookmarkEnd w:id="10"/>
    <w:p>
      <w:pPr>
        <w:ind w:left="800" w:right="199"/>
        <w:spacing w:after="0" w:line="251" w:lineRule="auto"/>
        <w:rPr>
          <w:sz w:val="20"/>
          <w:szCs w:val="20"/>
          <w:color w:val="auto"/>
        </w:rPr>
      </w:pPr>
      <w:r>
        <w:rPr>
          <w:rFonts w:ascii="Arial" w:cs="Arial" w:eastAsia="Arial" w:hAnsi="Arial"/>
          <w:sz w:val="22"/>
          <w:szCs w:val="22"/>
          <w:color w:val="auto"/>
        </w:rPr>
        <w:t>would have made to provide health insurance to the Executive if the Executive had remained employed by the Company; and</w:t>
      </w:r>
    </w:p>
    <w:p>
      <w:pPr>
        <w:spacing w:after="0" w:line="173" w:lineRule="exact"/>
        <w:rPr>
          <w:sz w:val="20"/>
          <w:szCs w:val="20"/>
          <w:color w:val="auto"/>
        </w:rPr>
      </w:pPr>
    </w:p>
    <w:p>
      <w:pPr>
        <w:ind w:left="800" w:right="319" w:firstLine="1295"/>
        <w:spacing w:after="0" w:line="246" w:lineRule="auto"/>
        <w:tabs>
          <w:tab w:leader="none" w:pos="2866" w:val="left"/>
        </w:tabs>
        <w:numPr>
          <w:ilvl w:val="0"/>
          <w:numId w:val="13"/>
        </w:numPr>
        <w:rPr>
          <w:rFonts w:ascii="Arial" w:cs="Arial" w:eastAsia="Arial" w:hAnsi="Arial"/>
          <w:sz w:val="21"/>
          <w:szCs w:val="21"/>
          <w:color w:val="424242"/>
        </w:rPr>
      </w:pPr>
      <w:r>
        <w:rPr>
          <w:rFonts w:ascii="Arial" w:cs="Arial" w:eastAsia="Arial" w:hAnsi="Arial"/>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1" w:lineRule="exact"/>
        <w:rPr>
          <w:sz w:val="20"/>
          <w:szCs w:val="20"/>
          <w:color w:val="auto"/>
        </w:rPr>
      </w:pPr>
    </w:p>
    <w:p>
      <w:pPr>
        <w:ind w:left="240" w:right="23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3" w:lineRule="exact"/>
        <w:rPr>
          <w:sz w:val="20"/>
          <w:szCs w:val="20"/>
          <w:color w:val="auto"/>
        </w:rPr>
      </w:pPr>
    </w:p>
    <w:p>
      <w:pPr>
        <w:ind w:left="2140" w:hanging="693"/>
        <w:spacing w:after="0"/>
        <w:tabs>
          <w:tab w:leader="none" w:pos="2140"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00" w:right="199" w:firstLine="1295"/>
        <w:spacing w:after="0" w:line="268" w:lineRule="auto"/>
        <w:tabs>
          <w:tab w:leader="none" w:pos="2814" w:val="left"/>
        </w:tabs>
        <w:numPr>
          <w:ilvl w:val="2"/>
          <w:numId w:val="14"/>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4" w:lineRule="exact"/>
        <w:rPr>
          <w:rFonts w:ascii="Arial" w:cs="Arial" w:eastAsia="Arial" w:hAnsi="Arial"/>
          <w:sz w:val="19"/>
          <w:szCs w:val="19"/>
          <w:color w:val="auto"/>
        </w:rPr>
      </w:pPr>
    </w:p>
    <w:p>
      <w:pPr>
        <w:ind w:left="800" w:right="219" w:hanging="1"/>
        <w:spacing w:after="0" w:line="244" w:lineRule="auto"/>
        <w:tabs>
          <w:tab w:leader="none" w:pos="1106" w:val="left"/>
        </w:tabs>
        <w:numPr>
          <w:ilvl w:val="0"/>
          <w:numId w:val="15"/>
        </w:numPr>
        <w:rPr>
          <w:rFonts w:ascii="Arial" w:cs="Arial" w:eastAsia="Arial" w:hAnsi="Arial"/>
          <w:sz w:val="21"/>
          <w:szCs w:val="21"/>
          <w:color w:val="auto"/>
        </w:rPr>
      </w:pPr>
      <w:r>
        <w:rPr>
          <w:rFonts w:ascii="Arial" w:cs="Arial" w:eastAsia="Arial" w:hAnsi="Arial"/>
          <w:sz w:val="21"/>
          <w:szCs w:val="21"/>
          <w:color w:val="auto"/>
        </w:rPr>
        <w:t>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3" w:lineRule="exact"/>
        <w:rPr>
          <w:rFonts w:ascii="Arial" w:cs="Arial" w:eastAsia="Arial" w:hAnsi="Arial"/>
          <w:sz w:val="21"/>
          <w:szCs w:val="21"/>
          <w:color w:val="auto"/>
        </w:rPr>
      </w:pPr>
    </w:p>
    <w:p>
      <w:pPr>
        <w:ind w:left="800" w:right="139" w:firstLine="1295"/>
        <w:spacing w:after="0" w:line="282" w:lineRule="auto"/>
        <w:tabs>
          <w:tab w:leader="none" w:pos="2847" w:val="left"/>
        </w:tabs>
        <w:numPr>
          <w:ilvl w:val="2"/>
          <w:numId w:val="15"/>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1" w:name="page12"/>
    <w:bookmarkEnd w:id="11"/>
    <w:p>
      <w:pPr>
        <w:ind w:left="800" w:right="239"/>
        <w:spacing w:after="0" w:line="287" w:lineRule="auto"/>
        <w:rPr>
          <w:sz w:val="20"/>
          <w:szCs w:val="20"/>
          <w:color w:val="auto"/>
        </w:rPr>
      </w:pPr>
      <w:r>
        <w:rPr>
          <w:rFonts w:ascii="Arial" w:cs="Arial" w:eastAsia="Arial" w:hAnsi="Arial"/>
          <w:sz w:val="19"/>
          <w:szCs w:val="19"/>
          <w:color w:val="auto"/>
        </w:rPr>
        <w:t>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43" w:lineRule="exact"/>
        <w:rPr>
          <w:sz w:val="20"/>
          <w:szCs w:val="20"/>
          <w:color w:val="auto"/>
        </w:rPr>
      </w:pPr>
    </w:p>
    <w:p>
      <w:pPr>
        <w:ind w:left="800" w:right="219" w:firstLine="1295"/>
        <w:spacing w:after="0" w:line="247" w:lineRule="auto"/>
        <w:tabs>
          <w:tab w:leader="none" w:pos="2866"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78" w:lineRule="exact"/>
        <w:rPr>
          <w:rFonts w:ascii="Arial" w:cs="Arial" w:eastAsia="Arial" w:hAnsi="Arial"/>
          <w:sz w:val="21"/>
          <w:szCs w:val="21"/>
          <w:color w:val="auto"/>
        </w:rPr>
      </w:pPr>
    </w:p>
    <w:p>
      <w:pPr>
        <w:ind w:left="160" w:right="159" w:firstLine="1287"/>
        <w:spacing w:after="0" w:line="272" w:lineRule="auto"/>
        <w:tabs>
          <w:tab w:leader="none" w:pos="2155"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Sale Event Definition</w:t>
      </w:r>
      <w:r>
        <w:rPr>
          <w:rFonts w:ascii="Arial" w:cs="Arial" w:eastAsia="Arial" w:hAnsi="Arial"/>
          <w:sz w:val="19"/>
          <w:szCs w:val="19"/>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00" w:lineRule="exact"/>
        <w:rPr>
          <w:sz w:val="20"/>
          <w:szCs w:val="20"/>
          <w:color w:val="auto"/>
        </w:rPr>
      </w:pPr>
    </w:p>
    <w:p>
      <w:pPr>
        <w:spacing w:after="0" w:line="209" w:lineRule="exact"/>
        <w:rPr>
          <w:sz w:val="20"/>
          <w:szCs w:val="20"/>
          <w:color w:val="auto"/>
        </w:rPr>
      </w:pPr>
    </w:p>
    <w:p>
      <w:pPr>
        <w:ind w:left="160" w:right="159"/>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200" w:lineRule="exact"/>
        <w:rPr>
          <w:sz w:val="20"/>
          <w:szCs w:val="20"/>
          <w:color w:val="auto"/>
        </w:rPr>
      </w:pPr>
    </w:p>
    <w:p>
      <w:pPr>
        <w:spacing w:after="0" w:line="205" w:lineRule="exact"/>
        <w:rPr>
          <w:sz w:val="20"/>
          <w:szCs w:val="20"/>
          <w:color w:val="auto"/>
        </w:rPr>
      </w:pPr>
    </w:p>
    <w:p>
      <w:pPr>
        <w:ind w:left="1440" w:hanging="641"/>
        <w:spacing w:after="0"/>
        <w:tabs>
          <w:tab w:leader="none" w:pos="14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19" w:firstLine="1287"/>
        <w:spacing w:after="0" w:line="279" w:lineRule="auto"/>
        <w:tabs>
          <w:tab w:leader="none" w:pos="2142" w:val="left"/>
        </w:tabs>
        <w:numPr>
          <w:ilvl w:val="1"/>
          <w:numId w:val="18"/>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2" w:name="page13"/>
    <w:bookmarkEnd w:id="12"/>
    <w:p>
      <w:pPr>
        <w:ind w:left="160" w:right="199"/>
        <w:spacing w:after="0" w:line="277" w:lineRule="auto"/>
        <w:rPr>
          <w:sz w:val="20"/>
          <w:szCs w:val="20"/>
          <w:color w:val="auto"/>
        </w:rPr>
      </w:pPr>
      <w:r>
        <w:rPr>
          <w:rFonts w:ascii="Arial" w:cs="Arial" w:eastAsia="Arial" w:hAnsi="Arial"/>
          <w:sz w:val="19"/>
          <w:szCs w:val="19"/>
          <w:color w:val="auto"/>
        </w:rPr>
        <w:t>imposed pursuant to Section 409A(a) of the Code as a result of the application of Section 409A(a) (2)(B)(i)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3" w:lineRule="exact"/>
        <w:rPr>
          <w:sz w:val="20"/>
          <w:szCs w:val="20"/>
          <w:color w:val="auto"/>
        </w:rPr>
      </w:pPr>
    </w:p>
    <w:p>
      <w:pPr>
        <w:ind w:left="160" w:right="259" w:firstLine="1287"/>
        <w:spacing w:after="0" w:line="274" w:lineRule="auto"/>
        <w:tabs>
          <w:tab w:leader="none" w:pos="2154" w:val="left"/>
        </w:tabs>
        <w:numPr>
          <w:ilvl w:val="1"/>
          <w:numId w:val="19"/>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left="160" w:right="479" w:firstLine="1287"/>
        <w:spacing w:after="0" w:line="279" w:lineRule="auto"/>
        <w:tabs>
          <w:tab w:leader="none" w:pos="2155" w:val="left"/>
        </w:tabs>
        <w:numPr>
          <w:ilvl w:val="1"/>
          <w:numId w:val="19"/>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spacing w:after="0" w:line="150" w:lineRule="exact"/>
        <w:rPr>
          <w:rFonts w:ascii="Arial" w:cs="Arial" w:eastAsia="Arial" w:hAnsi="Arial"/>
          <w:sz w:val="19"/>
          <w:szCs w:val="19"/>
          <w:color w:val="auto"/>
        </w:rPr>
      </w:pPr>
    </w:p>
    <w:p>
      <w:pPr>
        <w:ind w:left="160" w:right="199" w:firstLine="1287"/>
        <w:spacing w:after="0" w:line="274" w:lineRule="auto"/>
        <w:tabs>
          <w:tab w:leader="none" w:pos="2154"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58" w:lineRule="exact"/>
        <w:rPr>
          <w:rFonts w:ascii="Arial" w:cs="Arial" w:eastAsia="Arial" w:hAnsi="Arial"/>
          <w:sz w:val="19"/>
          <w:szCs w:val="19"/>
          <w:color w:val="auto"/>
        </w:rPr>
      </w:pPr>
    </w:p>
    <w:p>
      <w:pPr>
        <w:jc w:val="both"/>
        <w:ind w:left="160" w:right="159" w:firstLine="1287"/>
        <w:spacing w:after="0" w:line="238" w:lineRule="auto"/>
        <w:tabs>
          <w:tab w:leader="none" w:pos="214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5" w:lineRule="exact"/>
        <w:rPr>
          <w:rFonts w:ascii="Arial" w:cs="Arial" w:eastAsia="Arial" w:hAnsi="Arial"/>
          <w:sz w:val="22"/>
          <w:szCs w:val="22"/>
          <w:color w:val="auto"/>
        </w:rPr>
      </w:pPr>
    </w:p>
    <w:p>
      <w:pPr>
        <w:jc w:val="both"/>
        <w:ind w:left="160" w:right="239" w:firstLine="639"/>
        <w:spacing w:after="0" w:line="287" w:lineRule="auto"/>
        <w:tabs>
          <w:tab w:leader="none" w:pos="1483"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Restrictive Covenants Agreement</w:t>
      </w:r>
      <w:r>
        <w:rPr>
          <w:rFonts w:ascii="Arial" w:cs="Arial" w:eastAsia="Arial" w:hAnsi="Arial"/>
          <w:sz w:val="19"/>
          <w:szCs w:val="19"/>
          <w:color w:val="auto"/>
        </w:rPr>
        <w:t>. The Employee Confidentiality, Assignment and Non-Competition Agreement between the Company and the Executive, dated as of September 27, 2018 (the “Restrictive Covenants Agreement”), is incorporated by reference, the terms of which are material terms of this Agreement. For the avoidance of doubt, in the event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3" w:name="page14"/>
    <w:bookmarkEnd w:id="13"/>
    <w:p>
      <w:pPr>
        <w:ind w:left="160" w:right="379"/>
        <w:spacing w:after="0"/>
        <w:rPr>
          <w:sz w:val="20"/>
          <w:szCs w:val="20"/>
          <w:color w:val="auto"/>
        </w:rPr>
      </w:pPr>
      <w:r>
        <w:rPr>
          <w:rFonts w:ascii="Arial" w:cs="Arial" w:eastAsia="Arial" w:hAnsi="Arial"/>
          <w:sz w:val="22"/>
          <w:szCs w:val="22"/>
          <w:color w:val="auto"/>
        </w:rPr>
        <w:t>a breach of the Restrictive Covenants Agreement by the Executive, the Company may discontinue any post-employment payments made pursuant to this Agreement or the Restrictive Covenants Agreement.</w:t>
      </w:r>
    </w:p>
    <w:p>
      <w:pPr>
        <w:spacing w:after="0" w:line="186" w:lineRule="exact"/>
        <w:rPr>
          <w:sz w:val="20"/>
          <w:szCs w:val="20"/>
          <w:color w:val="auto"/>
        </w:rPr>
      </w:pPr>
    </w:p>
    <w:p>
      <w:pPr>
        <w:ind w:left="160" w:right="139" w:firstLine="639"/>
        <w:spacing w:after="0" w:line="271" w:lineRule="auto"/>
        <w:tabs>
          <w:tab w:leader="none" w:pos="1483"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8" w:lineRule="exact"/>
        <w:rPr>
          <w:rFonts w:ascii="Arial" w:cs="Arial" w:eastAsia="Arial" w:hAnsi="Arial"/>
          <w:sz w:val="19"/>
          <w:szCs w:val="19"/>
          <w:color w:val="auto"/>
        </w:rPr>
      </w:pPr>
    </w:p>
    <w:p>
      <w:pPr>
        <w:jc w:val="both"/>
        <w:ind w:left="160" w:right="139" w:firstLine="639"/>
        <w:spacing w:after="0" w:line="247" w:lineRule="auto"/>
        <w:tabs>
          <w:tab w:leader="none" w:pos="1510"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1"/>
          <w:szCs w:val="21"/>
          <w:color w:val="auto"/>
        </w:rPr>
      </w:pPr>
    </w:p>
    <w:p>
      <w:pPr>
        <w:jc w:val="both"/>
        <w:ind w:left="160" w:right="159" w:firstLine="639"/>
        <w:spacing w:after="0" w:line="282" w:lineRule="auto"/>
        <w:tabs>
          <w:tab w:leader="none" w:pos="1524"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the subject matter hereof and supersedes all other prior agreements, written or oral, between the parties concerning such subject matter (including without limitation any offer letter, employment agreement or severance agreement); provided that the Restrictive Covenant Agreement and the Equity Documents are expressly preserved and incorporated by reference herein.</w:t>
      </w:r>
    </w:p>
    <w:p>
      <w:pPr>
        <w:spacing w:after="0" w:line="147" w:lineRule="exact"/>
        <w:rPr>
          <w:rFonts w:ascii="Arial" w:cs="Arial" w:eastAsia="Arial" w:hAnsi="Arial"/>
          <w:sz w:val="19"/>
          <w:szCs w:val="19"/>
          <w:color w:val="auto"/>
        </w:rPr>
      </w:pPr>
    </w:p>
    <w:p>
      <w:pPr>
        <w:ind w:left="160" w:right="339" w:firstLine="639"/>
        <w:spacing w:after="0"/>
        <w:tabs>
          <w:tab w:leader="none" w:pos="1475"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86" w:lineRule="exact"/>
        <w:rPr>
          <w:rFonts w:ascii="Arial" w:cs="Arial" w:eastAsia="Arial" w:hAnsi="Arial"/>
          <w:sz w:val="22"/>
          <w:szCs w:val="22"/>
          <w:color w:val="auto"/>
        </w:rPr>
      </w:pPr>
    </w:p>
    <w:p>
      <w:pPr>
        <w:ind w:left="160" w:right="579" w:firstLine="639"/>
        <w:spacing w:after="0" w:line="282" w:lineRule="auto"/>
        <w:tabs>
          <w:tab w:leader="none" w:pos="1483"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her under this Agreement, the Company shall continue such payments to the Executive’s beneficiary</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4" w:name="page15"/>
    <w:bookmarkEnd w:id="14"/>
    <w:p>
      <w:pPr>
        <w:ind w:left="160" w:right="539"/>
        <w:spacing w:after="0" w:line="251" w:lineRule="auto"/>
        <w:rPr>
          <w:sz w:val="20"/>
          <w:szCs w:val="20"/>
          <w:color w:val="auto"/>
        </w:rPr>
      </w:pPr>
      <w:r>
        <w:rPr>
          <w:rFonts w:ascii="Arial" w:cs="Arial" w:eastAsia="Arial" w:hAnsi="Arial"/>
          <w:sz w:val="22"/>
          <w:szCs w:val="22"/>
          <w:color w:val="auto"/>
        </w:rPr>
        <w:t>designated in writing to the Company prior to her death (or to her estate, if the Executive fails to make such designation).</w:t>
      </w:r>
    </w:p>
    <w:p>
      <w:pPr>
        <w:spacing w:after="0" w:line="173" w:lineRule="exact"/>
        <w:rPr>
          <w:sz w:val="20"/>
          <w:szCs w:val="20"/>
          <w:color w:val="auto"/>
        </w:rPr>
      </w:pPr>
    </w:p>
    <w:p>
      <w:pPr>
        <w:ind w:left="160" w:right="199" w:firstLine="639"/>
        <w:spacing w:after="0" w:line="279" w:lineRule="auto"/>
        <w:tabs>
          <w:tab w:leader="none" w:pos="148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9"/>
          <w:szCs w:val="19"/>
          <w:color w:val="auto"/>
        </w:rPr>
      </w:pPr>
    </w:p>
    <w:p>
      <w:pPr>
        <w:ind w:left="160" w:right="679" w:firstLine="639"/>
        <w:spacing w:after="0"/>
        <w:tabs>
          <w:tab w:leader="none" w:pos="148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6" w:lineRule="exact"/>
        <w:rPr>
          <w:rFonts w:ascii="Arial" w:cs="Arial" w:eastAsia="Arial" w:hAnsi="Arial"/>
          <w:sz w:val="22"/>
          <w:szCs w:val="22"/>
          <w:color w:val="auto"/>
        </w:rPr>
      </w:pPr>
    </w:p>
    <w:p>
      <w:pPr>
        <w:ind w:left="160" w:right="299" w:firstLine="639"/>
        <w:spacing w:after="0" w:line="236" w:lineRule="auto"/>
        <w:tabs>
          <w:tab w:leader="none" w:pos="148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2"/>
          <w:szCs w:val="22"/>
          <w:color w:val="auto"/>
        </w:rPr>
      </w:pPr>
    </w:p>
    <w:p>
      <w:pPr>
        <w:ind w:left="160" w:right="299" w:firstLine="639"/>
        <w:spacing w:after="0" w:line="282" w:lineRule="auto"/>
        <w:tabs>
          <w:tab w:leader="none" w:pos="148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9"/>
          <w:szCs w:val="19"/>
          <w:color w:val="auto"/>
        </w:rPr>
      </w:pPr>
    </w:p>
    <w:p>
      <w:pPr>
        <w:jc w:val="both"/>
        <w:ind w:left="160" w:right="859" w:firstLine="639"/>
        <w:spacing w:after="0" w:line="328" w:lineRule="auto"/>
        <w:tabs>
          <w:tab w:leader="none" w:pos="148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5" w:lineRule="exact"/>
        <w:rPr>
          <w:rFonts w:ascii="Arial" w:cs="Arial" w:eastAsia="Arial" w:hAnsi="Arial"/>
          <w:sz w:val="19"/>
          <w:szCs w:val="19"/>
          <w:color w:val="auto"/>
        </w:rPr>
      </w:pPr>
    </w:p>
    <w:p>
      <w:pPr>
        <w:ind w:left="160" w:right="259" w:firstLine="639"/>
        <w:spacing w:after="0" w:line="282" w:lineRule="auto"/>
        <w:tabs>
          <w:tab w:leader="none" w:pos="148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9"/>
          <w:szCs w:val="19"/>
          <w:color w:val="auto"/>
        </w:rPr>
      </w:pPr>
    </w:p>
    <w:p>
      <w:pPr>
        <w:ind w:left="160" w:right="259" w:firstLine="639"/>
        <w:spacing w:after="0"/>
        <w:tabs>
          <w:tab w:leader="none" w:pos="148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left="160" w:right="159" w:firstLine="639"/>
        <w:spacing w:after="0" w:line="279" w:lineRule="auto"/>
        <w:tabs>
          <w:tab w:leader="none" w:pos="1483"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5" w:name="page16"/>
    <w:bookmarkEnd w:id="15"/>
    <w:p>
      <w:pPr>
        <w:ind w:left="160" w:right="43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194"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BLUEPRINT MEDICINES CORPORATION</w:t>
      </w:r>
    </w:p>
    <w:p>
      <w:pPr>
        <w:spacing w:after="0" w:line="229" w:lineRule="exact"/>
        <w:rPr>
          <w:sz w:val="20"/>
          <w:szCs w:val="20"/>
          <w:color w:val="auto"/>
        </w:rPr>
      </w:pPr>
    </w:p>
    <w:tbl>
      <w:tblPr>
        <w:tblLayout w:type="fixed"/>
        <w:tblInd w:w="42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386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7620</wp:posOffset>
            </wp:positionV>
            <wp:extent cx="2933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 w:lineRule="exact"/>
        <w:rPr>
          <w:sz w:val="20"/>
          <w:szCs w:val="20"/>
          <w:color w:val="auto"/>
        </w:rPr>
      </w:pPr>
    </w:p>
    <w:p>
      <w:pPr>
        <w:ind w:left="4260"/>
        <w:spacing w:after="0"/>
        <w:tabs>
          <w:tab w:leader="none" w:pos="5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Christina Rossi</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6" w:name="page17"/>
    <w:bookmarkEnd w:id="16"/>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680845" cy="56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08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Strengthens Leadership with the Appointments of</w:t>
      </w:r>
    </w:p>
    <w:p>
      <w:pPr>
        <w:jc w:val="center"/>
        <w:ind w:right="-20"/>
        <w:spacing w:after="0"/>
        <w:rPr>
          <w:sz w:val="20"/>
          <w:szCs w:val="20"/>
          <w:color w:val="auto"/>
        </w:rPr>
      </w:pPr>
      <w:r>
        <w:rPr>
          <w:rFonts w:ascii="Arial" w:cs="Arial" w:eastAsia="Arial" w:hAnsi="Arial"/>
          <w:sz w:val="18"/>
          <w:szCs w:val="18"/>
          <w:b w:val="1"/>
          <w:bCs w:val="1"/>
          <w:color w:val="auto"/>
        </w:rPr>
        <w:t>Christina Rossi as Chief Commercial Officer and Paul Beresford as General Manager, International</w:t>
      </w:r>
    </w:p>
    <w:p>
      <w:pPr>
        <w:spacing w:after="0" w:line="144" w:lineRule="exact"/>
        <w:rPr>
          <w:sz w:val="20"/>
          <w:szCs w:val="20"/>
          <w:color w:val="auto"/>
        </w:rPr>
      </w:pPr>
    </w:p>
    <w:p>
      <w:pPr>
        <w:ind w:left="160" w:right="179"/>
        <w:spacing w:after="0" w:line="219" w:lineRule="auto"/>
        <w:rPr>
          <w:sz w:val="20"/>
          <w:szCs w:val="20"/>
          <w:color w:val="auto"/>
        </w:rPr>
      </w:pPr>
      <w:r>
        <w:rPr>
          <w:rFonts w:ascii="Arial" w:cs="Arial" w:eastAsia="Arial" w:hAnsi="Arial"/>
          <w:sz w:val="18"/>
          <w:szCs w:val="18"/>
          <w:color w:val="auto"/>
        </w:rPr>
        <w:t>CAMBRIDGE, Mass., October 29, 2018 – Blueprint Medicines Corporation (NASDAQ:BPMC), a leader in discovering and developing targeted kinase medicines for patients with genomically defined diseases, today announced the appointment of Christina Rossi as Chief Commercial Officer, effective October 29, 2018. Blueprint Medicines also announced the appointment of Paul Beresford as General Manager, International.</w:t>
      </w:r>
    </w:p>
    <w:p>
      <w:pPr>
        <w:spacing w:after="0" w:line="122" w:lineRule="exact"/>
        <w:rPr>
          <w:sz w:val="20"/>
          <w:szCs w:val="20"/>
          <w:color w:val="auto"/>
        </w:rPr>
      </w:pPr>
    </w:p>
    <w:p>
      <w:pPr>
        <w:ind w:left="160" w:right="259"/>
        <w:spacing w:after="0" w:line="232" w:lineRule="auto"/>
        <w:rPr>
          <w:sz w:val="20"/>
          <w:szCs w:val="20"/>
          <w:color w:val="auto"/>
        </w:rPr>
      </w:pPr>
      <w:r>
        <w:rPr>
          <w:rFonts w:ascii="Arial" w:cs="Arial" w:eastAsia="Arial" w:hAnsi="Arial"/>
          <w:sz w:val="17"/>
          <w:szCs w:val="17"/>
          <w:color w:val="auto"/>
        </w:rPr>
        <w:t>In her new role, Ms. Rossi will join the executive management team and have overall responsibility for commercial strategy and operations, including sales and marketing, for a potential commercial launch of avapritinib in the United States in 2019 and pre-commercial planning across Blueprint Medicines’ pipeline. Based in Switzerland, Mr. Beresford will be responsible for commercial strategy and operations outside of the United States.</w:t>
      </w:r>
    </w:p>
    <w:p>
      <w:pPr>
        <w:spacing w:after="0" w:line="122" w:lineRule="exact"/>
        <w:rPr>
          <w:sz w:val="20"/>
          <w:szCs w:val="20"/>
          <w:color w:val="auto"/>
        </w:rPr>
      </w:pPr>
    </w:p>
    <w:p>
      <w:pPr>
        <w:ind w:left="160" w:right="219"/>
        <w:spacing w:after="0" w:line="226" w:lineRule="auto"/>
        <w:rPr>
          <w:sz w:val="20"/>
          <w:szCs w:val="20"/>
          <w:color w:val="auto"/>
        </w:rPr>
      </w:pPr>
      <w:r>
        <w:rPr>
          <w:rFonts w:ascii="Arial" w:cs="Arial" w:eastAsia="Arial" w:hAnsi="Arial"/>
          <w:sz w:val="17"/>
          <w:szCs w:val="17"/>
          <w:color w:val="auto"/>
        </w:rPr>
        <w:t>“We are thrilled to welcome Christy to Blueprint Medicines as we rapidly advance our registration-enabling clinical trials for avapritinib in multiple patient populations and prepare for key clinical and regulatory milestones in the year ahead,” said Jeff Albers, Chief Executive Officer of Blueprint Medicines. “Christy has a proven track record of building efficient commercial organizations, successfully launching new medicines and delivering impactful programs and services to patients and providers. With her leadership and experience, we believe we are well positioned to transform Blueprint Medicines into a fully-integrated, commercial-stage biopharmaceutical company.”</w:t>
      </w:r>
    </w:p>
    <w:p>
      <w:pPr>
        <w:spacing w:after="0" w:line="125" w:lineRule="exact"/>
        <w:rPr>
          <w:sz w:val="20"/>
          <w:szCs w:val="20"/>
          <w:color w:val="auto"/>
        </w:rPr>
      </w:pPr>
    </w:p>
    <w:p>
      <w:pPr>
        <w:ind w:left="160" w:right="179"/>
        <w:spacing w:after="0" w:line="224" w:lineRule="auto"/>
        <w:rPr>
          <w:sz w:val="20"/>
          <w:szCs w:val="20"/>
          <w:color w:val="auto"/>
        </w:rPr>
      </w:pPr>
      <w:r>
        <w:rPr>
          <w:rFonts w:ascii="Arial" w:cs="Arial" w:eastAsia="Arial" w:hAnsi="Arial"/>
          <w:sz w:val="18"/>
          <w:szCs w:val="18"/>
          <w:color w:val="auto"/>
        </w:rPr>
        <w:t>Mr. Albers continued, “We are also thrilled to have Paul join Blueprint Medicines as we increase our focus on delivering transformative precision therapies to patients worldwide. Paul brings more than two decades of experience in Europe and other geographies, with a focus on global product strategy and market access.”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Christina Rossi, Chief Commercial Officer</w:t>
      </w:r>
    </w:p>
    <w:p>
      <w:pPr>
        <w:spacing w:after="0" w:line="148" w:lineRule="exact"/>
        <w:rPr>
          <w:sz w:val="20"/>
          <w:szCs w:val="20"/>
          <w:color w:val="auto"/>
        </w:rPr>
      </w:pPr>
    </w:p>
    <w:p>
      <w:pPr>
        <w:ind w:left="160" w:right="139"/>
        <w:spacing w:after="0" w:line="209" w:lineRule="auto"/>
        <w:rPr>
          <w:sz w:val="20"/>
          <w:szCs w:val="20"/>
          <w:color w:val="auto"/>
        </w:rPr>
      </w:pPr>
      <w:r>
        <w:rPr>
          <w:rFonts w:ascii="Arial" w:cs="Arial" w:eastAsia="Arial" w:hAnsi="Arial"/>
          <w:sz w:val="18"/>
          <w:szCs w:val="18"/>
          <w:color w:val="auto"/>
        </w:rPr>
        <w:t xml:space="preserve">Ms. Rossi brings nearly 20 years of global pharmaceutical and biotechnology experience. Most recently, Ms. Rossi served as the Multiple Sclerosis (MS) Business Unit Head, North America, at Sanofi Genzyme. In this role, she was responsible for all aspects of the financial performance of Sanofi Genzyme’s MS franchise and increased market share for existing products, led the launch of new therapies and optimized operations to accelerate patient access. Prior to that Ms. Rossi served as Vice President, MS Sales at Sanofi Genzyme and Vice President, MS Patient and Provider Services at Sanofi Genzyme. Prior to joining Sanofi Genzyme, Ms. Rossi held various roles at Biogen, Inc., including Head, Commercial Strategy for Eidetica Biopharma GmbH, Biogen’s biosimilar-focused venture, and U.S. Brand Leader for TYSABRI® (natalizumab). In addition, Ms. Rossi consulted in the healthcare practice at the Boston Consulting Group. Ms. Rossi holds a B.S. in biology, </w:t>
      </w:r>
      <w:r>
        <w:rPr>
          <w:rFonts w:ascii="Arial" w:cs="Arial" w:eastAsia="Arial" w:hAnsi="Arial"/>
          <w:sz w:val="18"/>
          <w:szCs w:val="18"/>
          <w:i w:val="1"/>
          <w:iCs w:val="1"/>
          <w:color w:val="auto"/>
        </w:rPr>
        <w:t>cum laude</w:t>
      </w:r>
      <w:r>
        <w:rPr>
          <w:rFonts w:ascii="Arial" w:cs="Arial" w:eastAsia="Arial" w:hAnsi="Arial"/>
          <w:sz w:val="18"/>
          <w:szCs w:val="18"/>
          <w:color w:val="auto"/>
        </w:rPr>
        <w:t>, from Duke University and an M.B.A. from Harvard Business School.</w:t>
      </w:r>
    </w:p>
    <w:p>
      <w:pPr>
        <w:spacing w:after="0" w:line="129" w:lineRule="exact"/>
        <w:rPr>
          <w:sz w:val="20"/>
          <w:szCs w:val="20"/>
          <w:color w:val="auto"/>
        </w:rPr>
      </w:pPr>
    </w:p>
    <w:p>
      <w:pPr>
        <w:ind w:left="160" w:right="239"/>
        <w:spacing w:after="0" w:line="232" w:lineRule="auto"/>
        <w:rPr>
          <w:sz w:val="20"/>
          <w:szCs w:val="20"/>
          <w:color w:val="auto"/>
        </w:rPr>
      </w:pPr>
      <w:r>
        <w:rPr>
          <w:rFonts w:ascii="Arial" w:cs="Arial" w:eastAsia="Arial" w:hAnsi="Arial"/>
          <w:sz w:val="17"/>
          <w:szCs w:val="17"/>
          <w:color w:val="auto"/>
        </w:rPr>
        <w:t>“I’m excited to join the Blueprint Medicines team at this important moment for the company,” said Christy Rossi, Chief Commercial Officer of Blueprint Medicines. “With compelling clinical data for avapritinib in patients with advanced gastrointestinal stromal tumors and plans to submit a new drug application in the first half of 2019, now is the time to expand and accelerate plans to deliver this potentially transformative precision therapy to patients.”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Paul Beresford, General Manager, International</w:t>
      </w:r>
    </w:p>
    <w:p>
      <w:pPr>
        <w:spacing w:after="0" w:line="148" w:lineRule="exact"/>
        <w:rPr>
          <w:sz w:val="20"/>
          <w:szCs w:val="20"/>
          <w:color w:val="auto"/>
        </w:rPr>
      </w:pPr>
    </w:p>
    <w:p>
      <w:pPr>
        <w:ind w:left="160" w:right="339"/>
        <w:spacing w:after="0" w:line="244" w:lineRule="auto"/>
        <w:rPr>
          <w:sz w:val="20"/>
          <w:szCs w:val="20"/>
          <w:color w:val="auto"/>
        </w:rPr>
      </w:pPr>
      <w:r>
        <w:rPr>
          <w:rFonts w:ascii="Arial" w:cs="Arial" w:eastAsia="Arial" w:hAnsi="Arial"/>
          <w:sz w:val="16"/>
          <w:szCs w:val="16"/>
          <w:color w:val="auto"/>
        </w:rPr>
        <w:t>Mr. Beresford joins Blueprint Medicines with over 20 years of experience in global, regional and in-country roles, including cross-functional and commercial leadership in strategy, operations and alliance management, encompassing specialty therapeutics and rare diseases. Over the course of his career, Mr. Beresford has successfully launched several major products in multiple therapeutic areas. Most recently, Mr. Beresford served as Vice President, Global Product Strategy Lead in the Rare Diseases Franchise at Shire, where he was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118745</wp:posOffset>
            </wp:positionV>
            <wp:extent cx="55486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160" w:right="319"/>
        <w:spacing w:after="0" w:line="234" w:lineRule="auto"/>
        <w:rPr>
          <w:sz w:val="20"/>
          <w:szCs w:val="20"/>
          <w:color w:val="auto"/>
        </w:rPr>
      </w:pPr>
      <w:r>
        <w:rPr>
          <w:rFonts w:ascii="Arial" w:cs="Arial" w:eastAsia="Arial" w:hAnsi="Arial"/>
          <w:sz w:val="16"/>
          <w:szCs w:val="16"/>
          <w:color w:val="auto"/>
        </w:rPr>
        <w:t>leading global strategy, accelerating revenue growth of the portfolio and driving life-cycle management. Previously, he served as International Launch Leader, Neuroscience at Shire, where he successfully led the development and implementation of cross-functional plans to launch VYVANSE® (lisdexamfetamine dimesylate) in a number of European and other regional markets. Prior to joining Shire (Switzerland) in 2010, Mr. Beresford held</w:t>
      </w:r>
    </w:p>
    <w:p>
      <w:pPr>
        <w:spacing w:after="0" w:line="1" w:lineRule="exact"/>
        <w:rPr>
          <w:sz w:val="20"/>
          <w:szCs w:val="20"/>
          <w:color w:val="auto"/>
        </w:rPr>
      </w:pPr>
    </w:p>
    <w:p>
      <w:pPr>
        <w:ind w:left="160" w:right="179"/>
        <w:spacing w:after="0" w:line="218" w:lineRule="auto"/>
        <w:rPr>
          <w:sz w:val="20"/>
          <w:szCs w:val="20"/>
          <w:color w:val="auto"/>
        </w:rPr>
      </w:pPr>
      <w:r>
        <w:rPr>
          <w:rFonts w:ascii="Arial" w:cs="Arial" w:eastAsia="Arial" w:hAnsi="Arial"/>
          <w:sz w:val="18"/>
          <w:szCs w:val="18"/>
          <w:color w:val="auto"/>
        </w:rPr>
        <w:t>various commercial and business development roles at Shire in the UK, InforMed-Direct, Bayer and IMS. Mr. Beresford has a business degree from Kingston University in the UK and undertook advanced studies in the management of biotech, medtech and pharma ventures at the Ecole Polytechnique Fédérale de Lausanne.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60" w:right="179"/>
        <w:spacing w:after="0"/>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a potential commercial launch of avapritinib in the United States in 2019; potential clinical and regulatory milestones; the ability to transform Blueprint Medicines into a fully-integrated, commercial-stage biopharmaceutical company; plans to submit a new drug application for avapritinib; plans and timelines for delivering avapritinib to patients;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hepatocellular carcinoma, avapritinib for PDGFRα D842V-driven gastrointestinal stromal tumors and advanced systemic mastocytosis and BLU-667 for RET-driven non-small cell lung cancer;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June 30, 2018, as filed with the Securities and Exchange Commission (SEC) on August 1,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Trademarks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TYSABRI® is a registered trademark of Biogen Inc. VYVANSE® is a registered trademark of Shire LLC. </w:t>
      </w:r>
      <w:r>
        <w:rPr>
          <w:rFonts w:ascii="Arial" w:cs="Arial" w:eastAsia="Arial" w:hAnsi="Arial"/>
          <w:sz w:val="18"/>
          <w:szCs w:val="18"/>
          <w:color w:val="auto"/>
        </w:rPr>
        <w:t>All other</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trademarks and trade names in this press release are the property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239395</wp:posOffset>
            </wp:positionV>
            <wp:extent cx="554863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ind w:left="160"/>
        <w:spacing w:after="0"/>
        <w:rPr>
          <w:sz w:val="20"/>
          <w:szCs w:val="20"/>
          <w:color w:val="auto"/>
        </w:rPr>
      </w:pPr>
      <w:r>
        <w:rPr>
          <w:rFonts w:ascii="Arial" w:cs="Arial" w:eastAsia="Arial" w:hAnsi="Arial"/>
          <w:sz w:val="16"/>
          <w:szCs w:val="16"/>
          <w:b w:val="1"/>
          <w:bCs w:val="1"/>
          <w:color w:val="auto"/>
        </w:rPr>
        <w:t>Investor and Media Relations Contacts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Kristin Hodous</w:t>
      </w:r>
    </w:p>
    <w:p>
      <w:pPr>
        <w:ind w:left="160"/>
        <w:spacing w:after="0" w:line="203" w:lineRule="auto"/>
        <w:rPr>
          <w:sz w:val="20"/>
          <w:szCs w:val="20"/>
          <w:color w:val="auto"/>
        </w:rPr>
      </w:pPr>
      <w:r>
        <w:rPr>
          <w:rFonts w:ascii="Arial" w:cs="Arial" w:eastAsia="Arial" w:hAnsi="Arial"/>
          <w:sz w:val="18"/>
          <w:szCs w:val="18"/>
          <w:color w:val="auto"/>
        </w:rPr>
        <w:t>617-714-6674</w:t>
      </w:r>
    </w:p>
    <w:p>
      <w:pPr>
        <w:ind w:left="160"/>
        <w:spacing w:after="0"/>
        <w:rPr>
          <w:sz w:val="20"/>
          <w:szCs w:val="20"/>
          <w:color w:val="auto"/>
        </w:rPr>
      </w:pPr>
      <w:r>
        <w:rPr>
          <w:rFonts w:ascii="Arial" w:cs="Arial" w:eastAsia="Arial" w:hAnsi="Arial"/>
          <w:sz w:val="18"/>
          <w:szCs w:val="18"/>
          <w:color w:val="auto"/>
        </w:rPr>
        <w:t>KHodous@blueprintmedicines.com</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Jim Baker</w:t>
      </w:r>
    </w:p>
    <w:p>
      <w:pPr>
        <w:ind w:left="160"/>
        <w:spacing w:after="0" w:line="203" w:lineRule="auto"/>
        <w:rPr>
          <w:sz w:val="20"/>
          <w:szCs w:val="20"/>
          <w:color w:val="auto"/>
        </w:rPr>
      </w:pPr>
      <w:r>
        <w:rPr>
          <w:rFonts w:ascii="Arial" w:cs="Arial" w:eastAsia="Arial" w:hAnsi="Arial"/>
          <w:sz w:val="18"/>
          <w:szCs w:val="18"/>
          <w:color w:val="auto"/>
        </w:rPr>
        <w:t>617-844-8236</w:t>
      </w:r>
    </w:p>
    <w:p>
      <w:pPr>
        <w:ind w:left="160"/>
        <w:spacing w:after="0"/>
        <w:rPr>
          <w:sz w:val="20"/>
          <w:szCs w:val="20"/>
          <w:color w:val="auto"/>
        </w:rPr>
      </w:pPr>
      <w:r>
        <w:rPr>
          <w:rFonts w:ascii="Arial" w:cs="Arial" w:eastAsia="Arial" w:hAnsi="Arial"/>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abstractNum>
  <w:abstractNum w:abstractNumId="2">
    <w:nsid w:val="140E0F76"/>
    <w:multiLevelType w:val="hybridMultilevel"/>
    <w:lvl w:ilvl="0">
      <w:lvlJc w:val="left"/>
      <w:lvlText w:val="(%1)"/>
      <w:numFmt w:val="lowerLetter"/>
      <w:start w:val="2"/>
    </w:lvl>
  </w:abstractNum>
  <w:abstractNum w:abstractNumId="3">
    <w:nsid w:val="3352255A"/>
    <w:multiLevelType w:val="hybridMultilevel"/>
    <w:lvl w:ilvl="0">
      <w:lvlJc w:val="left"/>
      <w:lvlText w:val="(%1)"/>
      <w:numFmt w:val="lowerLetter"/>
      <w:start w:val="3"/>
    </w:lvl>
  </w:abstractNum>
  <w:abstractNum w:abstractNumId="4">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5">
    <w:nsid w:val="DED726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
    <w:nsid w:val="7FDCC23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
    <w:nsid w:val="1BEFD79F"/>
    <w:multiLevelType w:val="hybridMultilevel"/>
    <w:lvl w:ilvl="0">
      <w:lvlJc w:val="left"/>
      <w:lvlText w:val="%1"/>
      <w:numFmt w:val="lowerRoman"/>
      <w:start w:val="1"/>
    </w:lvl>
    <w:lvl w:ilvl="1">
      <w:lvlJc w:val="left"/>
      <w:lvlText w:val="(%2)"/>
      <w:numFmt w:val="lowerLetter"/>
      <w:start w:val="4"/>
    </w:lvl>
  </w:abstractNum>
  <w:abstractNum w:abstractNumId="8">
    <w:nsid w:val="41A7C4C9"/>
    <w:multiLevelType w:val="hybridMultilevel"/>
    <w:lvl w:ilvl="0">
      <w:lvlJc w:val="left"/>
      <w:lvlText w:val="(%1)"/>
      <w:numFmt w:val="lowerRoman"/>
      <w:start w:val="4"/>
    </w:lvl>
    <w:lvl w:ilvl="1">
      <w:lvlJc w:val="left"/>
      <w:lvlText w:val="%2"/>
      <w:numFmt w:val="lowerLetter"/>
      <w:start w:val="1"/>
    </w:lvl>
  </w:abstractNum>
  <w:abstractNum w:abstractNumId="9">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4E6AFB6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1">
    <w:nsid w:val="25E45D3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4">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
    <w:nsid w:val="7C83E458"/>
    <w:multiLevelType w:val="hybridMultilevel"/>
    <w:lvl w:ilvl="0">
      <w:lvlJc w:val="left"/>
      <w:lvlText w:val="%1"/>
      <w:numFmt w:val="lowerLetter"/>
      <w:start w:val="1"/>
    </w:lvl>
    <w:lvl w:ilvl="1">
      <w:lvlJc w:val="left"/>
      <w:lvlText w:val="(%2)"/>
      <w:numFmt w:val="lowerLetter"/>
      <w:start w:val="61"/>
    </w:lvl>
  </w:abstractNum>
  <w:abstractNum w:abstractNumId="16">
    <w:nsid w:val="257130A3"/>
    <w:multiLevelType w:val="hybridMultilevel"/>
    <w:lvl w:ilvl="0">
      <w:lvlJc w:val="left"/>
      <w:lvlText w:val="(%1)"/>
      <w:numFmt w:val="lowerLetter"/>
      <w:start w:val="3"/>
    </w:lvl>
    <w:lvl w:ilvl="1">
      <w:lvlJc w:val="left"/>
      <w:lvlText w:val="%2"/>
      <w:numFmt w:val="lowerLetter"/>
      <w:start w:val="1"/>
    </w:lvl>
  </w:abstractNum>
  <w:abstractNum w:abstractNumId="17">
    <w:nsid w:val="62BBD95A"/>
    <w:multiLevelType w:val="hybridMultilevel"/>
    <w:lvl w:ilvl="0">
      <w:lvlJc w:val="left"/>
      <w:lvlText w:val="%1."/>
      <w:numFmt w:val="decimal"/>
      <w:start w:val="6"/>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2"/>
    </w:lvl>
  </w:abstractNum>
  <w:abstractNum w:abstractNumId="19">
    <w:nsid w:val="628C895D"/>
    <w:multiLevelType w:val="hybridMultilevel"/>
    <w:lvl w:ilvl="0">
      <w:lvlJc w:val="left"/>
      <w:lvlText w:val="%1."/>
      <w:numFmt w:val="decimal"/>
      <w:start w:val="7"/>
    </w:lvl>
    <w:lvl w:ilvl="1">
      <w:lvlJc w:val="left"/>
      <w:lvlText w:val="%2"/>
      <w:numFmt w:val="lowerLetter"/>
      <w:start w:val="1"/>
    </w:lvl>
  </w:abstractNum>
  <w:abstractNum w:abstractNumId="20">
    <w:nsid w:val="333AB105"/>
    <w:multiLevelType w:val="hybridMultilevel"/>
    <w:lvl w:ilvl="0">
      <w:lvlJc w:val="left"/>
      <w:lvlText w:val="%1."/>
      <w:numFmt w:val="decimal"/>
      <w:start w:val="8"/>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2019-12-28T18:41:37Z</dcterms:created>
  <dcterms:modified xsi:type="dcterms:W3CDTF">2019-12-28T18:41:37Z</dcterms:modified>
</cp:coreProperties>
</file>