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Rossi Christina</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540" w:type="dxa"/>
            <w:vAlign w:val="bottom"/>
            <w:tcBorders>
              <w:top w:val="single" w:sz="8" w:color="0000EE"/>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03/24/2025</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02139</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2,274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95.02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69,266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August 27, 2024 pursuant to Rule 10b5-1 under the Securities Exchange Act of 1934, as amended.</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an average sale price. The shares were sold in multiple transactions ranging from $95.00 to $95.06.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Melissa Masse,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03/26/2025</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6941"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2025-03-26T15:56:04Z</dcterms:created>
  <dcterms:modified xsi:type="dcterms:W3CDTF">2025-03-26T15:56:04Z</dcterms:modified>
</cp:coreProperties>
</file>